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4.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header13.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13.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theme/theme1.xml" ContentType="application/vnd.openxmlformats-officedocument.theme+xml"/>
  <Override PartName="/word/charts/chart3.xml" ContentType="application/vnd.openxmlformats-officedocument.drawingml.chart+xml"/>
  <Override PartName="/word/charts/chart2.xml" ContentType="application/vnd.openxmlformats-officedocument.drawingml.chart+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word/numbering.xml" ContentType="application/vnd.openxmlformats-officedocument.wordprocessingml.numbering+xml"/>
  <Override PartName="/word/commentsExtended.xml" ContentType="application/vnd.openxmlformats-officedocument.wordprocessingml.commentsExtended+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45CC8" w:rsidRDefault="003F5678" w:rsidP="00854A82">
      <w:r>
        <w:rPr>
          <w:rFonts w:asciiTheme="minorHAnsi" w:hAnsiTheme="minorHAnsi" w:cstheme="minorHAnsi"/>
          <w:noProof/>
          <w:lang w:val="en-AU" w:eastAsia="en-AU"/>
        </w:rPr>
        <mc:AlternateContent>
          <mc:Choice Requires="wpg">
            <w:drawing>
              <wp:anchor distT="0" distB="0" distL="114300" distR="114300" simplePos="0" relativeHeight="251685888" behindDoc="0" locked="0" layoutInCell="1" allowOverlap="1" wp14:anchorId="6D815C01" wp14:editId="45A6BD71">
                <wp:simplePos x="0" y="0"/>
                <wp:positionH relativeFrom="column">
                  <wp:posOffset>-914400</wp:posOffset>
                </wp:positionH>
                <wp:positionV relativeFrom="paragraph">
                  <wp:posOffset>-914400</wp:posOffset>
                </wp:positionV>
                <wp:extent cx="7347585" cy="2413000"/>
                <wp:effectExtent l="0" t="0" r="0" b="0"/>
                <wp:wrapNone/>
                <wp:docPr id="3" name="Group 3"/>
                <wp:cNvGraphicFramePr/>
                <a:graphic xmlns:a="http://schemas.openxmlformats.org/drawingml/2006/main">
                  <a:graphicData uri="http://schemas.microsoft.com/office/word/2010/wordprocessingGroup">
                    <wpg:wgp>
                      <wpg:cNvGrpSpPr/>
                      <wpg:grpSpPr>
                        <a:xfrm>
                          <a:off x="0" y="0"/>
                          <a:ext cx="7347585" cy="2413000"/>
                          <a:chOff x="0" y="0"/>
                          <a:chExt cx="7347585" cy="2413000"/>
                        </a:xfrm>
                      </wpg:grpSpPr>
                      <pic:pic xmlns:pic="http://schemas.openxmlformats.org/drawingml/2006/picture">
                        <pic:nvPicPr>
                          <pic:cNvPr id="2618" name="Picture 9"/>
                          <pic:cNvPicPr>
                            <a:picLocks noChangeAspect="1"/>
                          </pic:cNvPicPr>
                        </pic:nvPicPr>
                        <pic:blipFill>
                          <a:blip r:embed="rId9">
                            <a:extLst>
                              <a:ext uri="{28A0092B-C50C-407E-A947-70E740481C1C}">
                                <a14:useLocalDpi xmlns:a14="http://schemas.microsoft.com/office/drawing/2010/main" val="0"/>
                              </a:ext>
                            </a:extLst>
                          </a:blip>
                          <a:srcRect r="3587"/>
                          <a:stretch>
                            <a:fillRect/>
                          </a:stretch>
                        </pic:blipFill>
                        <pic:spPr bwMode="auto">
                          <a:xfrm>
                            <a:off x="0" y="0"/>
                            <a:ext cx="7347585" cy="2413000"/>
                          </a:xfrm>
                          <a:prstGeom prst="rect">
                            <a:avLst/>
                          </a:prstGeom>
                          <a:noFill/>
                          <a:ln>
                            <a:noFill/>
                          </a:ln>
                        </pic:spPr>
                      </pic:pic>
                      <pic:pic xmlns:pic="http://schemas.openxmlformats.org/drawingml/2006/picture">
                        <pic:nvPicPr>
                          <pic:cNvPr id="2619"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bwMode="auto">
                          <a:xfrm>
                            <a:off x="446567" y="382772"/>
                            <a:ext cx="4102735" cy="621665"/>
                          </a:xfrm>
                          <a:prstGeom prst="rect">
                            <a:avLst/>
                          </a:prstGeom>
                          <a:noFill/>
                          <a:ln>
                            <a:noFill/>
                          </a:ln>
                        </pic:spPr>
                      </pic:pic>
                    </wpg:wgp>
                  </a:graphicData>
                </a:graphic>
              </wp:anchor>
            </w:drawing>
          </mc:Choice>
          <mc:Fallback>
            <w:pict>
              <v:group id="Group 3" o:spid="_x0000_s1026" style="position:absolute;margin-left:-1in;margin-top:-1in;width:578.55pt;height:190pt;z-index:251685888" coordsize="73475,2413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73475;height:24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i6wnDAAAA3QAAAA8AAABkcnMvZG93bnJldi54bWxET91qwjAUvhd8h3AEb2SmetGNapQpCBUU&#10;pu4Bzppj09mclCZq9emXi4GXH9//fNnZWtyo9ZVjBZNxAoK4cLriUsH3afP2AcIHZI21Y1LwIA/L&#10;Rb83x0y7Ox/odgyliCHsM1RgQmgyKX1hyKIfu4Y4cmfXWgwRtqXULd5juK3lNElSabHi2GCwobWh&#10;4nK8WgU/uyrf5pff1dU8R1+Y7g/707tRajjoPmcgAnXhJf5351rBNJ3EufFNfAJy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mLrCcMAAADdAAAADwAAAAAAAAAAAAAAAACf&#10;AgAAZHJzL2Rvd25yZXYueG1sUEsFBgAAAAAEAAQA9wAAAI8DAAAAAA==&#10;">
                  <v:imagedata r:id="rId11" o:title="" cropright="2351f"/>
                  <v:path arrowok="t"/>
                </v:shape>
                <v:shape id="Picture 3" o:spid="_x0000_s1028" type="#_x0000_t75" style="position:absolute;left:4465;top:3827;width:41028;height:6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QqPGAAAA3QAAAA8AAABkcnMvZG93bnJldi54bWxEj0+LwjAUxO+C3yE8wZumeihrNUoRZHc9&#10;rH/B67N5tsXmpTRZ7e6nN4LgcZiZ3zCzRWsqcaPGlZYVjIYRCOLM6pJzBcfDavABwnlkjZVlUvBH&#10;DhbzbmeGibZ33tFt73MRIOwSVFB4XydSuqwgg25oa+LgXWxj0AfZ5FI3eA9wU8lxFMXSYMlhocCa&#10;lgVl1/2vUbC5/n+u+GS+T9vzLo3jdXr8qbdK9XttOgXhqfXv8Kv9pRWM49EEnm/CE5D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35Co8YAAADdAAAADwAAAAAAAAAAAAAA&#10;AACfAgAAZHJzL2Rvd25yZXYueG1sUEsFBgAAAAAEAAQA9wAAAJIDAAAAAA==&#10;">
                  <v:imagedata r:id="rId12" o:title=""/>
                  <v:path arrowok="t"/>
                </v:shape>
              </v:group>
            </w:pict>
          </mc:Fallback>
        </mc:AlternateContent>
      </w:r>
    </w:p>
    <w:p w:rsidR="00645CC8" w:rsidRDefault="00A36DA5" w:rsidP="00854A82">
      <w:r>
        <w:rPr>
          <w:noProof/>
          <w:lang w:val="en-AU" w:eastAsia="en-AU"/>
        </w:rPr>
        <mc:AlternateContent>
          <mc:Choice Requires="wps">
            <w:drawing>
              <wp:anchor distT="0" distB="0" distL="114300" distR="114300" simplePos="0" relativeHeight="251654656" behindDoc="1" locked="0" layoutInCell="1" allowOverlap="1" wp14:anchorId="7F9648E1" wp14:editId="624C226F">
                <wp:simplePos x="0" y="0"/>
                <wp:positionH relativeFrom="column">
                  <wp:posOffset>-69215</wp:posOffset>
                </wp:positionH>
                <wp:positionV relativeFrom="paragraph">
                  <wp:posOffset>39532</wp:posOffset>
                </wp:positionV>
                <wp:extent cx="5871600" cy="2736000"/>
                <wp:effectExtent l="57150" t="19050" r="53340" b="83820"/>
                <wp:wrapNone/>
                <wp:docPr id="20" name="Rectangle 20"/>
                <wp:cNvGraphicFramePr/>
                <a:graphic xmlns:a="http://schemas.openxmlformats.org/drawingml/2006/main">
                  <a:graphicData uri="http://schemas.microsoft.com/office/word/2010/wordprocessingShape">
                    <wps:wsp>
                      <wps:cNvSpPr/>
                      <wps:spPr>
                        <a:xfrm>
                          <a:off x="0" y="0"/>
                          <a:ext cx="5871600" cy="2736000"/>
                        </a:xfrm>
                        <a:prstGeom prst="rect">
                          <a:avLst/>
                        </a:prstGeom>
                        <a:blipFill dpi="0" rotWithShape="1">
                          <a:blip r:embed="rId13">
                            <a:extLst>
                              <a:ext uri="{28A0092B-C50C-407E-A947-70E740481C1C}">
                                <a14:useLocalDpi xmlns:a14="http://schemas.microsoft.com/office/drawing/2010/main" val="0"/>
                              </a:ext>
                            </a:extLst>
                          </a:blip>
                          <a:srcRect/>
                          <a:stretch>
                            <a:fillRect/>
                          </a:stretch>
                        </a:blipFill>
                        <a:ln>
                          <a:noFill/>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5.45pt;margin-top:3.1pt;width:462.35pt;height:215.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gAAAAoAAAAAAAAAAAAAAElJXgACATIw&#10;MTM6MTA6MjQgMDg6Mzc6MDUAwAwwEwAA0gsAAAAAAAAAAAAAAAAAAAEAJQBEQzczMDMzMjAyMjIw&#10;MDAAAAAAAIcW2T4BAAAAAAAAAAAAAAAAAAAAIQCWBr0ElAKUAsAAAACaB5QFyAdbBnEIVgWPCC0G&#10;gACAAAAEAAF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" stroked="f">
                <v:fill r:id="rId14" o:title="" recolor="t" rotate="t" type="frame"/>
                <v:shadow on="t" color="black" opacity="22937f" origin=",.5" offset="0,.63889mm"/>
              </v:rect>
            </w:pict>
          </mc:Fallback>
        </mc:AlternateContent>
      </w:r>
    </w:p>
    <w:p w:rsidR="00645CC8" w:rsidRDefault="00645CC8" w:rsidP="00854A82"/>
    <w:p w:rsidR="00645CC8" w:rsidRDefault="00645CC8" w:rsidP="00854A82"/>
    <w:p w:rsidR="00645CC8" w:rsidRDefault="00645CC8" w:rsidP="00854A82"/>
    <w:p w:rsidR="00645CC8" w:rsidRDefault="00645CC8" w:rsidP="00854A82"/>
    <w:p w:rsidR="00645CC8" w:rsidRDefault="00645CC8" w:rsidP="00854A82"/>
    <w:p w:rsidR="00645CC8" w:rsidRDefault="00645CC8" w:rsidP="00854A82"/>
    <w:p w:rsidR="00645CC8" w:rsidRDefault="00645CC8" w:rsidP="00854A82"/>
    <w:p w:rsidR="00645CC8" w:rsidRDefault="00645CC8" w:rsidP="00854A82"/>
    <w:p w:rsidR="00645CC8" w:rsidRDefault="00645CC8" w:rsidP="00854A82"/>
    <w:p w:rsidR="00645CC8" w:rsidRDefault="00645CC8" w:rsidP="00854A82"/>
    <w:p w:rsidR="00645CC8" w:rsidRDefault="00645CC8" w:rsidP="00854A82"/>
    <w:p w:rsidR="00645CC8" w:rsidRDefault="00A36DA5" w:rsidP="00854A82">
      <w:r>
        <w:rPr>
          <w:noProof/>
          <w:lang w:val="en-AU" w:eastAsia="en-AU"/>
        </w:rPr>
        <mc:AlternateContent>
          <mc:Choice Requires="wps">
            <w:drawing>
              <wp:anchor distT="0" distB="0" distL="114300" distR="114300" simplePos="0" relativeHeight="251662848" behindDoc="1" locked="0" layoutInCell="1" allowOverlap="1" wp14:anchorId="496F209D" wp14:editId="669C1526">
                <wp:simplePos x="0" y="0"/>
                <wp:positionH relativeFrom="column">
                  <wp:posOffset>-68580</wp:posOffset>
                </wp:positionH>
                <wp:positionV relativeFrom="paragraph">
                  <wp:posOffset>167802</wp:posOffset>
                </wp:positionV>
                <wp:extent cx="5871210" cy="2700000"/>
                <wp:effectExtent l="57150" t="19050" r="53340" b="81915"/>
                <wp:wrapNone/>
                <wp:docPr id="18" name="Rectangle 18"/>
                <wp:cNvGraphicFramePr/>
                <a:graphic xmlns:a="http://schemas.openxmlformats.org/drawingml/2006/main">
                  <a:graphicData uri="http://schemas.microsoft.com/office/word/2010/wordprocessingShape">
                    <wps:wsp>
                      <wps:cNvSpPr/>
                      <wps:spPr>
                        <a:xfrm>
                          <a:off x="0" y="0"/>
                          <a:ext cx="5871210" cy="2700000"/>
                        </a:xfrm>
                        <a:prstGeom prst="rect">
                          <a:avLst/>
                        </a:prstGeom>
                        <a:blipFill dpi="0" rotWithShape="1">
                          <a:blip r:embed="rId15">
                            <a:extLst>
                              <a:ext uri="{28A0092B-C50C-407E-A947-70E740481C1C}">
                                <a14:useLocalDpi xmlns:a14="http://schemas.microsoft.com/office/drawing/2010/main" val="0"/>
                              </a:ext>
                            </a:extLst>
                          </a:blip>
                          <a:srcRect/>
                          <a:stretch>
                            <a:fillRect/>
                          </a:stretch>
                        </a:blipFill>
                        <a:ln>
                          <a:noFill/>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5.4pt;margin-top:13.2pt;width:462.3pt;height:212.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tMzN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C2AAAAAAUmdodGxvbmcAABEQ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AjhCSU0EDAAAAAAe&#10;swAAAAEAAACgAAAAawAAAeAAAMigAAAelwAYAAH/2P/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tAAxBZG9iZV9DTQAB/+4ADkFkb2JlAGSAAAAAAf/bAIQADAgICAkIDAkJDBELCgsRFQ8MDA8V&#10;GBMTFRMTGBEMDAwMDAwRDAwMDAwMDAwMDAwMDAwMDAwMDAwMDAwMDAwMDAENCwsNDg0QDg4QFA4O&#10;DhQUDg4ODhQRDAwMDAwREQwMDAwMDBEMDAwMDAwMDAwMDAwMDAwMDAwMDAwMDAwMDAwM/8AAEQgA&#10;aw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&#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2wBDAAYEBQYFBAYGBQYHBwYIChAKCgkJChQODwwQ&#10;FxQYGBcUFhYaHSUfGhsjHBYWICwgIyYnKSopGR8tMC0oMCUoKSj/2wBDAQcHBwoIChMKChMoGhYa&#10;KCgoKCgoKCgoKCgoKCgoKCgoKCgoKCgoKCgoKCgoKCgoKCgoKCgoKCgoKCgoKCgoKCj/wAARCAFB&#10;Ae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" stroked="f">
                <v:fill r:id="rId16" o:title="" recolor="t" rotate="t" type="frame"/>
                <v:shadow on="t" color="black" opacity="22937f" origin=",.5" offset="0,.63889mm"/>
              </v:rect>
            </w:pict>
          </mc:Fallback>
        </mc:AlternateContent>
      </w:r>
    </w:p>
    <w:p w:rsidR="00645CC8" w:rsidRDefault="00645CC8" w:rsidP="00854A82"/>
    <w:p w:rsidR="00645CC8" w:rsidRDefault="00645CC8" w:rsidP="00854A82"/>
    <w:p w:rsidR="00645CC8" w:rsidRDefault="00645CC8" w:rsidP="00854A82"/>
    <w:p w:rsidR="00645CC8" w:rsidRDefault="00645CC8" w:rsidP="00854A82"/>
    <w:p w:rsidR="00645CC8" w:rsidRDefault="00645CC8" w:rsidP="00854A82"/>
    <w:p w:rsidR="00645CC8" w:rsidRDefault="00645CC8" w:rsidP="00854A82"/>
    <w:p w:rsidR="00645CC8" w:rsidRDefault="00645CC8" w:rsidP="00854A82"/>
    <w:p w:rsidR="00645CC8" w:rsidRDefault="00645CC8" w:rsidP="00854A82"/>
    <w:p w:rsidR="00645CC8" w:rsidRDefault="00645CC8" w:rsidP="00854A82"/>
    <w:p w:rsidR="00645CC8" w:rsidRDefault="00645CC8" w:rsidP="00854A82"/>
    <w:p w:rsidR="00645CC8" w:rsidRDefault="00645CC8" w:rsidP="00854A82"/>
    <w:p w:rsidR="00645CC8" w:rsidRDefault="00645CC8" w:rsidP="00854A82"/>
    <w:tbl>
      <w:tblPr>
        <w:tblpPr w:leftFromText="187" w:rightFromText="187" w:vertAnchor="text" w:horzAnchor="margin" w:tblpXSpec="center" w:tblpY="1"/>
        <w:tblOverlap w:val="never"/>
        <w:tblW w:w="5000" w:type="pct"/>
        <w:jc w:val="center"/>
        <w:tblLook w:val="04A0" w:firstRow="1" w:lastRow="0" w:firstColumn="1" w:lastColumn="0" w:noHBand="0" w:noVBand="1"/>
      </w:tblPr>
      <w:tblGrid>
        <w:gridCol w:w="9245"/>
      </w:tblGrid>
      <w:tr w:rsidR="00645CC8" w:rsidRPr="00C820A7" w:rsidTr="00A36DA5">
        <w:trPr>
          <w:trHeight w:val="270"/>
          <w:jc w:val="center"/>
        </w:trPr>
        <w:tc>
          <w:tcPr>
            <w:tcW w:w="5000" w:type="pct"/>
          </w:tcPr>
          <w:p w:rsidR="00645CC8" w:rsidRPr="00D51AD9" w:rsidRDefault="00F66549" w:rsidP="00A36DA5">
            <w:pPr>
              <w:pStyle w:val="NoSpacing"/>
              <w:rPr>
                <w:rFonts w:asciiTheme="minorHAnsi" w:eastAsiaTheme="majorEastAsia" w:hAnsiTheme="minorHAnsi" w:cstheme="minorHAnsi"/>
                <w:caps/>
                <w:color w:val="68BAD6"/>
              </w:rPr>
            </w:pPr>
            <w:r>
              <w:rPr>
                <w:rFonts w:asciiTheme="minorHAnsi" w:eastAsiaTheme="majorEastAsia" w:hAnsiTheme="minorHAnsi" w:cstheme="minorHAnsi"/>
                <w:caps/>
                <w:color w:val="68BAD6"/>
                <w:sz w:val="32"/>
              </w:rPr>
              <w:t xml:space="preserve">FINAL </w:t>
            </w:r>
            <w:r w:rsidR="00645CC8" w:rsidRPr="00D51AD9">
              <w:rPr>
                <w:rFonts w:asciiTheme="minorHAnsi" w:eastAsiaTheme="majorEastAsia" w:hAnsiTheme="minorHAnsi" w:cstheme="minorHAnsi"/>
                <w:caps/>
                <w:color w:val="68BAD6"/>
                <w:sz w:val="32"/>
              </w:rPr>
              <w:t>REPORT</w:t>
            </w:r>
          </w:p>
        </w:tc>
      </w:tr>
      <w:tr w:rsidR="00645CC8" w:rsidRPr="00C820A7" w:rsidTr="00A36DA5">
        <w:trPr>
          <w:trHeight w:val="582"/>
          <w:jc w:val="center"/>
        </w:trPr>
        <w:tc>
          <w:tcPr>
            <w:tcW w:w="5000" w:type="pct"/>
            <w:vAlign w:val="center"/>
          </w:tcPr>
          <w:p w:rsidR="00645CC8" w:rsidRDefault="00045CAA" w:rsidP="00A36DA5">
            <w:pPr>
              <w:pStyle w:val="NoSpacing"/>
              <w:rPr>
                <w:rFonts w:asciiTheme="minorHAnsi" w:eastAsiaTheme="majorEastAsia" w:hAnsiTheme="minorHAnsi" w:cstheme="minorHAnsi"/>
                <w:color w:val="595959" w:themeColor="text1" w:themeTint="A6"/>
                <w:sz w:val="56"/>
                <w:szCs w:val="60"/>
              </w:rPr>
            </w:pPr>
            <w:r w:rsidRPr="00045CAA">
              <w:rPr>
                <w:rFonts w:asciiTheme="minorHAnsi" w:eastAsiaTheme="majorEastAsia" w:hAnsiTheme="minorHAnsi" w:cstheme="minorHAnsi"/>
                <w:color w:val="595959" w:themeColor="text1" w:themeTint="A6"/>
                <w:sz w:val="56"/>
                <w:szCs w:val="60"/>
              </w:rPr>
              <w:t xml:space="preserve">Annual Sector </w:t>
            </w:r>
            <w:r w:rsidR="00B31112">
              <w:rPr>
                <w:rFonts w:asciiTheme="minorHAnsi" w:eastAsiaTheme="majorEastAsia" w:hAnsiTheme="minorHAnsi" w:cstheme="minorHAnsi"/>
                <w:color w:val="595959" w:themeColor="text1" w:themeTint="A6"/>
                <w:sz w:val="56"/>
                <w:szCs w:val="60"/>
              </w:rPr>
              <w:t>Financial</w:t>
            </w:r>
            <w:r w:rsidRPr="00045CAA">
              <w:rPr>
                <w:rFonts w:asciiTheme="minorHAnsi" w:eastAsiaTheme="majorEastAsia" w:hAnsiTheme="minorHAnsi" w:cstheme="minorHAnsi"/>
                <w:color w:val="595959" w:themeColor="text1" w:themeTint="A6"/>
                <w:sz w:val="56"/>
                <w:szCs w:val="60"/>
              </w:rPr>
              <w:t xml:space="preserve"> Report </w:t>
            </w:r>
            <w:r w:rsidR="00B31112">
              <w:rPr>
                <w:rFonts w:asciiTheme="minorHAnsi" w:eastAsiaTheme="majorEastAsia" w:hAnsiTheme="minorHAnsi" w:cstheme="minorHAnsi"/>
                <w:color w:val="595959" w:themeColor="text1" w:themeTint="A6"/>
                <w:sz w:val="56"/>
                <w:szCs w:val="60"/>
              </w:rPr>
              <w:t>(</w:t>
            </w:r>
            <w:r w:rsidRPr="00045CAA">
              <w:rPr>
                <w:rFonts w:asciiTheme="minorHAnsi" w:eastAsiaTheme="majorEastAsia" w:hAnsiTheme="minorHAnsi" w:cstheme="minorHAnsi"/>
                <w:color w:val="595959" w:themeColor="text1" w:themeTint="A6"/>
                <w:sz w:val="56"/>
                <w:szCs w:val="60"/>
              </w:rPr>
              <w:t>201</w:t>
            </w:r>
            <w:r w:rsidR="00B31112">
              <w:rPr>
                <w:rFonts w:asciiTheme="minorHAnsi" w:eastAsiaTheme="majorEastAsia" w:hAnsiTheme="minorHAnsi" w:cstheme="minorHAnsi"/>
                <w:color w:val="595959" w:themeColor="text1" w:themeTint="A6"/>
                <w:sz w:val="56"/>
                <w:szCs w:val="60"/>
              </w:rPr>
              <w:t xml:space="preserve">2): </w:t>
            </w:r>
            <w:r w:rsidR="00B31112" w:rsidRPr="00B31112">
              <w:rPr>
                <w:rFonts w:asciiTheme="minorHAnsi" w:eastAsiaTheme="majorEastAsia" w:hAnsiTheme="minorHAnsi" w:cstheme="minorHAnsi"/>
                <w:color w:val="595959" w:themeColor="text1" w:themeTint="A6"/>
                <w:sz w:val="32"/>
                <w:szCs w:val="32"/>
              </w:rPr>
              <w:t>An annual review of Indonesian education sector financing</w:t>
            </w:r>
          </w:p>
          <w:p w:rsidR="001409A2" w:rsidRDefault="001409A2" w:rsidP="00A36DA5">
            <w:pPr>
              <w:pStyle w:val="NoSpacing"/>
              <w:rPr>
                <w:rFonts w:asciiTheme="minorHAnsi" w:eastAsiaTheme="majorEastAsia" w:hAnsiTheme="minorHAnsi" w:cstheme="minorHAnsi"/>
                <w:color w:val="595959" w:themeColor="text1" w:themeTint="A6"/>
                <w:sz w:val="32"/>
                <w:szCs w:val="32"/>
              </w:rPr>
            </w:pPr>
          </w:p>
          <w:p w:rsidR="00B31112" w:rsidRPr="00B9330C" w:rsidRDefault="00F66549" w:rsidP="00A36DA5">
            <w:pPr>
              <w:pStyle w:val="NoSpacing"/>
              <w:rPr>
                <w:rFonts w:asciiTheme="minorHAnsi" w:eastAsiaTheme="majorEastAsia" w:hAnsiTheme="minorHAnsi" w:cstheme="minorHAnsi"/>
                <w:color w:val="595959" w:themeColor="text1" w:themeTint="A6"/>
                <w:sz w:val="24"/>
                <w:szCs w:val="24"/>
              </w:rPr>
            </w:pPr>
            <w:r>
              <w:rPr>
                <w:rFonts w:asciiTheme="minorHAnsi" w:eastAsiaTheme="majorEastAsia" w:hAnsiTheme="minorHAnsi" w:cstheme="minorHAnsi"/>
                <w:color w:val="595959" w:themeColor="text1" w:themeTint="A6"/>
                <w:sz w:val="24"/>
                <w:szCs w:val="24"/>
              </w:rPr>
              <w:t>04 April</w:t>
            </w:r>
            <w:r w:rsidR="00B31112" w:rsidRPr="00B9330C">
              <w:rPr>
                <w:rFonts w:asciiTheme="minorHAnsi" w:eastAsiaTheme="majorEastAsia" w:hAnsiTheme="minorHAnsi" w:cstheme="minorHAnsi"/>
                <w:color w:val="595959" w:themeColor="text1" w:themeTint="A6"/>
                <w:sz w:val="24"/>
                <w:szCs w:val="24"/>
              </w:rPr>
              <w:t xml:space="preserve"> 2014</w:t>
            </w:r>
          </w:p>
        </w:tc>
      </w:tr>
      <w:tr w:rsidR="00645CC8" w:rsidRPr="00C820A7" w:rsidTr="00A36DA5">
        <w:trPr>
          <w:trHeight w:val="393"/>
          <w:jc w:val="center"/>
          <w:hidden/>
        </w:trPr>
        <w:tc>
          <w:tcPr>
            <w:tcW w:w="5000" w:type="pct"/>
            <w:vAlign w:val="center"/>
          </w:tcPr>
          <w:p w:rsidR="00045CAA" w:rsidRDefault="00045CAA" w:rsidP="00A36DA5">
            <w:pPr>
              <w:pStyle w:val="NoSpacing"/>
              <w:rPr>
                <w:rFonts w:asciiTheme="minorHAnsi" w:eastAsiaTheme="majorEastAsia" w:hAnsiTheme="minorHAnsi" w:cstheme="minorHAnsi"/>
                <w:vanish/>
                <w:color w:val="595959" w:themeColor="text1" w:themeTint="A6"/>
                <w:sz w:val="40"/>
                <w:szCs w:val="44"/>
              </w:rPr>
            </w:pPr>
            <w:r w:rsidRPr="00045CAA">
              <w:rPr>
                <w:rFonts w:asciiTheme="minorHAnsi" w:eastAsiaTheme="majorEastAsia" w:hAnsiTheme="minorHAnsi" w:cstheme="minorHAnsi"/>
                <w:vanish/>
                <w:color w:val="595959" w:themeColor="text1" w:themeTint="A6"/>
                <w:sz w:val="40"/>
                <w:szCs w:val="44"/>
              </w:rPr>
              <w:t>Draft Report</w:t>
            </w:r>
          </w:p>
          <w:p w:rsidR="00645CC8" w:rsidRPr="00D51AD9" w:rsidRDefault="00045CAA" w:rsidP="00A36DA5">
            <w:pPr>
              <w:pStyle w:val="NoSpacing"/>
              <w:rPr>
                <w:rFonts w:asciiTheme="minorHAnsi" w:eastAsiaTheme="majorEastAsia" w:hAnsiTheme="minorHAnsi" w:cstheme="minorHAnsi"/>
                <w:color w:val="595959" w:themeColor="text1" w:themeTint="A6"/>
                <w:sz w:val="40"/>
                <w:szCs w:val="44"/>
              </w:rPr>
            </w:pPr>
            <w:r w:rsidRPr="00045CAA">
              <w:rPr>
                <w:rFonts w:asciiTheme="minorHAnsi" w:eastAsiaTheme="majorEastAsia" w:hAnsiTheme="minorHAnsi" w:cstheme="minorHAnsi"/>
                <w:vanish/>
                <w:color w:val="FF0000"/>
                <w:sz w:val="32"/>
                <w:szCs w:val="44"/>
              </w:rPr>
              <w:t>For DFAT – Australian Aid only</w:t>
            </w:r>
          </w:p>
        </w:tc>
      </w:tr>
      <w:tr w:rsidR="00645CC8" w:rsidRPr="00C820A7" w:rsidTr="00A36DA5">
        <w:trPr>
          <w:trHeight w:val="393"/>
          <w:jc w:val="center"/>
          <w:hidden/>
        </w:trPr>
        <w:tc>
          <w:tcPr>
            <w:tcW w:w="5000" w:type="pct"/>
            <w:vAlign w:val="center"/>
          </w:tcPr>
          <w:p w:rsidR="00645CC8" w:rsidRPr="00B1509E" w:rsidRDefault="00645CC8" w:rsidP="00A36DA5">
            <w:pPr>
              <w:pStyle w:val="NoSpacing"/>
              <w:rPr>
                <w:rFonts w:asciiTheme="minorHAnsi" w:eastAsiaTheme="majorEastAsia" w:hAnsiTheme="minorHAnsi" w:cstheme="minorHAnsi"/>
                <w:b/>
                <w:vanish/>
                <w:color w:val="595959" w:themeColor="text1" w:themeTint="A6"/>
                <w:sz w:val="40"/>
                <w:szCs w:val="44"/>
              </w:rPr>
            </w:pPr>
          </w:p>
        </w:tc>
      </w:tr>
    </w:tbl>
    <w:p w:rsidR="00645CC8" w:rsidRPr="00861922" w:rsidRDefault="00645CC8" w:rsidP="00A36DA5">
      <w:pPr>
        <w:jc w:val="center"/>
        <w:rPr>
          <w:color w:val="68BAD6"/>
          <w:sz w:val="24"/>
        </w:rPr>
      </w:pPr>
      <w:r w:rsidRPr="00C820A7">
        <w:rPr>
          <w:rFonts w:asciiTheme="minorHAnsi" w:hAnsiTheme="minorHAnsi" w:cstheme="minorHAnsi"/>
          <w:b/>
          <w:noProof/>
          <w:color w:val="595959" w:themeColor="text1" w:themeTint="A6"/>
          <w:sz w:val="24"/>
          <w:lang w:val="en-AU" w:eastAsia="en-AU"/>
        </w:rPr>
        <w:drawing>
          <wp:anchor distT="0" distB="0" distL="114300" distR="114300" simplePos="0" relativeHeight="251670528" behindDoc="0" locked="1" layoutInCell="0" allowOverlap="1" wp14:anchorId="0E438FDC" wp14:editId="50F2AAAF">
            <wp:simplePos x="0" y="0"/>
            <wp:positionH relativeFrom="column">
              <wp:posOffset>-592455</wp:posOffset>
            </wp:positionH>
            <wp:positionV relativeFrom="page">
              <wp:posOffset>10134600</wp:posOffset>
            </wp:positionV>
            <wp:extent cx="7086600" cy="40195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ORK\EPOS\REPORT &amp; STATIONARY\emf\Watermark sky blue 50.em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86600" cy="401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1922">
        <w:rPr>
          <w:color w:val="68BAD6"/>
          <w:sz w:val="24"/>
          <w:szCs w:val="24"/>
        </w:rPr>
        <w:t xml:space="preserve">Australian Aid—managed by </w:t>
      </w:r>
      <w:r>
        <w:rPr>
          <w:color w:val="68BAD6"/>
          <w:sz w:val="24"/>
          <w:szCs w:val="24"/>
        </w:rPr>
        <w:t>GRM International</w:t>
      </w:r>
      <w:r w:rsidRPr="00861922">
        <w:rPr>
          <w:color w:val="68BAD6"/>
          <w:sz w:val="24"/>
          <w:szCs w:val="24"/>
        </w:rPr>
        <w:t xml:space="preserve"> on behalf of </w:t>
      </w:r>
      <w:r w:rsidR="00EC2E73">
        <w:rPr>
          <w:color w:val="68BAD6"/>
          <w:sz w:val="24"/>
          <w:szCs w:val="24"/>
        </w:rPr>
        <w:t xml:space="preserve">the </w:t>
      </w:r>
      <w:r>
        <w:rPr>
          <w:color w:val="68BAD6"/>
          <w:sz w:val="24"/>
          <w:szCs w:val="24"/>
        </w:rPr>
        <w:t>Australian Government</w:t>
      </w:r>
    </w:p>
    <w:p w:rsidR="00A36DA5" w:rsidRDefault="00A36DA5" w:rsidP="00854A82">
      <w:pPr>
        <w:sectPr w:rsidR="00A36DA5" w:rsidSect="00732091">
          <w:headerReference w:type="even" r:id="rId18"/>
          <w:headerReference w:type="default" r:id="rId19"/>
          <w:footerReference w:type="even" r:id="rId20"/>
          <w:footerReference w:type="default" r:id="rId21"/>
          <w:headerReference w:type="first" r:id="rId22"/>
          <w:footerReference w:type="first" r:id="rId23"/>
          <w:footnotePr>
            <w:numRestart w:val="eachSect"/>
          </w:footnotePr>
          <w:endnotePr>
            <w:numRestart w:val="eachSect"/>
          </w:endnotePr>
          <w:type w:val="oddPage"/>
          <w:pgSz w:w="11909" w:h="16834" w:code="9"/>
          <w:pgMar w:top="1440" w:right="1440" w:bottom="1440" w:left="1440" w:header="432" w:footer="720" w:gutter="0"/>
          <w:pgNumType w:fmt="lowerRoman"/>
          <w:cols w:space="720"/>
          <w:docGrid w:linePitch="360"/>
        </w:sectPr>
      </w:pPr>
    </w:p>
    <w:p w:rsidR="00645CC8" w:rsidRPr="003F5678" w:rsidRDefault="00645CC8" w:rsidP="003F5678">
      <w:pPr>
        <w:pStyle w:val="Heading1"/>
        <w:numPr>
          <w:ilvl w:val="0"/>
          <w:numId w:val="0"/>
        </w:numPr>
        <w:spacing w:after="1320"/>
        <w:rPr>
          <w:color w:val="68BAD6"/>
        </w:rPr>
      </w:pPr>
      <w:bookmarkStart w:id="1" w:name="_Toc359183496"/>
      <w:bookmarkStart w:id="2" w:name="_Toc359185247"/>
      <w:bookmarkStart w:id="3" w:name="_Toc359185320"/>
      <w:bookmarkStart w:id="4" w:name="_Toc365448953"/>
      <w:bookmarkStart w:id="5" w:name="_Toc385504509"/>
      <w:r w:rsidRPr="003F5678">
        <w:rPr>
          <w:color w:val="68BAD6"/>
        </w:rPr>
        <w:lastRenderedPageBreak/>
        <w:t>TABLE OF CONTENTS</w:t>
      </w:r>
      <w:bookmarkEnd w:id="1"/>
      <w:bookmarkEnd w:id="2"/>
      <w:bookmarkEnd w:id="3"/>
      <w:bookmarkEnd w:id="4"/>
      <w:bookmarkEnd w:id="5"/>
      <w:r w:rsidRPr="003F5678">
        <w:rPr>
          <w:color w:val="68BAD6"/>
        </w:rPr>
        <w:tab/>
      </w:r>
    </w:p>
    <w:p w:rsidR="00CB7516" w:rsidRDefault="00645CC8">
      <w:pPr>
        <w:pStyle w:val="TOC1"/>
        <w:rPr>
          <w:rFonts w:asciiTheme="minorHAnsi" w:eastAsiaTheme="minorEastAsia" w:hAnsiTheme="minorHAnsi" w:cstheme="minorBidi"/>
          <w:b w:val="0"/>
          <w:bCs w:val="0"/>
          <w:caps w:val="0"/>
          <w:color w:val="auto"/>
          <w:sz w:val="22"/>
          <w:szCs w:val="22"/>
          <w:lang w:val="en-AU" w:eastAsia="en-AU"/>
        </w:rPr>
      </w:pPr>
      <w:r w:rsidRPr="00EC2E73">
        <w:rPr>
          <w:rFonts w:asciiTheme="minorHAnsi" w:eastAsiaTheme="majorEastAsia" w:hAnsiTheme="minorHAnsi" w:cs="Arial"/>
          <w:b w:val="0"/>
          <w:caps w:val="0"/>
          <w:color w:val="000000" w:themeColor="text1"/>
          <w:sz w:val="22"/>
          <w:szCs w:val="22"/>
        </w:rPr>
        <w:fldChar w:fldCharType="begin"/>
      </w:r>
      <w:r w:rsidRPr="00EC2E73">
        <w:rPr>
          <w:rFonts w:asciiTheme="minorHAnsi" w:eastAsiaTheme="majorEastAsia" w:hAnsiTheme="minorHAnsi" w:cs="Arial"/>
          <w:b w:val="0"/>
          <w:caps w:val="0"/>
          <w:color w:val="000000" w:themeColor="text1"/>
          <w:sz w:val="22"/>
          <w:szCs w:val="22"/>
        </w:rPr>
        <w:instrText xml:space="preserve"> TOC \o "1-1" \h \z \u </w:instrText>
      </w:r>
      <w:r w:rsidRPr="00EC2E73">
        <w:rPr>
          <w:rFonts w:asciiTheme="minorHAnsi" w:eastAsiaTheme="majorEastAsia" w:hAnsiTheme="minorHAnsi" w:cs="Arial"/>
          <w:b w:val="0"/>
          <w:caps w:val="0"/>
          <w:color w:val="000000" w:themeColor="text1"/>
          <w:sz w:val="22"/>
          <w:szCs w:val="22"/>
        </w:rPr>
        <w:fldChar w:fldCharType="separate"/>
      </w:r>
      <w:hyperlink w:anchor="_Toc385504509" w:history="1">
        <w:r w:rsidR="00CB7516" w:rsidRPr="0046205B">
          <w:rPr>
            <w:rStyle w:val="Hyperlink"/>
          </w:rPr>
          <w:t>TABLE OF CONTENTS</w:t>
        </w:r>
        <w:r w:rsidR="00CB7516">
          <w:rPr>
            <w:webHidden/>
          </w:rPr>
          <w:tab/>
        </w:r>
        <w:r w:rsidR="00CB7516">
          <w:rPr>
            <w:webHidden/>
          </w:rPr>
          <w:fldChar w:fldCharType="begin"/>
        </w:r>
        <w:r w:rsidR="00CB7516">
          <w:rPr>
            <w:webHidden/>
          </w:rPr>
          <w:instrText xml:space="preserve"> PAGEREF _Toc385504509 \h </w:instrText>
        </w:r>
        <w:r w:rsidR="00CB7516">
          <w:rPr>
            <w:webHidden/>
          </w:rPr>
        </w:r>
        <w:r w:rsidR="00CB7516">
          <w:rPr>
            <w:webHidden/>
          </w:rPr>
          <w:fldChar w:fldCharType="separate"/>
        </w:r>
        <w:r w:rsidR="00CB7516">
          <w:rPr>
            <w:webHidden/>
          </w:rPr>
          <w:t>i</w:t>
        </w:r>
        <w:r w:rsidR="00CB7516">
          <w:rPr>
            <w:webHidden/>
          </w:rPr>
          <w:fldChar w:fldCharType="end"/>
        </w:r>
      </w:hyperlink>
    </w:p>
    <w:p w:rsidR="00CB7516" w:rsidRDefault="00FE7C1D">
      <w:pPr>
        <w:pStyle w:val="TOC1"/>
        <w:rPr>
          <w:rFonts w:asciiTheme="minorHAnsi" w:eastAsiaTheme="minorEastAsia" w:hAnsiTheme="minorHAnsi" w:cstheme="minorBidi"/>
          <w:b w:val="0"/>
          <w:bCs w:val="0"/>
          <w:caps w:val="0"/>
          <w:color w:val="auto"/>
          <w:sz w:val="22"/>
          <w:szCs w:val="22"/>
          <w:lang w:val="en-AU" w:eastAsia="en-AU"/>
        </w:rPr>
      </w:pPr>
      <w:hyperlink w:anchor="_Toc385504510" w:history="1">
        <w:r w:rsidR="00CB7516" w:rsidRPr="0046205B">
          <w:rPr>
            <w:rStyle w:val="Hyperlink"/>
          </w:rPr>
          <w:t>LIST OF TABLES AND FIGURES</w:t>
        </w:r>
        <w:r w:rsidR="00CB7516">
          <w:rPr>
            <w:webHidden/>
          </w:rPr>
          <w:tab/>
        </w:r>
        <w:r w:rsidR="00CB7516">
          <w:rPr>
            <w:webHidden/>
          </w:rPr>
          <w:fldChar w:fldCharType="begin"/>
        </w:r>
        <w:r w:rsidR="00CB7516">
          <w:rPr>
            <w:webHidden/>
          </w:rPr>
          <w:instrText xml:space="preserve"> PAGEREF _Toc385504510 \h </w:instrText>
        </w:r>
        <w:r w:rsidR="00CB7516">
          <w:rPr>
            <w:webHidden/>
          </w:rPr>
        </w:r>
        <w:r w:rsidR="00CB7516">
          <w:rPr>
            <w:webHidden/>
          </w:rPr>
          <w:fldChar w:fldCharType="separate"/>
        </w:r>
        <w:r w:rsidR="00CB7516">
          <w:rPr>
            <w:webHidden/>
          </w:rPr>
          <w:t>ii</w:t>
        </w:r>
        <w:r w:rsidR="00CB7516">
          <w:rPr>
            <w:webHidden/>
          </w:rPr>
          <w:fldChar w:fldCharType="end"/>
        </w:r>
      </w:hyperlink>
    </w:p>
    <w:p w:rsidR="00CB7516" w:rsidRDefault="00FE7C1D">
      <w:pPr>
        <w:pStyle w:val="TOC1"/>
        <w:rPr>
          <w:rFonts w:asciiTheme="minorHAnsi" w:eastAsiaTheme="minorEastAsia" w:hAnsiTheme="minorHAnsi" w:cstheme="minorBidi"/>
          <w:b w:val="0"/>
          <w:bCs w:val="0"/>
          <w:caps w:val="0"/>
          <w:color w:val="auto"/>
          <w:sz w:val="22"/>
          <w:szCs w:val="22"/>
          <w:lang w:val="en-AU" w:eastAsia="en-AU"/>
        </w:rPr>
      </w:pPr>
      <w:hyperlink w:anchor="_Toc385504511" w:history="1">
        <w:r w:rsidR="00CB7516" w:rsidRPr="0046205B">
          <w:rPr>
            <w:rStyle w:val="Hyperlink"/>
          </w:rPr>
          <w:t>ABBREVIATIONS AND ACRONYMS</w:t>
        </w:r>
        <w:r w:rsidR="00CB7516">
          <w:rPr>
            <w:webHidden/>
          </w:rPr>
          <w:tab/>
        </w:r>
        <w:r w:rsidR="00CB7516">
          <w:rPr>
            <w:webHidden/>
          </w:rPr>
          <w:fldChar w:fldCharType="begin"/>
        </w:r>
        <w:r w:rsidR="00CB7516">
          <w:rPr>
            <w:webHidden/>
          </w:rPr>
          <w:instrText xml:space="preserve"> PAGEREF _Toc385504511 \h </w:instrText>
        </w:r>
        <w:r w:rsidR="00CB7516">
          <w:rPr>
            <w:webHidden/>
          </w:rPr>
        </w:r>
        <w:r w:rsidR="00CB7516">
          <w:rPr>
            <w:webHidden/>
          </w:rPr>
          <w:fldChar w:fldCharType="separate"/>
        </w:r>
        <w:r w:rsidR="00CB7516">
          <w:rPr>
            <w:webHidden/>
          </w:rPr>
          <w:t>iv</w:t>
        </w:r>
        <w:r w:rsidR="00CB7516">
          <w:rPr>
            <w:webHidden/>
          </w:rPr>
          <w:fldChar w:fldCharType="end"/>
        </w:r>
      </w:hyperlink>
    </w:p>
    <w:p w:rsidR="00CB7516" w:rsidRDefault="00FE7C1D">
      <w:pPr>
        <w:pStyle w:val="TOC1"/>
        <w:rPr>
          <w:rFonts w:asciiTheme="minorHAnsi" w:eastAsiaTheme="minorEastAsia" w:hAnsiTheme="minorHAnsi" w:cstheme="minorBidi"/>
          <w:b w:val="0"/>
          <w:bCs w:val="0"/>
          <w:caps w:val="0"/>
          <w:color w:val="auto"/>
          <w:sz w:val="22"/>
          <w:szCs w:val="22"/>
          <w:lang w:val="en-AU" w:eastAsia="en-AU"/>
        </w:rPr>
      </w:pPr>
      <w:hyperlink w:anchor="_Toc385504512" w:history="1">
        <w:r w:rsidR="00CB7516" w:rsidRPr="0046205B">
          <w:rPr>
            <w:rStyle w:val="Hyperlink"/>
          </w:rPr>
          <w:t>PREFACE</w:t>
        </w:r>
        <w:r w:rsidR="00CB7516">
          <w:rPr>
            <w:webHidden/>
          </w:rPr>
          <w:tab/>
        </w:r>
        <w:r w:rsidR="00CB7516">
          <w:rPr>
            <w:webHidden/>
          </w:rPr>
          <w:fldChar w:fldCharType="begin"/>
        </w:r>
        <w:r w:rsidR="00CB7516">
          <w:rPr>
            <w:webHidden/>
          </w:rPr>
          <w:instrText xml:space="preserve"> PAGEREF _Toc385504512 \h </w:instrText>
        </w:r>
        <w:r w:rsidR="00CB7516">
          <w:rPr>
            <w:webHidden/>
          </w:rPr>
        </w:r>
        <w:r w:rsidR="00CB7516">
          <w:rPr>
            <w:webHidden/>
          </w:rPr>
          <w:fldChar w:fldCharType="separate"/>
        </w:r>
        <w:r w:rsidR="00CB7516">
          <w:rPr>
            <w:webHidden/>
          </w:rPr>
          <w:t>vi</w:t>
        </w:r>
        <w:r w:rsidR="00CB7516">
          <w:rPr>
            <w:webHidden/>
          </w:rPr>
          <w:fldChar w:fldCharType="end"/>
        </w:r>
      </w:hyperlink>
    </w:p>
    <w:p w:rsidR="00CB7516" w:rsidRDefault="00FE7C1D">
      <w:pPr>
        <w:pStyle w:val="TOC1"/>
        <w:rPr>
          <w:rFonts w:asciiTheme="minorHAnsi" w:eastAsiaTheme="minorEastAsia" w:hAnsiTheme="minorHAnsi" w:cstheme="minorBidi"/>
          <w:b w:val="0"/>
          <w:bCs w:val="0"/>
          <w:caps w:val="0"/>
          <w:color w:val="auto"/>
          <w:sz w:val="22"/>
          <w:szCs w:val="22"/>
          <w:lang w:val="en-AU" w:eastAsia="en-AU"/>
        </w:rPr>
      </w:pPr>
      <w:hyperlink w:anchor="_Toc385504513" w:history="1">
        <w:r w:rsidR="00CB7516" w:rsidRPr="0046205B">
          <w:rPr>
            <w:rStyle w:val="Hyperlink"/>
          </w:rPr>
          <w:t>EXECUTIVE SUMMARY</w:t>
        </w:r>
        <w:r w:rsidR="00CB7516">
          <w:rPr>
            <w:webHidden/>
          </w:rPr>
          <w:tab/>
        </w:r>
        <w:r w:rsidR="00CB7516">
          <w:rPr>
            <w:webHidden/>
          </w:rPr>
          <w:fldChar w:fldCharType="begin"/>
        </w:r>
        <w:r w:rsidR="00CB7516">
          <w:rPr>
            <w:webHidden/>
          </w:rPr>
          <w:instrText xml:space="preserve"> PAGEREF _Toc385504513 \h </w:instrText>
        </w:r>
        <w:r w:rsidR="00CB7516">
          <w:rPr>
            <w:webHidden/>
          </w:rPr>
        </w:r>
        <w:r w:rsidR="00CB7516">
          <w:rPr>
            <w:webHidden/>
          </w:rPr>
          <w:fldChar w:fldCharType="separate"/>
        </w:r>
        <w:r w:rsidR="00CB7516">
          <w:rPr>
            <w:webHidden/>
          </w:rPr>
          <w:t>vii</w:t>
        </w:r>
        <w:r w:rsidR="00CB7516">
          <w:rPr>
            <w:webHidden/>
          </w:rPr>
          <w:fldChar w:fldCharType="end"/>
        </w:r>
      </w:hyperlink>
    </w:p>
    <w:p w:rsidR="00CB7516" w:rsidRDefault="00FE7C1D">
      <w:pPr>
        <w:pStyle w:val="TOC1"/>
        <w:rPr>
          <w:rFonts w:asciiTheme="minorHAnsi" w:eastAsiaTheme="minorEastAsia" w:hAnsiTheme="minorHAnsi" w:cstheme="minorBidi"/>
          <w:b w:val="0"/>
          <w:bCs w:val="0"/>
          <w:caps w:val="0"/>
          <w:color w:val="auto"/>
          <w:sz w:val="22"/>
          <w:szCs w:val="22"/>
          <w:lang w:val="en-AU" w:eastAsia="en-AU"/>
        </w:rPr>
      </w:pPr>
      <w:hyperlink w:anchor="_Toc385504514" w:history="1">
        <w:r w:rsidR="00CB7516" w:rsidRPr="0046205B">
          <w:rPr>
            <w:rStyle w:val="Hyperlink"/>
          </w:rPr>
          <w:t>1</w:t>
        </w:r>
        <w:r w:rsidR="00CB7516">
          <w:rPr>
            <w:rFonts w:asciiTheme="minorHAnsi" w:eastAsiaTheme="minorEastAsia" w:hAnsiTheme="minorHAnsi" w:cstheme="minorBidi"/>
            <w:b w:val="0"/>
            <w:bCs w:val="0"/>
            <w:caps w:val="0"/>
            <w:color w:val="auto"/>
            <w:sz w:val="22"/>
            <w:szCs w:val="22"/>
            <w:lang w:val="en-AU" w:eastAsia="en-AU"/>
          </w:rPr>
          <w:tab/>
        </w:r>
        <w:r w:rsidR="00CB7516" w:rsidRPr="0046205B">
          <w:rPr>
            <w:rStyle w:val="Hyperlink"/>
          </w:rPr>
          <w:t>INTRODUCTION, APPROACH AND METHODOLOGY</w:t>
        </w:r>
        <w:r w:rsidR="00CB7516">
          <w:rPr>
            <w:webHidden/>
          </w:rPr>
          <w:tab/>
        </w:r>
        <w:r w:rsidR="00CB7516">
          <w:rPr>
            <w:webHidden/>
          </w:rPr>
          <w:fldChar w:fldCharType="begin"/>
        </w:r>
        <w:r w:rsidR="00CB7516">
          <w:rPr>
            <w:webHidden/>
          </w:rPr>
          <w:instrText xml:space="preserve"> PAGEREF _Toc385504514 \h </w:instrText>
        </w:r>
        <w:r w:rsidR="00CB7516">
          <w:rPr>
            <w:webHidden/>
          </w:rPr>
        </w:r>
        <w:r w:rsidR="00CB7516">
          <w:rPr>
            <w:webHidden/>
          </w:rPr>
          <w:fldChar w:fldCharType="separate"/>
        </w:r>
        <w:r w:rsidR="00CB7516">
          <w:rPr>
            <w:webHidden/>
          </w:rPr>
          <w:t>2</w:t>
        </w:r>
        <w:r w:rsidR="00CB7516">
          <w:rPr>
            <w:webHidden/>
          </w:rPr>
          <w:fldChar w:fldCharType="end"/>
        </w:r>
      </w:hyperlink>
    </w:p>
    <w:p w:rsidR="00CB7516" w:rsidRDefault="00FE7C1D">
      <w:pPr>
        <w:pStyle w:val="TOC1"/>
        <w:rPr>
          <w:rFonts w:asciiTheme="minorHAnsi" w:eastAsiaTheme="minorEastAsia" w:hAnsiTheme="minorHAnsi" w:cstheme="minorBidi"/>
          <w:b w:val="0"/>
          <w:bCs w:val="0"/>
          <w:caps w:val="0"/>
          <w:color w:val="auto"/>
          <w:sz w:val="22"/>
          <w:szCs w:val="22"/>
          <w:lang w:val="en-AU" w:eastAsia="en-AU"/>
        </w:rPr>
      </w:pPr>
      <w:hyperlink w:anchor="_Toc385504515" w:history="1">
        <w:r w:rsidR="00CB7516" w:rsidRPr="0046205B">
          <w:rPr>
            <w:rStyle w:val="Hyperlink"/>
          </w:rPr>
          <w:t>2</w:t>
        </w:r>
        <w:r w:rsidR="00CB7516">
          <w:rPr>
            <w:rFonts w:asciiTheme="minorHAnsi" w:eastAsiaTheme="minorEastAsia" w:hAnsiTheme="minorHAnsi" w:cstheme="minorBidi"/>
            <w:b w:val="0"/>
            <w:bCs w:val="0"/>
            <w:caps w:val="0"/>
            <w:color w:val="auto"/>
            <w:sz w:val="22"/>
            <w:szCs w:val="22"/>
            <w:lang w:val="en-AU" w:eastAsia="en-AU"/>
          </w:rPr>
          <w:tab/>
        </w:r>
        <w:r w:rsidR="00CB7516" w:rsidRPr="0046205B">
          <w:rPr>
            <w:rStyle w:val="Hyperlink"/>
          </w:rPr>
          <w:t>FINANCIAL PERFORMANCE AT NATIONAL LEVEL</w:t>
        </w:r>
        <w:r w:rsidR="00CB7516">
          <w:rPr>
            <w:webHidden/>
          </w:rPr>
          <w:tab/>
        </w:r>
        <w:r w:rsidR="00CB7516">
          <w:rPr>
            <w:webHidden/>
          </w:rPr>
          <w:fldChar w:fldCharType="begin"/>
        </w:r>
        <w:r w:rsidR="00CB7516">
          <w:rPr>
            <w:webHidden/>
          </w:rPr>
          <w:instrText xml:space="preserve"> PAGEREF _Toc385504515 \h </w:instrText>
        </w:r>
        <w:r w:rsidR="00CB7516">
          <w:rPr>
            <w:webHidden/>
          </w:rPr>
        </w:r>
        <w:r w:rsidR="00CB7516">
          <w:rPr>
            <w:webHidden/>
          </w:rPr>
          <w:fldChar w:fldCharType="separate"/>
        </w:r>
        <w:r w:rsidR="00CB7516">
          <w:rPr>
            <w:webHidden/>
          </w:rPr>
          <w:t>7</w:t>
        </w:r>
        <w:r w:rsidR="00CB7516">
          <w:rPr>
            <w:webHidden/>
          </w:rPr>
          <w:fldChar w:fldCharType="end"/>
        </w:r>
      </w:hyperlink>
    </w:p>
    <w:p w:rsidR="00CB7516" w:rsidRDefault="00FE7C1D">
      <w:pPr>
        <w:pStyle w:val="TOC1"/>
        <w:rPr>
          <w:rFonts w:asciiTheme="minorHAnsi" w:eastAsiaTheme="minorEastAsia" w:hAnsiTheme="minorHAnsi" w:cstheme="minorBidi"/>
          <w:b w:val="0"/>
          <w:bCs w:val="0"/>
          <w:caps w:val="0"/>
          <w:color w:val="auto"/>
          <w:sz w:val="22"/>
          <w:szCs w:val="22"/>
          <w:lang w:val="en-AU" w:eastAsia="en-AU"/>
        </w:rPr>
      </w:pPr>
      <w:hyperlink w:anchor="_Toc385504516" w:history="1">
        <w:r w:rsidR="00CB7516" w:rsidRPr="0046205B">
          <w:rPr>
            <w:rStyle w:val="Hyperlink"/>
          </w:rPr>
          <w:t>3</w:t>
        </w:r>
        <w:r w:rsidR="00CB7516">
          <w:rPr>
            <w:rFonts w:asciiTheme="minorHAnsi" w:eastAsiaTheme="minorEastAsia" w:hAnsiTheme="minorHAnsi" w:cstheme="minorBidi"/>
            <w:b w:val="0"/>
            <w:bCs w:val="0"/>
            <w:caps w:val="0"/>
            <w:color w:val="auto"/>
            <w:sz w:val="22"/>
            <w:szCs w:val="22"/>
            <w:lang w:val="en-AU" w:eastAsia="en-AU"/>
          </w:rPr>
          <w:tab/>
        </w:r>
        <w:r w:rsidR="00CB7516" w:rsidRPr="0046205B">
          <w:rPr>
            <w:rStyle w:val="Hyperlink"/>
          </w:rPr>
          <w:t>FINANCIAL PERFORMANCE AT DISTRICT LEVEL</w:t>
        </w:r>
        <w:r w:rsidR="00CB7516">
          <w:rPr>
            <w:webHidden/>
          </w:rPr>
          <w:tab/>
        </w:r>
        <w:r w:rsidR="00CB7516">
          <w:rPr>
            <w:webHidden/>
          </w:rPr>
          <w:fldChar w:fldCharType="begin"/>
        </w:r>
        <w:r w:rsidR="00CB7516">
          <w:rPr>
            <w:webHidden/>
          </w:rPr>
          <w:instrText xml:space="preserve"> PAGEREF _Toc385504516 \h </w:instrText>
        </w:r>
        <w:r w:rsidR="00CB7516">
          <w:rPr>
            <w:webHidden/>
          </w:rPr>
        </w:r>
        <w:r w:rsidR="00CB7516">
          <w:rPr>
            <w:webHidden/>
          </w:rPr>
          <w:fldChar w:fldCharType="separate"/>
        </w:r>
        <w:r w:rsidR="00CB7516">
          <w:rPr>
            <w:webHidden/>
          </w:rPr>
          <w:t>18</w:t>
        </w:r>
        <w:r w:rsidR="00CB7516">
          <w:rPr>
            <w:webHidden/>
          </w:rPr>
          <w:fldChar w:fldCharType="end"/>
        </w:r>
      </w:hyperlink>
    </w:p>
    <w:p w:rsidR="00CB7516" w:rsidRDefault="00FE7C1D">
      <w:pPr>
        <w:pStyle w:val="TOC1"/>
        <w:rPr>
          <w:rFonts w:asciiTheme="minorHAnsi" w:eastAsiaTheme="minorEastAsia" w:hAnsiTheme="minorHAnsi" w:cstheme="minorBidi"/>
          <w:b w:val="0"/>
          <w:bCs w:val="0"/>
          <w:caps w:val="0"/>
          <w:color w:val="auto"/>
          <w:sz w:val="22"/>
          <w:szCs w:val="22"/>
          <w:lang w:val="en-AU" w:eastAsia="en-AU"/>
        </w:rPr>
      </w:pPr>
      <w:hyperlink w:anchor="_Toc385504517" w:history="1">
        <w:r w:rsidR="00CB7516" w:rsidRPr="0046205B">
          <w:rPr>
            <w:rStyle w:val="Hyperlink"/>
          </w:rPr>
          <w:t>4</w:t>
        </w:r>
        <w:r w:rsidR="00CB7516">
          <w:rPr>
            <w:rFonts w:asciiTheme="minorHAnsi" w:eastAsiaTheme="minorEastAsia" w:hAnsiTheme="minorHAnsi" w:cstheme="minorBidi"/>
            <w:b w:val="0"/>
            <w:bCs w:val="0"/>
            <w:caps w:val="0"/>
            <w:color w:val="auto"/>
            <w:sz w:val="22"/>
            <w:szCs w:val="22"/>
            <w:lang w:val="en-AU" w:eastAsia="en-AU"/>
          </w:rPr>
          <w:tab/>
        </w:r>
        <w:r w:rsidR="00CB7516" w:rsidRPr="0046205B">
          <w:rPr>
            <w:rStyle w:val="Hyperlink"/>
          </w:rPr>
          <w:t>THE BOTTOM-LINE</w:t>
        </w:r>
        <w:r w:rsidR="00CB7516">
          <w:rPr>
            <w:webHidden/>
          </w:rPr>
          <w:tab/>
        </w:r>
        <w:r w:rsidR="00CB7516">
          <w:rPr>
            <w:webHidden/>
          </w:rPr>
          <w:fldChar w:fldCharType="begin"/>
        </w:r>
        <w:r w:rsidR="00CB7516">
          <w:rPr>
            <w:webHidden/>
          </w:rPr>
          <w:instrText xml:space="preserve"> PAGEREF _Toc385504517 \h </w:instrText>
        </w:r>
        <w:r w:rsidR="00CB7516">
          <w:rPr>
            <w:webHidden/>
          </w:rPr>
        </w:r>
        <w:r w:rsidR="00CB7516">
          <w:rPr>
            <w:webHidden/>
          </w:rPr>
          <w:fldChar w:fldCharType="separate"/>
        </w:r>
        <w:r w:rsidR="00CB7516">
          <w:rPr>
            <w:webHidden/>
          </w:rPr>
          <w:t>58</w:t>
        </w:r>
        <w:r w:rsidR="00CB7516">
          <w:rPr>
            <w:webHidden/>
          </w:rPr>
          <w:fldChar w:fldCharType="end"/>
        </w:r>
      </w:hyperlink>
    </w:p>
    <w:p w:rsidR="00CB7516" w:rsidRDefault="00FE7C1D">
      <w:pPr>
        <w:pStyle w:val="TOC1"/>
        <w:rPr>
          <w:rFonts w:asciiTheme="minorHAnsi" w:eastAsiaTheme="minorEastAsia" w:hAnsiTheme="minorHAnsi" w:cstheme="minorBidi"/>
          <w:b w:val="0"/>
          <w:bCs w:val="0"/>
          <w:caps w:val="0"/>
          <w:color w:val="auto"/>
          <w:sz w:val="22"/>
          <w:szCs w:val="22"/>
          <w:lang w:val="en-AU" w:eastAsia="en-AU"/>
        </w:rPr>
      </w:pPr>
      <w:hyperlink w:anchor="_Toc385504518" w:history="1">
        <w:r w:rsidR="00CB7516" w:rsidRPr="0046205B">
          <w:rPr>
            <w:rStyle w:val="Hyperlink"/>
          </w:rPr>
          <w:t>5</w:t>
        </w:r>
        <w:r w:rsidR="00CB7516">
          <w:rPr>
            <w:rFonts w:asciiTheme="minorHAnsi" w:eastAsiaTheme="minorEastAsia" w:hAnsiTheme="minorHAnsi" w:cstheme="minorBidi"/>
            <w:b w:val="0"/>
            <w:bCs w:val="0"/>
            <w:caps w:val="0"/>
            <w:color w:val="auto"/>
            <w:sz w:val="22"/>
            <w:szCs w:val="22"/>
            <w:lang w:val="en-AU" w:eastAsia="en-AU"/>
          </w:rPr>
          <w:tab/>
        </w:r>
        <w:r w:rsidR="00CB7516" w:rsidRPr="0046205B">
          <w:rPr>
            <w:rStyle w:val="Hyperlink"/>
          </w:rPr>
          <w:t>NEXT STEPS</w:t>
        </w:r>
        <w:r w:rsidR="00CB7516">
          <w:rPr>
            <w:webHidden/>
          </w:rPr>
          <w:tab/>
        </w:r>
        <w:r w:rsidR="00CB7516">
          <w:rPr>
            <w:webHidden/>
          </w:rPr>
          <w:fldChar w:fldCharType="begin"/>
        </w:r>
        <w:r w:rsidR="00CB7516">
          <w:rPr>
            <w:webHidden/>
          </w:rPr>
          <w:instrText xml:space="preserve"> PAGEREF _Toc385504518 \h </w:instrText>
        </w:r>
        <w:r w:rsidR="00CB7516">
          <w:rPr>
            <w:webHidden/>
          </w:rPr>
        </w:r>
        <w:r w:rsidR="00CB7516">
          <w:rPr>
            <w:webHidden/>
          </w:rPr>
          <w:fldChar w:fldCharType="separate"/>
        </w:r>
        <w:r w:rsidR="00CB7516">
          <w:rPr>
            <w:webHidden/>
          </w:rPr>
          <w:t>65</w:t>
        </w:r>
        <w:r w:rsidR="00CB7516">
          <w:rPr>
            <w:webHidden/>
          </w:rPr>
          <w:fldChar w:fldCharType="end"/>
        </w:r>
      </w:hyperlink>
    </w:p>
    <w:p w:rsidR="00CB7516" w:rsidRDefault="00FE7C1D">
      <w:pPr>
        <w:pStyle w:val="TOC1"/>
        <w:rPr>
          <w:rFonts w:asciiTheme="minorHAnsi" w:eastAsiaTheme="minorEastAsia" w:hAnsiTheme="minorHAnsi" w:cstheme="minorBidi"/>
          <w:b w:val="0"/>
          <w:bCs w:val="0"/>
          <w:caps w:val="0"/>
          <w:color w:val="auto"/>
          <w:sz w:val="22"/>
          <w:szCs w:val="22"/>
          <w:lang w:val="en-AU" w:eastAsia="en-AU"/>
        </w:rPr>
      </w:pPr>
      <w:hyperlink w:anchor="_Toc385504519" w:history="1">
        <w:r w:rsidR="00CB7516" w:rsidRPr="0046205B">
          <w:rPr>
            <w:rStyle w:val="Hyperlink"/>
          </w:rPr>
          <w:t>Annex A - EP LOGIC ARCHITECTURE</w:t>
        </w:r>
        <w:r w:rsidR="00CB7516">
          <w:rPr>
            <w:webHidden/>
          </w:rPr>
          <w:tab/>
        </w:r>
        <w:r w:rsidR="00CB7516">
          <w:rPr>
            <w:webHidden/>
          </w:rPr>
          <w:fldChar w:fldCharType="begin"/>
        </w:r>
        <w:r w:rsidR="00CB7516">
          <w:rPr>
            <w:webHidden/>
          </w:rPr>
          <w:instrText xml:space="preserve"> PAGEREF _Toc385504519 \h </w:instrText>
        </w:r>
        <w:r w:rsidR="00CB7516">
          <w:rPr>
            <w:webHidden/>
          </w:rPr>
        </w:r>
        <w:r w:rsidR="00CB7516">
          <w:rPr>
            <w:webHidden/>
          </w:rPr>
          <w:fldChar w:fldCharType="separate"/>
        </w:r>
        <w:r w:rsidR="00CB7516">
          <w:rPr>
            <w:webHidden/>
          </w:rPr>
          <w:t>66</w:t>
        </w:r>
        <w:r w:rsidR="00CB7516">
          <w:rPr>
            <w:webHidden/>
          </w:rPr>
          <w:fldChar w:fldCharType="end"/>
        </w:r>
      </w:hyperlink>
    </w:p>
    <w:p w:rsidR="00CB7516" w:rsidRDefault="00FE7C1D">
      <w:pPr>
        <w:pStyle w:val="TOC1"/>
        <w:rPr>
          <w:rFonts w:asciiTheme="minorHAnsi" w:eastAsiaTheme="minorEastAsia" w:hAnsiTheme="minorHAnsi" w:cstheme="minorBidi"/>
          <w:b w:val="0"/>
          <w:bCs w:val="0"/>
          <w:caps w:val="0"/>
          <w:color w:val="auto"/>
          <w:sz w:val="22"/>
          <w:szCs w:val="22"/>
          <w:lang w:val="en-AU" w:eastAsia="en-AU"/>
        </w:rPr>
      </w:pPr>
      <w:hyperlink w:anchor="_Toc385504520" w:history="1">
        <w:r w:rsidR="00CB7516" w:rsidRPr="0046205B">
          <w:rPr>
            <w:rStyle w:val="Hyperlink"/>
          </w:rPr>
          <w:t>Annex B – Statistical Table Related to EP Districts</w:t>
        </w:r>
        <w:r w:rsidR="00CB7516">
          <w:rPr>
            <w:webHidden/>
          </w:rPr>
          <w:tab/>
        </w:r>
        <w:r w:rsidR="00CB7516">
          <w:rPr>
            <w:webHidden/>
          </w:rPr>
          <w:fldChar w:fldCharType="begin"/>
        </w:r>
        <w:r w:rsidR="00CB7516">
          <w:rPr>
            <w:webHidden/>
          </w:rPr>
          <w:instrText xml:space="preserve"> PAGEREF _Toc385504520 \h </w:instrText>
        </w:r>
        <w:r w:rsidR="00CB7516">
          <w:rPr>
            <w:webHidden/>
          </w:rPr>
        </w:r>
        <w:r w:rsidR="00CB7516">
          <w:rPr>
            <w:webHidden/>
          </w:rPr>
          <w:fldChar w:fldCharType="separate"/>
        </w:r>
        <w:r w:rsidR="00CB7516">
          <w:rPr>
            <w:webHidden/>
          </w:rPr>
          <w:t>67</w:t>
        </w:r>
        <w:r w:rsidR="00CB7516">
          <w:rPr>
            <w:webHidden/>
          </w:rPr>
          <w:fldChar w:fldCharType="end"/>
        </w:r>
      </w:hyperlink>
    </w:p>
    <w:p w:rsidR="00645CC8" w:rsidRDefault="00645CC8" w:rsidP="00645CC8">
      <w:pPr>
        <w:rPr>
          <w:rFonts w:ascii="Arial" w:eastAsiaTheme="majorEastAsia" w:hAnsi="Arial" w:cs="Arial"/>
          <w:bCs/>
          <w:color w:val="365F91" w:themeColor="accent1" w:themeShade="BF"/>
        </w:rPr>
      </w:pPr>
      <w:r w:rsidRPr="00EC2E73">
        <w:rPr>
          <w:rFonts w:asciiTheme="minorHAnsi" w:eastAsiaTheme="majorEastAsia" w:hAnsiTheme="minorHAnsi" w:cs="Arial"/>
          <w:bCs/>
          <w:color w:val="000000" w:themeColor="text1"/>
        </w:rPr>
        <w:fldChar w:fldCharType="end"/>
      </w:r>
    </w:p>
    <w:p w:rsidR="0032365A" w:rsidRDefault="0032365A" w:rsidP="003F5678">
      <w:pPr>
        <w:pStyle w:val="Heading1"/>
        <w:numPr>
          <w:ilvl w:val="0"/>
          <w:numId w:val="0"/>
        </w:numPr>
        <w:spacing w:after="1320"/>
        <w:rPr>
          <w:color w:val="68BAD6"/>
        </w:rPr>
        <w:sectPr w:rsidR="0032365A" w:rsidSect="0038463D">
          <w:headerReference w:type="default" r:id="rId24"/>
          <w:footerReference w:type="default" r:id="rId25"/>
          <w:headerReference w:type="first" r:id="rId26"/>
          <w:footerReference w:type="first" r:id="rId27"/>
          <w:footnotePr>
            <w:numRestart w:val="eachSect"/>
          </w:footnotePr>
          <w:endnotePr>
            <w:numRestart w:val="eachSect"/>
          </w:endnotePr>
          <w:pgSz w:w="11909" w:h="16834" w:code="9"/>
          <w:pgMar w:top="357" w:right="1440" w:bottom="1304" w:left="1440" w:header="431" w:footer="425" w:gutter="0"/>
          <w:pgNumType w:fmt="lowerRoman" w:start="1"/>
          <w:cols w:space="720"/>
          <w:titlePg/>
          <w:docGrid w:linePitch="360"/>
        </w:sectPr>
      </w:pPr>
    </w:p>
    <w:p w:rsidR="00B9330C" w:rsidRPr="003F5678" w:rsidRDefault="00B9330C" w:rsidP="003F5678">
      <w:pPr>
        <w:pStyle w:val="Heading1"/>
        <w:numPr>
          <w:ilvl w:val="0"/>
          <w:numId w:val="0"/>
        </w:numPr>
        <w:spacing w:after="1320"/>
        <w:rPr>
          <w:color w:val="68BAD6"/>
        </w:rPr>
      </w:pPr>
      <w:bookmarkStart w:id="6" w:name="_Toc385504510"/>
      <w:r w:rsidRPr="003F5678">
        <w:rPr>
          <w:color w:val="68BAD6"/>
        </w:rPr>
        <w:lastRenderedPageBreak/>
        <w:t xml:space="preserve">LIST OF </w:t>
      </w:r>
      <w:r w:rsidR="00DB052E">
        <w:rPr>
          <w:color w:val="68BAD6"/>
        </w:rPr>
        <w:t xml:space="preserve">TABLES AND </w:t>
      </w:r>
      <w:r w:rsidRPr="003F5678">
        <w:rPr>
          <w:color w:val="68BAD6"/>
        </w:rPr>
        <w:t>FIGURES</w:t>
      </w:r>
      <w:bookmarkEnd w:id="6"/>
    </w:p>
    <w:p w:rsidR="0075006D" w:rsidRDefault="000B523C">
      <w:pPr>
        <w:pStyle w:val="TableofFigures"/>
        <w:tabs>
          <w:tab w:val="left" w:pos="880"/>
          <w:tab w:val="right" w:leader="dot" w:pos="9019"/>
        </w:tabs>
        <w:rPr>
          <w:rFonts w:asciiTheme="minorHAnsi" w:eastAsiaTheme="minorEastAsia" w:hAnsiTheme="minorHAnsi" w:cstheme="minorBidi"/>
          <w:noProof/>
          <w:lang w:val="en-AU" w:eastAsia="en-AU"/>
        </w:rPr>
      </w:pPr>
      <w:r w:rsidRPr="003F5678">
        <w:rPr>
          <w:rFonts w:asciiTheme="minorHAnsi" w:hAnsiTheme="minorHAnsi"/>
        </w:rPr>
        <w:fldChar w:fldCharType="begin"/>
      </w:r>
      <w:r w:rsidRPr="003F5678">
        <w:rPr>
          <w:rFonts w:asciiTheme="minorHAnsi" w:hAnsiTheme="minorHAnsi"/>
        </w:rPr>
        <w:instrText xml:space="preserve"> TOC \h \z \t "Caption,Figure" \c </w:instrText>
      </w:r>
      <w:r w:rsidRPr="003F5678">
        <w:rPr>
          <w:rFonts w:asciiTheme="minorHAnsi" w:hAnsiTheme="minorHAnsi"/>
        </w:rPr>
        <w:fldChar w:fldCharType="separate"/>
      </w:r>
      <w:hyperlink w:anchor="_Toc381604784" w:history="1">
        <w:r w:rsidR="0075006D" w:rsidRPr="00666DC3">
          <w:rPr>
            <w:rStyle w:val="Hyperlink"/>
            <w:noProof/>
          </w:rPr>
          <w:t>Table 1</w:t>
        </w:r>
        <w:r w:rsidR="0075006D">
          <w:rPr>
            <w:rFonts w:asciiTheme="minorHAnsi" w:eastAsiaTheme="minorEastAsia" w:hAnsiTheme="minorHAnsi" w:cstheme="minorBidi"/>
            <w:noProof/>
            <w:lang w:val="en-AU" w:eastAsia="en-AU"/>
          </w:rPr>
          <w:tab/>
        </w:r>
        <w:r w:rsidR="0075006D" w:rsidRPr="00666DC3">
          <w:rPr>
            <w:rStyle w:val="Hyperlink"/>
            <w:noProof/>
          </w:rPr>
          <w:t>National Level Education Financing Data 2001-2012</w:t>
        </w:r>
        <w:r w:rsidR="0075006D">
          <w:rPr>
            <w:noProof/>
            <w:webHidden/>
          </w:rPr>
          <w:tab/>
        </w:r>
        <w:r w:rsidR="0075006D">
          <w:rPr>
            <w:noProof/>
            <w:webHidden/>
          </w:rPr>
          <w:fldChar w:fldCharType="begin"/>
        </w:r>
        <w:r w:rsidR="0075006D">
          <w:rPr>
            <w:noProof/>
            <w:webHidden/>
          </w:rPr>
          <w:instrText xml:space="preserve"> PAGEREF _Toc381604784 \h </w:instrText>
        </w:r>
        <w:r w:rsidR="0075006D">
          <w:rPr>
            <w:noProof/>
            <w:webHidden/>
          </w:rPr>
        </w:r>
        <w:r w:rsidR="0075006D">
          <w:rPr>
            <w:noProof/>
            <w:webHidden/>
          </w:rPr>
          <w:fldChar w:fldCharType="separate"/>
        </w:r>
        <w:r w:rsidR="0075006D">
          <w:rPr>
            <w:noProof/>
            <w:webHidden/>
          </w:rPr>
          <w:t>8</w:t>
        </w:r>
        <w:r w:rsidR="0075006D">
          <w:rPr>
            <w:noProof/>
            <w:webHidden/>
          </w:rPr>
          <w:fldChar w:fldCharType="end"/>
        </w:r>
      </w:hyperlink>
    </w:p>
    <w:p w:rsidR="0075006D" w:rsidRDefault="00FE7C1D">
      <w:pPr>
        <w:pStyle w:val="TableofFigures"/>
        <w:tabs>
          <w:tab w:val="right" w:leader="dot" w:pos="9019"/>
        </w:tabs>
        <w:rPr>
          <w:rFonts w:asciiTheme="minorHAnsi" w:eastAsiaTheme="minorEastAsia" w:hAnsiTheme="minorHAnsi" w:cstheme="minorBidi"/>
          <w:noProof/>
          <w:lang w:val="en-AU" w:eastAsia="en-AU"/>
        </w:rPr>
      </w:pPr>
      <w:hyperlink w:anchor="_Toc381604785" w:history="1">
        <w:r w:rsidR="0075006D" w:rsidRPr="00666DC3">
          <w:rPr>
            <w:rStyle w:val="Hyperlink"/>
            <w:bCs/>
            <w:noProof/>
          </w:rPr>
          <w:t>Figure 1: Education Expenditure as Proportion of Total National Public Expenditure, 2001-2012</w:t>
        </w:r>
        <w:r w:rsidR="0075006D">
          <w:rPr>
            <w:noProof/>
            <w:webHidden/>
          </w:rPr>
          <w:tab/>
        </w:r>
        <w:r w:rsidR="0075006D">
          <w:rPr>
            <w:noProof/>
            <w:webHidden/>
          </w:rPr>
          <w:fldChar w:fldCharType="begin"/>
        </w:r>
        <w:r w:rsidR="0075006D">
          <w:rPr>
            <w:noProof/>
            <w:webHidden/>
          </w:rPr>
          <w:instrText xml:space="preserve"> PAGEREF _Toc381604785 \h </w:instrText>
        </w:r>
        <w:r w:rsidR="0075006D">
          <w:rPr>
            <w:noProof/>
            <w:webHidden/>
          </w:rPr>
        </w:r>
        <w:r w:rsidR="0075006D">
          <w:rPr>
            <w:noProof/>
            <w:webHidden/>
          </w:rPr>
          <w:fldChar w:fldCharType="separate"/>
        </w:r>
        <w:r w:rsidR="0075006D">
          <w:rPr>
            <w:noProof/>
            <w:webHidden/>
          </w:rPr>
          <w:t>9</w:t>
        </w:r>
        <w:r w:rsidR="0075006D">
          <w:rPr>
            <w:noProof/>
            <w:webHidden/>
          </w:rPr>
          <w:fldChar w:fldCharType="end"/>
        </w:r>
      </w:hyperlink>
    </w:p>
    <w:p w:rsidR="0075006D" w:rsidRDefault="00FE7C1D">
      <w:pPr>
        <w:pStyle w:val="TableofFigures"/>
        <w:tabs>
          <w:tab w:val="right" w:leader="dot" w:pos="9019"/>
        </w:tabs>
        <w:rPr>
          <w:rFonts w:asciiTheme="minorHAnsi" w:eastAsiaTheme="minorEastAsia" w:hAnsiTheme="minorHAnsi" w:cstheme="minorBidi"/>
          <w:noProof/>
          <w:lang w:val="en-AU" w:eastAsia="en-AU"/>
        </w:rPr>
      </w:pPr>
      <w:hyperlink w:anchor="_Toc381604786" w:history="1">
        <w:r w:rsidR="0075006D" w:rsidRPr="00666DC3">
          <w:rPr>
            <w:rStyle w:val="Hyperlink"/>
            <w:noProof/>
          </w:rPr>
          <w:t>Figure 2: National Public Expenditure on Education, Rp. Trillion 2001-2012</w:t>
        </w:r>
        <w:r w:rsidR="0075006D">
          <w:rPr>
            <w:noProof/>
            <w:webHidden/>
          </w:rPr>
          <w:tab/>
        </w:r>
        <w:r w:rsidR="0075006D">
          <w:rPr>
            <w:noProof/>
            <w:webHidden/>
          </w:rPr>
          <w:fldChar w:fldCharType="begin"/>
        </w:r>
        <w:r w:rsidR="0075006D">
          <w:rPr>
            <w:noProof/>
            <w:webHidden/>
          </w:rPr>
          <w:instrText xml:space="preserve"> PAGEREF _Toc381604786 \h </w:instrText>
        </w:r>
        <w:r w:rsidR="0075006D">
          <w:rPr>
            <w:noProof/>
            <w:webHidden/>
          </w:rPr>
        </w:r>
        <w:r w:rsidR="0075006D">
          <w:rPr>
            <w:noProof/>
            <w:webHidden/>
          </w:rPr>
          <w:fldChar w:fldCharType="separate"/>
        </w:r>
        <w:r w:rsidR="0075006D">
          <w:rPr>
            <w:noProof/>
            <w:webHidden/>
          </w:rPr>
          <w:t>10</w:t>
        </w:r>
        <w:r w:rsidR="0075006D">
          <w:rPr>
            <w:noProof/>
            <w:webHidden/>
          </w:rPr>
          <w:fldChar w:fldCharType="end"/>
        </w:r>
      </w:hyperlink>
    </w:p>
    <w:p w:rsidR="0075006D" w:rsidRDefault="00FE7C1D">
      <w:pPr>
        <w:pStyle w:val="TableofFigures"/>
        <w:tabs>
          <w:tab w:val="right" w:leader="dot" w:pos="9019"/>
        </w:tabs>
        <w:rPr>
          <w:rFonts w:asciiTheme="minorHAnsi" w:eastAsiaTheme="minorEastAsia" w:hAnsiTheme="minorHAnsi" w:cstheme="minorBidi"/>
          <w:noProof/>
          <w:lang w:val="en-AU" w:eastAsia="en-AU"/>
        </w:rPr>
      </w:pPr>
      <w:hyperlink w:anchor="_Toc381604787" w:history="1">
        <w:r w:rsidR="0075006D" w:rsidRPr="00666DC3">
          <w:rPr>
            <w:rStyle w:val="Hyperlink"/>
            <w:noProof/>
          </w:rPr>
          <w:t>Figure 3: Annual Growth in Education Expenditure (Rp. trillion), 2001-2012</w:t>
        </w:r>
        <w:r w:rsidR="0075006D">
          <w:rPr>
            <w:noProof/>
            <w:webHidden/>
          </w:rPr>
          <w:tab/>
        </w:r>
        <w:r w:rsidR="0075006D">
          <w:rPr>
            <w:noProof/>
            <w:webHidden/>
          </w:rPr>
          <w:fldChar w:fldCharType="begin"/>
        </w:r>
        <w:r w:rsidR="0075006D">
          <w:rPr>
            <w:noProof/>
            <w:webHidden/>
          </w:rPr>
          <w:instrText xml:space="preserve"> PAGEREF _Toc381604787 \h </w:instrText>
        </w:r>
        <w:r w:rsidR="0075006D">
          <w:rPr>
            <w:noProof/>
            <w:webHidden/>
          </w:rPr>
        </w:r>
        <w:r w:rsidR="0075006D">
          <w:rPr>
            <w:noProof/>
            <w:webHidden/>
          </w:rPr>
          <w:fldChar w:fldCharType="separate"/>
        </w:r>
        <w:r w:rsidR="0075006D">
          <w:rPr>
            <w:noProof/>
            <w:webHidden/>
          </w:rPr>
          <w:t>11</w:t>
        </w:r>
        <w:r w:rsidR="0075006D">
          <w:rPr>
            <w:noProof/>
            <w:webHidden/>
          </w:rPr>
          <w:fldChar w:fldCharType="end"/>
        </w:r>
      </w:hyperlink>
    </w:p>
    <w:p w:rsidR="0075006D" w:rsidRDefault="00FE7C1D">
      <w:pPr>
        <w:pStyle w:val="TableofFigures"/>
        <w:tabs>
          <w:tab w:val="right" w:leader="dot" w:pos="9019"/>
        </w:tabs>
        <w:rPr>
          <w:rFonts w:asciiTheme="minorHAnsi" w:eastAsiaTheme="minorEastAsia" w:hAnsiTheme="minorHAnsi" w:cstheme="minorBidi"/>
          <w:noProof/>
          <w:lang w:val="en-AU" w:eastAsia="en-AU"/>
        </w:rPr>
      </w:pPr>
      <w:hyperlink w:anchor="_Toc381604788" w:history="1">
        <w:r w:rsidR="0075006D" w:rsidRPr="00666DC3">
          <w:rPr>
            <w:rStyle w:val="Hyperlink"/>
            <w:noProof/>
          </w:rPr>
          <w:t>Figure 4: Education Expenditure as Proportion of GDP, 2001-2012</w:t>
        </w:r>
        <w:r w:rsidR="0075006D">
          <w:rPr>
            <w:noProof/>
            <w:webHidden/>
          </w:rPr>
          <w:tab/>
        </w:r>
        <w:r w:rsidR="0075006D">
          <w:rPr>
            <w:noProof/>
            <w:webHidden/>
          </w:rPr>
          <w:fldChar w:fldCharType="begin"/>
        </w:r>
        <w:r w:rsidR="0075006D">
          <w:rPr>
            <w:noProof/>
            <w:webHidden/>
          </w:rPr>
          <w:instrText xml:space="preserve"> PAGEREF _Toc381604788 \h </w:instrText>
        </w:r>
        <w:r w:rsidR="0075006D">
          <w:rPr>
            <w:noProof/>
            <w:webHidden/>
          </w:rPr>
        </w:r>
        <w:r w:rsidR="0075006D">
          <w:rPr>
            <w:noProof/>
            <w:webHidden/>
          </w:rPr>
          <w:fldChar w:fldCharType="separate"/>
        </w:r>
        <w:r w:rsidR="0075006D">
          <w:rPr>
            <w:noProof/>
            <w:webHidden/>
          </w:rPr>
          <w:t>12</w:t>
        </w:r>
        <w:r w:rsidR="0075006D">
          <w:rPr>
            <w:noProof/>
            <w:webHidden/>
          </w:rPr>
          <w:fldChar w:fldCharType="end"/>
        </w:r>
      </w:hyperlink>
    </w:p>
    <w:p w:rsidR="0075006D" w:rsidRDefault="00FE7C1D">
      <w:pPr>
        <w:pStyle w:val="TableofFigures"/>
        <w:tabs>
          <w:tab w:val="right" w:leader="dot" w:pos="9019"/>
        </w:tabs>
        <w:rPr>
          <w:rFonts w:asciiTheme="minorHAnsi" w:eastAsiaTheme="minorEastAsia" w:hAnsiTheme="minorHAnsi" w:cstheme="minorBidi"/>
          <w:noProof/>
          <w:lang w:val="en-AU" w:eastAsia="en-AU"/>
        </w:rPr>
      </w:pPr>
      <w:hyperlink w:anchor="_Toc381604789" w:history="1">
        <w:r w:rsidR="0075006D" w:rsidRPr="00666DC3">
          <w:rPr>
            <w:rStyle w:val="Hyperlink"/>
            <w:noProof/>
          </w:rPr>
          <w:t>Figure 5: Composition of Aggregate District Education Expenditure, 2009-2011</w:t>
        </w:r>
        <w:r w:rsidR="0075006D">
          <w:rPr>
            <w:noProof/>
            <w:webHidden/>
          </w:rPr>
          <w:tab/>
        </w:r>
        <w:r w:rsidR="0075006D">
          <w:rPr>
            <w:noProof/>
            <w:webHidden/>
          </w:rPr>
          <w:fldChar w:fldCharType="begin"/>
        </w:r>
        <w:r w:rsidR="0075006D">
          <w:rPr>
            <w:noProof/>
            <w:webHidden/>
          </w:rPr>
          <w:instrText xml:space="preserve"> PAGEREF _Toc381604789 \h </w:instrText>
        </w:r>
        <w:r w:rsidR="0075006D">
          <w:rPr>
            <w:noProof/>
            <w:webHidden/>
          </w:rPr>
        </w:r>
        <w:r w:rsidR="0075006D">
          <w:rPr>
            <w:noProof/>
            <w:webHidden/>
          </w:rPr>
          <w:fldChar w:fldCharType="separate"/>
        </w:r>
        <w:r w:rsidR="0075006D">
          <w:rPr>
            <w:noProof/>
            <w:webHidden/>
          </w:rPr>
          <w:t>13</w:t>
        </w:r>
        <w:r w:rsidR="0075006D">
          <w:rPr>
            <w:noProof/>
            <w:webHidden/>
          </w:rPr>
          <w:fldChar w:fldCharType="end"/>
        </w:r>
      </w:hyperlink>
    </w:p>
    <w:p w:rsidR="0075006D" w:rsidRDefault="00FE7C1D">
      <w:pPr>
        <w:pStyle w:val="TableofFigures"/>
        <w:tabs>
          <w:tab w:val="right" w:leader="dot" w:pos="9019"/>
        </w:tabs>
        <w:rPr>
          <w:rFonts w:asciiTheme="minorHAnsi" w:eastAsiaTheme="minorEastAsia" w:hAnsiTheme="minorHAnsi" w:cstheme="minorBidi"/>
          <w:noProof/>
          <w:lang w:val="en-AU" w:eastAsia="en-AU"/>
        </w:rPr>
      </w:pPr>
      <w:hyperlink w:anchor="_Toc381604790" w:history="1">
        <w:r w:rsidR="0075006D" w:rsidRPr="00666DC3">
          <w:rPr>
            <w:rStyle w:val="Hyperlink"/>
            <w:noProof/>
          </w:rPr>
          <w:t>Figure 6: Education Expenditure by Sub-Sector, 2008 and 2009</w:t>
        </w:r>
        <w:r w:rsidR="0075006D">
          <w:rPr>
            <w:noProof/>
            <w:webHidden/>
          </w:rPr>
          <w:tab/>
        </w:r>
        <w:r w:rsidR="0075006D">
          <w:rPr>
            <w:noProof/>
            <w:webHidden/>
          </w:rPr>
          <w:fldChar w:fldCharType="begin"/>
        </w:r>
        <w:r w:rsidR="0075006D">
          <w:rPr>
            <w:noProof/>
            <w:webHidden/>
          </w:rPr>
          <w:instrText xml:space="preserve"> PAGEREF _Toc381604790 \h </w:instrText>
        </w:r>
        <w:r w:rsidR="0075006D">
          <w:rPr>
            <w:noProof/>
            <w:webHidden/>
          </w:rPr>
        </w:r>
        <w:r w:rsidR="0075006D">
          <w:rPr>
            <w:noProof/>
            <w:webHidden/>
          </w:rPr>
          <w:fldChar w:fldCharType="separate"/>
        </w:r>
        <w:r w:rsidR="0075006D">
          <w:rPr>
            <w:noProof/>
            <w:webHidden/>
          </w:rPr>
          <w:t>15</w:t>
        </w:r>
        <w:r w:rsidR="0075006D">
          <w:rPr>
            <w:noProof/>
            <w:webHidden/>
          </w:rPr>
          <w:fldChar w:fldCharType="end"/>
        </w:r>
      </w:hyperlink>
    </w:p>
    <w:p w:rsidR="0075006D" w:rsidRDefault="00FE7C1D">
      <w:pPr>
        <w:pStyle w:val="TableofFigures"/>
        <w:tabs>
          <w:tab w:val="right" w:leader="dot" w:pos="9019"/>
        </w:tabs>
        <w:rPr>
          <w:rFonts w:asciiTheme="minorHAnsi" w:eastAsiaTheme="minorEastAsia" w:hAnsiTheme="minorHAnsi" w:cstheme="minorBidi"/>
          <w:noProof/>
          <w:lang w:val="en-AU" w:eastAsia="en-AU"/>
        </w:rPr>
      </w:pPr>
      <w:hyperlink w:anchor="_Toc381604791" w:history="1">
        <w:r w:rsidR="0075006D" w:rsidRPr="00666DC3">
          <w:rPr>
            <w:rStyle w:val="Hyperlink"/>
            <w:noProof/>
          </w:rPr>
          <w:t>Figure 7: Basic Education Share of Central Level Expenditures for MoEC and MoRA, 2006-2009</w:t>
        </w:r>
        <w:r w:rsidR="0075006D">
          <w:rPr>
            <w:noProof/>
            <w:webHidden/>
          </w:rPr>
          <w:tab/>
        </w:r>
        <w:r w:rsidR="0075006D">
          <w:rPr>
            <w:noProof/>
            <w:webHidden/>
          </w:rPr>
          <w:fldChar w:fldCharType="begin"/>
        </w:r>
        <w:r w:rsidR="0075006D">
          <w:rPr>
            <w:noProof/>
            <w:webHidden/>
          </w:rPr>
          <w:instrText xml:space="preserve"> PAGEREF _Toc381604791 \h </w:instrText>
        </w:r>
        <w:r w:rsidR="0075006D">
          <w:rPr>
            <w:noProof/>
            <w:webHidden/>
          </w:rPr>
        </w:r>
        <w:r w:rsidR="0075006D">
          <w:rPr>
            <w:noProof/>
            <w:webHidden/>
          </w:rPr>
          <w:fldChar w:fldCharType="separate"/>
        </w:r>
        <w:r w:rsidR="0075006D">
          <w:rPr>
            <w:noProof/>
            <w:webHidden/>
          </w:rPr>
          <w:t>15</w:t>
        </w:r>
        <w:r w:rsidR="0075006D">
          <w:rPr>
            <w:noProof/>
            <w:webHidden/>
          </w:rPr>
          <w:fldChar w:fldCharType="end"/>
        </w:r>
      </w:hyperlink>
    </w:p>
    <w:p w:rsidR="0075006D" w:rsidRDefault="00FE7C1D">
      <w:pPr>
        <w:pStyle w:val="TableofFigures"/>
        <w:tabs>
          <w:tab w:val="right" w:leader="dot" w:pos="9019"/>
        </w:tabs>
        <w:rPr>
          <w:rFonts w:asciiTheme="minorHAnsi" w:eastAsiaTheme="minorEastAsia" w:hAnsiTheme="minorHAnsi" w:cstheme="minorBidi"/>
          <w:noProof/>
          <w:lang w:val="en-AU" w:eastAsia="en-AU"/>
        </w:rPr>
      </w:pPr>
      <w:hyperlink w:anchor="_Toc381604792" w:history="1">
        <w:r w:rsidR="0075006D" w:rsidRPr="00666DC3">
          <w:rPr>
            <w:rStyle w:val="Hyperlink"/>
            <w:noProof/>
          </w:rPr>
          <w:t>Figure 8: Number of Districts Included in ASFR Analysis, (2006-2012)</w:t>
        </w:r>
        <w:r w:rsidR="0075006D">
          <w:rPr>
            <w:noProof/>
            <w:webHidden/>
          </w:rPr>
          <w:tab/>
        </w:r>
        <w:r w:rsidR="0075006D">
          <w:rPr>
            <w:noProof/>
            <w:webHidden/>
          </w:rPr>
          <w:fldChar w:fldCharType="begin"/>
        </w:r>
        <w:r w:rsidR="0075006D">
          <w:rPr>
            <w:noProof/>
            <w:webHidden/>
          </w:rPr>
          <w:instrText xml:space="preserve"> PAGEREF _Toc381604792 \h </w:instrText>
        </w:r>
        <w:r w:rsidR="0075006D">
          <w:rPr>
            <w:noProof/>
            <w:webHidden/>
          </w:rPr>
        </w:r>
        <w:r w:rsidR="0075006D">
          <w:rPr>
            <w:noProof/>
            <w:webHidden/>
          </w:rPr>
          <w:fldChar w:fldCharType="separate"/>
        </w:r>
        <w:r w:rsidR="0075006D">
          <w:rPr>
            <w:noProof/>
            <w:webHidden/>
          </w:rPr>
          <w:t>19</w:t>
        </w:r>
        <w:r w:rsidR="0075006D">
          <w:rPr>
            <w:noProof/>
            <w:webHidden/>
          </w:rPr>
          <w:fldChar w:fldCharType="end"/>
        </w:r>
      </w:hyperlink>
    </w:p>
    <w:p w:rsidR="0075006D" w:rsidRDefault="00FE7C1D">
      <w:pPr>
        <w:pStyle w:val="TableofFigures"/>
        <w:tabs>
          <w:tab w:val="right" w:leader="dot" w:pos="9019"/>
        </w:tabs>
        <w:rPr>
          <w:rFonts w:asciiTheme="minorHAnsi" w:eastAsiaTheme="minorEastAsia" w:hAnsiTheme="minorHAnsi" w:cstheme="minorBidi"/>
          <w:noProof/>
          <w:lang w:val="en-AU" w:eastAsia="en-AU"/>
        </w:rPr>
      </w:pPr>
      <w:hyperlink w:anchor="_Toc381604793" w:history="1">
        <w:r w:rsidR="0075006D" w:rsidRPr="00666DC3">
          <w:rPr>
            <w:rStyle w:val="Hyperlink"/>
            <w:noProof/>
          </w:rPr>
          <w:t>Figure 9: Education Expenditure as % of Total District Budget (APBD 2006-2012)</w:t>
        </w:r>
        <w:r w:rsidR="0075006D">
          <w:rPr>
            <w:noProof/>
            <w:webHidden/>
          </w:rPr>
          <w:tab/>
        </w:r>
        <w:r w:rsidR="0075006D">
          <w:rPr>
            <w:noProof/>
            <w:webHidden/>
          </w:rPr>
          <w:fldChar w:fldCharType="begin"/>
        </w:r>
        <w:r w:rsidR="0075006D">
          <w:rPr>
            <w:noProof/>
            <w:webHidden/>
          </w:rPr>
          <w:instrText xml:space="preserve"> PAGEREF _Toc381604793 \h </w:instrText>
        </w:r>
        <w:r w:rsidR="0075006D">
          <w:rPr>
            <w:noProof/>
            <w:webHidden/>
          </w:rPr>
        </w:r>
        <w:r w:rsidR="0075006D">
          <w:rPr>
            <w:noProof/>
            <w:webHidden/>
          </w:rPr>
          <w:fldChar w:fldCharType="separate"/>
        </w:r>
        <w:r w:rsidR="0075006D">
          <w:rPr>
            <w:noProof/>
            <w:webHidden/>
          </w:rPr>
          <w:t>19</w:t>
        </w:r>
        <w:r w:rsidR="0075006D">
          <w:rPr>
            <w:noProof/>
            <w:webHidden/>
          </w:rPr>
          <w:fldChar w:fldCharType="end"/>
        </w:r>
      </w:hyperlink>
    </w:p>
    <w:p w:rsidR="0075006D" w:rsidRDefault="00FE7C1D">
      <w:pPr>
        <w:pStyle w:val="TableofFigures"/>
        <w:tabs>
          <w:tab w:val="right" w:leader="dot" w:pos="9019"/>
        </w:tabs>
        <w:rPr>
          <w:rFonts w:asciiTheme="minorHAnsi" w:eastAsiaTheme="minorEastAsia" w:hAnsiTheme="minorHAnsi" w:cstheme="minorBidi"/>
          <w:noProof/>
          <w:lang w:val="en-AU" w:eastAsia="en-AU"/>
        </w:rPr>
      </w:pPr>
      <w:hyperlink w:anchor="_Toc381604794" w:history="1">
        <w:r w:rsidR="0075006D" w:rsidRPr="00666DC3">
          <w:rPr>
            <w:rStyle w:val="Hyperlink"/>
            <w:noProof/>
          </w:rPr>
          <w:t>Figure 10: Average District APBD and APBD for Education, 2006-2012</w:t>
        </w:r>
        <w:r w:rsidR="0075006D">
          <w:rPr>
            <w:noProof/>
            <w:webHidden/>
          </w:rPr>
          <w:tab/>
        </w:r>
        <w:r w:rsidR="0075006D">
          <w:rPr>
            <w:noProof/>
            <w:webHidden/>
          </w:rPr>
          <w:fldChar w:fldCharType="begin"/>
        </w:r>
        <w:r w:rsidR="0075006D">
          <w:rPr>
            <w:noProof/>
            <w:webHidden/>
          </w:rPr>
          <w:instrText xml:space="preserve"> PAGEREF _Toc381604794 \h </w:instrText>
        </w:r>
        <w:r w:rsidR="0075006D">
          <w:rPr>
            <w:noProof/>
            <w:webHidden/>
          </w:rPr>
        </w:r>
        <w:r w:rsidR="0075006D">
          <w:rPr>
            <w:noProof/>
            <w:webHidden/>
          </w:rPr>
          <w:fldChar w:fldCharType="separate"/>
        </w:r>
        <w:r w:rsidR="0075006D">
          <w:rPr>
            <w:noProof/>
            <w:webHidden/>
          </w:rPr>
          <w:t>22</w:t>
        </w:r>
        <w:r w:rsidR="0075006D">
          <w:rPr>
            <w:noProof/>
            <w:webHidden/>
          </w:rPr>
          <w:fldChar w:fldCharType="end"/>
        </w:r>
      </w:hyperlink>
    </w:p>
    <w:p w:rsidR="0075006D" w:rsidRDefault="00FE7C1D">
      <w:pPr>
        <w:pStyle w:val="TableofFigures"/>
        <w:tabs>
          <w:tab w:val="right" w:leader="dot" w:pos="9019"/>
        </w:tabs>
        <w:rPr>
          <w:rFonts w:asciiTheme="minorHAnsi" w:eastAsiaTheme="minorEastAsia" w:hAnsiTheme="minorHAnsi" w:cstheme="minorBidi"/>
          <w:noProof/>
          <w:lang w:val="en-AU" w:eastAsia="en-AU"/>
        </w:rPr>
      </w:pPr>
      <w:hyperlink w:anchor="_Toc381604795" w:history="1">
        <w:r w:rsidR="0075006D" w:rsidRPr="00666DC3">
          <w:rPr>
            <w:rStyle w:val="Hyperlink"/>
            <w:noProof/>
          </w:rPr>
          <w:t>Figure 11: Rural and Urban District Education Expenditure as % of Total District Budget (APBD 2006-2012)</w:t>
        </w:r>
        <w:r w:rsidR="0075006D">
          <w:rPr>
            <w:noProof/>
            <w:webHidden/>
          </w:rPr>
          <w:tab/>
        </w:r>
        <w:r w:rsidR="0075006D">
          <w:rPr>
            <w:noProof/>
            <w:webHidden/>
          </w:rPr>
          <w:fldChar w:fldCharType="begin"/>
        </w:r>
        <w:r w:rsidR="0075006D">
          <w:rPr>
            <w:noProof/>
            <w:webHidden/>
          </w:rPr>
          <w:instrText xml:space="preserve"> PAGEREF _Toc381604795 \h </w:instrText>
        </w:r>
        <w:r w:rsidR="0075006D">
          <w:rPr>
            <w:noProof/>
            <w:webHidden/>
          </w:rPr>
        </w:r>
        <w:r w:rsidR="0075006D">
          <w:rPr>
            <w:noProof/>
            <w:webHidden/>
          </w:rPr>
          <w:fldChar w:fldCharType="separate"/>
        </w:r>
        <w:r w:rsidR="0075006D">
          <w:rPr>
            <w:noProof/>
            <w:webHidden/>
          </w:rPr>
          <w:t>22</w:t>
        </w:r>
        <w:r w:rsidR="0075006D">
          <w:rPr>
            <w:noProof/>
            <w:webHidden/>
          </w:rPr>
          <w:fldChar w:fldCharType="end"/>
        </w:r>
      </w:hyperlink>
    </w:p>
    <w:p w:rsidR="0075006D" w:rsidRDefault="00FE7C1D">
      <w:pPr>
        <w:pStyle w:val="TableofFigures"/>
        <w:tabs>
          <w:tab w:val="right" w:leader="dot" w:pos="9019"/>
        </w:tabs>
        <w:rPr>
          <w:rFonts w:asciiTheme="minorHAnsi" w:eastAsiaTheme="minorEastAsia" w:hAnsiTheme="minorHAnsi" w:cstheme="minorBidi"/>
          <w:noProof/>
          <w:lang w:val="en-AU" w:eastAsia="en-AU"/>
        </w:rPr>
      </w:pPr>
      <w:hyperlink w:anchor="_Toc381604796" w:history="1">
        <w:r w:rsidR="0075006D" w:rsidRPr="00666DC3">
          <w:rPr>
            <w:rStyle w:val="Hyperlink"/>
            <w:noProof/>
          </w:rPr>
          <w:t>Figure 12: Education Expenditure as % of Total District Expenditure by Districts according to Poverty Quintile, (APBD 2006-2012)</w:t>
        </w:r>
        <w:r w:rsidR="0075006D">
          <w:rPr>
            <w:noProof/>
            <w:webHidden/>
          </w:rPr>
          <w:tab/>
        </w:r>
        <w:r w:rsidR="0075006D">
          <w:rPr>
            <w:noProof/>
            <w:webHidden/>
          </w:rPr>
          <w:fldChar w:fldCharType="begin"/>
        </w:r>
        <w:r w:rsidR="0075006D">
          <w:rPr>
            <w:noProof/>
            <w:webHidden/>
          </w:rPr>
          <w:instrText xml:space="preserve"> PAGEREF _Toc381604796 \h </w:instrText>
        </w:r>
        <w:r w:rsidR="0075006D">
          <w:rPr>
            <w:noProof/>
            <w:webHidden/>
          </w:rPr>
        </w:r>
        <w:r w:rsidR="0075006D">
          <w:rPr>
            <w:noProof/>
            <w:webHidden/>
          </w:rPr>
          <w:fldChar w:fldCharType="separate"/>
        </w:r>
        <w:r w:rsidR="0075006D">
          <w:rPr>
            <w:noProof/>
            <w:webHidden/>
          </w:rPr>
          <w:t>23</w:t>
        </w:r>
        <w:r w:rsidR="0075006D">
          <w:rPr>
            <w:noProof/>
            <w:webHidden/>
          </w:rPr>
          <w:fldChar w:fldCharType="end"/>
        </w:r>
      </w:hyperlink>
    </w:p>
    <w:p w:rsidR="0075006D" w:rsidRDefault="00FE7C1D">
      <w:pPr>
        <w:pStyle w:val="TableofFigures"/>
        <w:tabs>
          <w:tab w:val="right" w:leader="dot" w:pos="9019"/>
        </w:tabs>
        <w:rPr>
          <w:rFonts w:asciiTheme="minorHAnsi" w:eastAsiaTheme="minorEastAsia" w:hAnsiTheme="minorHAnsi" w:cstheme="minorBidi"/>
          <w:noProof/>
          <w:lang w:val="en-AU" w:eastAsia="en-AU"/>
        </w:rPr>
      </w:pPr>
      <w:hyperlink w:anchor="_Toc381604797" w:history="1">
        <w:r w:rsidR="0075006D" w:rsidRPr="00666DC3">
          <w:rPr>
            <w:rStyle w:val="Hyperlink"/>
            <w:noProof/>
          </w:rPr>
          <w:t>Figure 13: Average District APBD and APBD for Education, by poverty quintile 2006-2012</w:t>
        </w:r>
        <w:r w:rsidR="0075006D">
          <w:rPr>
            <w:noProof/>
            <w:webHidden/>
          </w:rPr>
          <w:tab/>
        </w:r>
        <w:r w:rsidR="0075006D">
          <w:rPr>
            <w:noProof/>
            <w:webHidden/>
          </w:rPr>
          <w:fldChar w:fldCharType="begin"/>
        </w:r>
        <w:r w:rsidR="0075006D">
          <w:rPr>
            <w:noProof/>
            <w:webHidden/>
          </w:rPr>
          <w:instrText xml:space="preserve"> PAGEREF _Toc381604797 \h </w:instrText>
        </w:r>
        <w:r w:rsidR="0075006D">
          <w:rPr>
            <w:noProof/>
            <w:webHidden/>
          </w:rPr>
        </w:r>
        <w:r w:rsidR="0075006D">
          <w:rPr>
            <w:noProof/>
            <w:webHidden/>
          </w:rPr>
          <w:fldChar w:fldCharType="separate"/>
        </w:r>
        <w:r w:rsidR="0075006D">
          <w:rPr>
            <w:noProof/>
            <w:webHidden/>
          </w:rPr>
          <w:t>24</w:t>
        </w:r>
        <w:r w:rsidR="0075006D">
          <w:rPr>
            <w:noProof/>
            <w:webHidden/>
          </w:rPr>
          <w:fldChar w:fldCharType="end"/>
        </w:r>
      </w:hyperlink>
    </w:p>
    <w:p w:rsidR="0075006D" w:rsidRDefault="00FE7C1D">
      <w:pPr>
        <w:pStyle w:val="TableofFigures"/>
        <w:tabs>
          <w:tab w:val="right" w:leader="dot" w:pos="9019"/>
        </w:tabs>
        <w:rPr>
          <w:rFonts w:asciiTheme="minorHAnsi" w:eastAsiaTheme="minorEastAsia" w:hAnsiTheme="minorHAnsi" w:cstheme="minorBidi"/>
          <w:noProof/>
          <w:lang w:val="en-AU" w:eastAsia="en-AU"/>
        </w:rPr>
      </w:pPr>
      <w:hyperlink w:anchor="_Toc381604798" w:history="1">
        <w:r w:rsidR="0075006D" w:rsidRPr="00666DC3">
          <w:rPr>
            <w:rStyle w:val="Hyperlink"/>
            <w:noProof/>
          </w:rPr>
          <w:t>Figure 14: Education Expenditure as % of Total District Expenditure by Island Grouping (APBD 2006-2012)</w:t>
        </w:r>
        <w:r w:rsidR="0075006D">
          <w:rPr>
            <w:noProof/>
            <w:webHidden/>
          </w:rPr>
          <w:tab/>
        </w:r>
        <w:r w:rsidR="0075006D">
          <w:rPr>
            <w:noProof/>
            <w:webHidden/>
          </w:rPr>
          <w:fldChar w:fldCharType="begin"/>
        </w:r>
        <w:r w:rsidR="0075006D">
          <w:rPr>
            <w:noProof/>
            <w:webHidden/>
          </w:rPr>
          <w:instrText xml:space="preserve"> PAGEREF _Toc381604798 \h </w:instrText>
        </w:r>
        <w:r w:rsidR="0075006D">
          <w:rPr>
            <w:noProof/>
            <w:webHidden/>
          </w:rPr>
        </w:r>
        <w:r w:rsidR="0075006D">
          <w:rPr>
            <w:noProof/>
            <w:webHidden/>
          </w:rPr>
          <w:fldChar w:fldCharType="separate"/>
        </w:r>
        <w:r w:rsidR="0075006D">
          <w:rPr>
            <w:noProof/>
            <w:webHidden/>
          </w:rPr>
          <w:t>25</w:t>
        </w:r>
        <w:r w:rsidR="0075006D">
          <w:rPr>
            <w:noProof/>
            <w:webHidden/>
          </w:rPr>
          <w:fldChar w:fldCharType="end"/>
        </w:r>
      </w:hyperlink>
    </w:p>
    <w:p w:rsidR="0075006D" w:rsidRDefault="00FE7C1D">
      <w:pPr>
        <w:pStyle w:val="TableofFigures"/>
        <w:tabs>
          <w:tab w:val="right" w:leader="dot" w:pos="9019"/>
        </w:tabs>
        <w:rPr>
          <w:rFonts w:asciiTheme="minorHAnsi" w:eastAsiaTheme="minorEastAsia" w:hAnsiTheme="minorHAnsi" w:cstheme="minorBidi"/>
          <w:noProof/>
          <w:lang w:val="en-AU" w:eastAsia="en-AU"/>
        </w:rPr>
      </w:pPr>
      <w:hyperlink w:anchor="_Toc381604799" w:history="1">
        <w:r w:rsidR="0075006D" w:rsidRPr="00666DC3">
          <w:rPr>
            <w:rStyle w:val="Hyperlink"/>
            <w:noProof/>
          </w:rPr>
          <w:t>Figure 15: EP Districts - Average Education Allocations as Proportion of District Budget, 2012</w:t>
        </w:r>
        <w:r w:rsidR="0075006D">
          <w:rPr>
            <w:noProof/>
            <w:webHidden/>
          </w:rPr>
          <w:tab/>
        </w:r>
        <w:r w:rsidR="0075006D">
          <w:rPr>
            <w:noProof/>
            <w:webHidden/>
          </w:rPr>
          <w:fldChar w:fldCharType="begin"/>
        </w:r>
        <w:r w:rsidR="0075006D">
          <w:rPr>
            <w:noProof/>
            <w:webHidden/>
          </w:rPr>
          <w:instrText xml:space="preserve"> PAGEREF _Toc381604799 \h </w:instrText>
        </w:r>
        <w:r w:rsidR="0075006D">
          <w:rPr>
            <w:noProof/>
            <w:webHidden/>
          </w:rPr>
        </w:r>
        <w:r w:rsidR="0075006D">
          <w:rPr>
            <w:noProof/>
            <w:webHidden/>
          </w:rPr>
          <w:fldChar w:fldCharType="separate"/>
        </w:r>
        <w:r w:rsidR="0075006D">
          <w:rPr>
            <w:noProof/>
            <w:webHidden/>
          </w:rPr>
          <w:t>25</w:t>
        </w:r>
        <w:r w:rsidR="0075006D">
          <w:rPr>
            <w:noProof/>
            <w:webHidden/>
          </w:rPr>
          <w:fldChar w:fldCharType="end"/>
        </w:r>
      </w:hyperlink>
    </w:p>
    <w:p w:rsidR="0075006D" w:rsidRDefault="00FE7C1D">
      <w:pPr>
        <w:pStyle w:val="TableofFigures"/>
        <w:tabs>
          <w:tab w:val="right" w:leader="dot" w:pos="9019"/>
        </w:tabs>
        <w:rPr>
          <w:rFonts w:asciiTheme="minorHAnsi" w:eastAsiaTheme="minorEastAsia" w:hAnsiTheme="minorHAnsi" w:cstheme="minorBidi"/>
          <w:noProof/>
          <w:lang w:val="en-AU" w:eastAsia="en-AU"/>
        </w:rPr>
      </w:pPr>
      <w:hyperlink w:anchor="_Toc381604800" w:history="1">
        <w:r w:rsidR="0075006D" w:rsidRPr="00666DC3">
          <w:rPr>
            <w:rStyle w:val="Hyperlink"/>
            <w:noProof/>
          </w:rPr>
          <w:t>Figure 16: EP Districts with Low Budget Allocation for Education (&lt; than 20% of district budget), 2012</w:t>
        </w:r>
        <w:r w:rsidR="0075006D">
          <w:rPr>
            <w:noProof/>
            <w:webHidden/>
          </w:rPr>
          <w:tab/>
        </w:r>
        <w:r w:rsidR="0075006D">
          <w:rPr>
            <w:noProof/>
            <w:webHidden/>
          </w:rPr>
          <w:fldChar w:fldCharType="begin"/>
        </w:r>
        <w:r w:rsidR="0075006D">
          <w:rPr>
            <w:noProof/>
            <w:webHidden/>
          </w:rPr>
          <w:instrText xml:space="preserve"> PAGEREF _Toc381604800 \h </w:instrText>
        </w:r>
        <w:r w:rsidR="0075006D">
          <w:rPr>
            <w:noProof/>
            <w:webHidden/>
          </w:rPr>
        </w:r>
        <w:r w:rsidR="0075006D">
          <w:rPr>
            <w:noProof/>
            <w:webHidden/>
          </w:rPr>
          <w:fldChar w:fldCharType="separate"/>
        </w:r>
        <w:r w:rsidR="0075006D">
          <w:rPr>
            <w:noProof/>
            <w:webHidden/>
          </w:rPr>
          <w:t>26</w:t>
        </w:r>
        <w:r w:rsidR="0075006D">
          <w:rPr>
            <w:noProof/>
            <w:webHidden/>
          </w:rPr>
          <w:fldChar w:fldCharType="end"/>
        </w:r>
      </w:hyperlink>
    </w:p>
    <w:p w:rsidR="0075006D" w:rsidRDefault="00FE7C1D">
      <w:pPr>
        <w:pStyle w:val="TableofFigures"/>
        <w:tabs>
          <w:tab w:val="right" w:leader="dot" w:pos="9019"/>
        </w:tabs>
        <w:rPr>
          <w:rFonts w:asciiTheme="minorHAnsi" w:eastAsiaTheme="minorEastAsia" w:hAnsiTheme="minorHAnsi" w:cstheme="minorBidi"/>
          <w:noProof/>
          <w:lang w:val="en-AU" w:eastAsia="en-AU"/>
        </w:rPr>
      </w:pPr>
      <w:hyperlink w:anchor="_Toc381604801" w:history="1">
        <w:r w:rsidR="0075006D" w:rsidRPr="00666DC3">
          <w:rPr>
            <w:rStyle w:val="Hyperlink"/>
            <w:noProof/>
          </w:rPr>
          <w:t>Figure 17: EP Districts with high Budget Allocation for Education (&gt;than 50% of district budget), 2012</w:t>
        </w:r>
        <w:r w:rsidR="0075006D">
          <w:rPr>
            <w:noProof/>
            <w:webHidden/>
          </w:rPr>
          <w:tab/>
        </w:r>
        <w:r w:rsidR="0075006D">
          <w:rPr>
            <w:noProof/>
            <w:webHidden/>
          </w:rPr>
          <w:fldChar w:fldCharType="begin"/>
        </w:r>
        <w:r w:rsidR="0075006D">
          <w:rPr>
            <w:noProof/>
            <w:webHidden/>
          </w:rPr>
          <w:instrText xml:space="preserve"> PAGEREF _Toc381604801 \h </w:instrText>
        </w:r>
        <w:r w:rsidR="0075006D">
          <w:rPr>
            <w:noProof/>
            <w:webHidden/>
          </w:rPr>
        </w:r>
        <w:r w:rsidR="0075006D">
          <w:rPr>
            <w:noProof/>
            <w:webHidden/>
          </w:rPr>
          <w:fldChar w:fldCharType="separate"/>
        </w:r>
        <w:r w:rsidR="0075006D">
          <w:rPr>
            <w:noProof/>
            <w:webHidden/>
          </w:rPr>
          <w:t>27</w:t>
        </w:r>
        <w:r w:rsidR="0075006D">
          <w:rPr>
            <w:noProof/>
            <w:webHidden/>
          </w:rPr>
          <w:fldChar w:fldCharType="end"/>
        </w:r>
      </w:hyperlink>
    </w:p>
    <w:p w:rsidR="0075006D" w:rsidRDefault="00FE7C1D">
      <w:pPr>
        <w:pStyle w:val="TableofFigures"/>
        <w:tabs>
          <w:tab w:val="right" w:leader="dot" w:pos="9019"/>
        </w:tabs>
        <w:rPr>
          <w:rFonts w:asciiTheme="minorHAnsi" w:eastAsiaTheme="minorEastAsia" w:hAnsiTheme="minorHAnsi" w:cstheme="minorBidi"/>
          <w:noProof/>
          <w:lang w:val="en-AU" w:eastAsia="en-AU"/>
        </w:rPr>
      </w:pPr>
      <w:hyperlink w:anchor="_Toc381604802" w:history="1">
        <w:r w:rsidR="0075006D" w:rsidRPr="00666DC3">
          <w:rPr>
            <w:rStyle w:val="Hyperlink"/>
            <w:noProof/>
          </w:rPr>
          <w:t>Figure 18: Districts with very low financial share for education (less than 15% of APBD Expenditure) 2009 -2012</w:t>
        </w:r>
        <w:r w:rsidR="0075006D">
          <w:rPr>
            <w:noProof/>
            <w:webHidden/>
          </w:rPr>
          <w:tab/>
        </w:r>
        <w:r w:rsidR="0075006D">
          <w:rPr>
            <w:noProof/>
            <w:webHidden/>
          </w:rPr>
          <w:fldChar w:fldCharType="begin"/>
        </w:r>
        <w:r w:rsidR="0075006D">
          <w:rPr>
            <w:noProof/>
            <w:webHidden/>
          </w:rPr>
          <w:instrText xml:space="preserve"> PAGEREF _Toc381604802 \h </w:instrText>
        </w:r>
        <w:r w:rsidR="0075006D">
          <w:rPr>
            <w:noProof/>
            <w:webHidden/>
          </w:rPr>
        </w:r>
        <w:r w:rsidR="0075006D">
          <w:rPr>
            <w:noProof/>
            <w:webHidden/>
          </w:rPr>
          <w:fldChar w:fldCharType="separate"/>
        </w:r>
        <w:r w:rsidR="0075006D">
          <w:rPr>
            <w:noProof/>
            <w:webHidden/>
          </w:rPr>
          <w:t>28</w:t>
        </w:r>
        <w:r w:rsidR="0075006D">
          <w:rPr>
            <w:noProof/>
            <w:webHidden/>
          </w:rPr>
          <w:fldChar w:fldCharType="end"/>
        </w:r>
      </w:hyperlink>
    </w:p>
    <w:p w:rsidR="0075006D" w:rsidRDefault="00FE7C1D">
      <w:pPr>
        <w:pStyle w:val="TableofFigures"/>
        <w:tabs>
          <w:tab w:val="right" w:leader="dot" w:pos="9019"/>
        </w:tabs>
        <w:rPr>
          <w:rFonts w:asciiTheme="minorHAnsi" w:eastAsiaTheme="minorEastAsia" w:hAnsiTheme="minorHAnsi" w:cstheme="minorBidi"/>
          <w:noProof/>
          <w:lang w:val="en-AU" w:eastAsia="en-AU"/>
        </w:rPr>
      </w:pPr>
      <w:hyperlink w:anchor="_Toc381604803" w:history="1">
        <w:r w:rsidR="0075006D" w:rsidRPr="00666DC3">
          <w:rPr>
            <w:rStyle w:val="Hyperlink"/>
            <w:noProof/>
          </w:rPr>
          <w:t>Figure 19: Poorest Districts with very low financial share for education (less than 15% of APBD Expenditure) 2012</w:t>
        </w:r>
        <w:r w:rsidR="0075006D">
          <w:rPr>
            <w:noProof/>
            <w:webHidden/>
          </w:rPr>
          <w:tab/>
        </w:r>
        <w:r w:rsidR="0075006D">
          <w:rPr>
            <w:noProof/>
            <w:webHidden/>
          </w:rPr>
          <w:fldChar w:fldCharType="begin"/>
        </w:r>
        <w:r w:rsidR="0075006D">
          <w:rPr>
            <w:noProof/>
            <w:webHidden/>
          </w:rPr>
          <w:instrText xml:space="preserve"> PAGEREF _Toc381604803 \h </w:instrText>
        </w:r>
        <w:r w:rsidR="0075006D">
          <w:rPr>
            <w:noProof/>
            <w:webHidden/>
          </w:rPr>
        </w:r>
        <w:r w:rsidR="0075006D">
          <w:rPr>
            <w:noProof/>
            <w:webHidden/>
          </w:rPr>
          <w:fldChar w:fldCharType="separate"/>
        </w:r>
        <w:r w:rsidR="0075006D">
          <w:rPr>
            <w:noProof/>
            <w:webHidden/>
          </w:rPr>
          <w:t>29</w:t>
        </w:r>
        <w:r w:rsidR="0075006D">
          <w:rPr>
            <w:noProof/>
            <w:webHidden/>
          </w:rPr>
          <w:fldChar w:fldCharType="end"/>
        </w:r>
      </w:hyperlink>
    </w:p>
    <w:p w:rsidR="0075006D" w:rsidRDefault="00FE7C1D">
      <w:pPr>
        <w:pStyle w:val="TableofFigures"/>
        <w:tabs>
          <w:tab w:val="right" w:leader="dot" w:pos="9019"/>
        </w:tabs>
        <w:rPr>
          <w:rFonts w:asciiTheme="minorHAnsi" w:eastAsiaTheme="minorEastAsia" w:hAnsiTheme="minorHAnsi" w:cstheme="minorBidi"/>
          <w:noProof/>
          <w:lang w:val="en-AU" w:eastAsia="en-AU"/>
        </w:rPr>
      </w:pPr>
      <w:hyperlink w:anchor="_Toc381604804" w:history="1">
        <w:r w:rsidR="0075006D" w:rsidRPr="00666DC3">
          <w:rPr>
            <w:rStyle w:val="Hyperlink"/>
            <w:noProof/>
          </w:rPr>
          <w:t>Figure 20: APBD Education Expenditure as % of Total district Expenditure in BEP and Non-BEP Supported Districts (APBD 2006-2012)</w:t>
        </w:r>
        <w:r w:rsidR="0075006D">
          <w:rPr>
            <w:noProof/>
            <w:webHidden/>
          </w:rPr>
          <w:tab/>
        </w:r>
        <w:r w:rsidR="0075006D">
          <w:rPr>
            <w:noProof/>
            <w:webHidden/>
          </w:rPr>
          <w:fldChar w:fldCharType="begin"/>
        </w:r>
        <w:r w:rsidR="0075006D">
          <w:rPr>
            <w:noProof/>
            <w:webHidden/>
          </w:rPr>
          <w:instrText xml:space="preserve"> PAGEREF _Toc381604804 \h </w:instrText>
        </w:r>
        <w:r w:rsidR="0075006D">
          <w:rPr>
            <w:noProof/>
            <w:webHidden/>
          </w:rPr>
        </w:r>
        <w:r w:rsidR="0075006D">
          <w:rPr>
            <w:noProof/>
            <w:webHidden/>
          </w:rPr>
          <w:fldChar w:fldCharType="separate"/>
        </w:r>
        <w:r w:rsidR="0075006D">
          <w:rPr>
            <w:noProof/>
            <w:webHidden/>
          </w:rPr>
          <w:t>30</w:t>
        </w:r>
        <w:r w:rsidR="0075006D">
          <w:rPr>
            <w:noProof/>
            <w:webHidden/>
          </w:rPr>
          <w:fldChar w:fldCharType="end"/>
        </w:r>
      </w:hyperlink>
    </w:p>
    <w:p w:rsidR="0075006D" w:rsidRDefault="00FE7C1D">
      <w:pPr>
        <w:pStyle w:val="TableofFigures"/>
        <w:tabs>
          <w:tab w:val="right" w:leader="dot" w:pos="9019"/>
        </w:tabs>
        <w:rPr>
          <w:rFonts w:asciiTheme="minorHAnsi" w:eastAsiaTheme="minorEastAsia" w:hAnsiTheme="minorHAnsi" w:cstheme="minorBidi"/>
          <w:noProof/>
          <w:lang w:val="en-AU" w:eastAsia="en-AU"/>
        </w:rPr>
      </w:pPr>
      <w:hyperlink w:anchor="_Toc381604805" w:history="1">
        <w:r w:rsidR="0075006D" w:rsidRPr="00666DC3">
          <w:rPr>
            <w:rStyle w:val="Hyperlink"/>
            <w:noProof/>
          </w:rPr>
          <w:t>Figure 21: BEP Districts with low financial share for education (less than 20% of APBD Expenditure) 2009 and 2012</w:t>
        </w:r>
        <w:r w:rsidR="0075006D">
          <w:rPr>
            <w:noProof/>
            <w:webHidden/>
          </w:rPr>
          <w:tab/>
        </w:r>
        <w:r w:rsidR="0075006D">
          <w:rPr>
            <w:noProof/>
            <w:webHidden/>
          </w:rPr>
          <w:fldChar w:fldCharType="begin"/>
        </w:r>
        <w:r w:rsidR="0075006D">
          <w:rPr>
            <w:noProof/>
            <w:webHidden/>
          </w:rPr>
          <w:instrText xml:space="preserve"> PAGEREF _Toc381604805 \h </w:instrText>
        </w:r>
        <w:r w:rsidR="0075006D">
          <w:rPr>
            <w:noProof/>
            <w:webHidden/>
          </w:rPr>
        </w:r>
        <w:r w:rsidR="0075006D">
          <w:rPr>
            <w:noProof/>
            <w:webHidden/>
          </w:rPr>
          <w:fldChar w:fldCharType="separate"/>
        </w:r>
        <w:r w:rsidR="0075006D">
          <w:rPr>
            <w:noProof/>
            <w:webHidden/>
          </w:rPr>
          <w:t>31</w:t>
        </w:r>
        <w:r w:rsidR="0075006D">
          <w:rPr>
            <w:noProof/>
            <w:webHidden/>
          </w:rPr>
          <w:fldChar w:fldCharType="end"/>
        </w:r>
      </w:hyperlink>
    </w:p>
    <w:p w:rsidR="0075006D" w:rsidRDefault="00FE7C1D">
      <w:pPr>
        <w:pStyle w:val="TableofFigures"/>
        <w:tabs>
          <w:tab w:val="right" w:leader="dot" w:pos="9019"/>
        </w:tabs>
        <w:rPr>
          <w:rFonts w:asciiTheme="minorHAnsi" w:eastAsiaTheme="minorEastAsia" w:hAnsiTheme="minorHAnsi" w:cstheme="minorBidi"/>
          <w:noProof/>
          <w:lang w:val="en-AU" w:eastAsia="en-AU"/>
        </w:rPr>
      </w:pPr>
      <w:hyperlink w:anchor="_Toc381604806" w:history="1">
        <w:r w:rsidR="0075006D" w:rsidRPr="00666DC3">
          <w:rPr>
            <w:rStyle w:val="Hyperlink"/>
            <w:noProof/>
          </w:rPr>
          <w:t>Figure 22: Annual Growth in APBD Education Expenditure, 2007 -2011, by Poverty Quintile</w:t>
        </w:r>
        <w:r w:rsidR="0075006D">
          <w:rPr>
            <w:noProof/>
            <w:webHidden/>
          </w:rPr>
          <w:tab/>
        </w:r>
        <w:r w:rsidR="0075006D">
          <w:rPr>
            <w:noProof/>
            <w:webHidden/>
          </w:rPr>
          <w:fldChar w:fldCharType="begin"/>
        </w:r>
        <w:r w:rsidR="0075006D">
          <w:rPr>
            <w:noProof/>
            <w:webHidden/>
          </w:rPr>
          <w:instrText xml:space="preserve"> PAGEREF _Toc381604806 \h </w:instrText>
        </w:r>
        <w:r w:rsidR="0075006D">
          <w:rPr>
            <w:noProof/>
            <w:webHidden/>
          </w:rPr>
        </w:r>
        <w:r w:rsidR="0075006D">
          <w:rPr>
            <w:noProof/>
            <w:webHidden/>
          </w:rPr>
          <w:fldChar w:fldCharType="separate"/>
        </w:r>
        <w:r w:rsidR="0075006D">
          <w:rPr>
            <w:noProof/>
            <w:webHidden/>
          </w:rPr>
          <w:t>32</w:t>
        </w:r>
        <w:r w:rsidR="0075006D">
          <w:rPr>
            <w:noProof/>
            <w:webHidden/>
          </w:rPr>
          <w:fldChar w:fldCharType="end"/>
        </w:r>
      </w:hyperlink>
    </w:p>
    <w:p w:rsidR="0075006D" w:rsidRDefault="00FE7C1D">
      <w:pPr>
        <w:pStyle w:val="TableofFigures"/>
        <w:tabs>
          <w:tab w:val="right" w:leader="dot" w:pos="9019"/>
        </w:tabs>
        <w:rPr>
          <w:rFonts w:asciiTheme="minorHAnsi" w:eastAsiaTheme="minorEastAsia" w:hAnsiTheme="minorHAnsi" w:cstheme="minorBidi"/>
          <w:noProof/>
          <w:lang w:val="en-AU" w:eastAsia="en-AU"/>
        </w:rPr>
      </w:pPr>
      <w:hyperlink w:anchor="_Toc381604807" w:history="1">
        <w:r w:rsidR="0075006D" w:rsidRPr="00666DC3">
          <w:rPr>
            <w:rStyle w:val="Hyperlink"/>
            <w:noProof/>
          </w:rPr>
          <w:t>Figure 23: Annual Growth in District Education Expenditure, (APBD 2007-2012)</w:t>
        </w:r>
        <w:r w:rsidR="0075006D">
          <w:rPr>
            <w:noProof/>
            <w:webHidden/>
          </w:rPr>
          <w:tab/>
        </w:r>
        <w:r w:rsidR="0075006D">
          <w:rPr>
            <w:noProof/>
            <w:webHidden/>
          </w:rPr>
          <w:fldChar w:fldCharType="begin"/>
        </w:r>
        <w:r w:rsidR="0075006D">
          <w:rPr>
            <w:noProof/>
            <w:webHidden/>
          </w:rPr>
          <w:instrText xml:space="preserve"> PAGEREF _Toc381604807 \h </w:instrText>
        </w:r>
        <w:r w:rsidR="0075006D">
          <w:rPr>
            <w:noProof/>
            <w:webHidden/>
          </w:rPr>
        </w:r>
        <w:r w:rsidR="0075006D">
          <w:rPr>
            <w:noProof/>
            <w:webHidden/>
          </w:rPr>
          <w:fldChar w:fldCharType="separate"/>
        </w:r>
        <w:r w:rsidR="0075006D">
          <w:rPr>
            <w:noProof/>
            <w:webHidden/>
          </w:rPr>
          <w:t>34</w:t>
        </w:r>
        <w:r w:rsidR="0075006D">
          <w:rPr>
            <w:noProof/>
            <w:webHidden/>
          </w:rPr>
          <w:fldChar w:fldCharType="end"/>
        </w:r>
      </w:hyperlink>
    </w:p>
    <w:p w:rsidR="0075006D" w:rsidRDefault="00FE7C1D">
      <w:pPr>
        <w:pStyle w:val="TableofFigures"/>
        <w:tabs>
          <w:tab w:val="right" w:leader="dot" w:pos="9019"/>
        </w:tabs>
        <w:rPr>
          <w:rFonts w:asciiTheme="minorHAnsi" w:eastAsiaTheme="minorEastAsia" w:hAnsiTheme="minorHAnsi" w:cstheme="minorBidi"/>
          <w:noProof/>
          <w:lang w:val="en-AU" w:eastAsia="en-AU"/>
        </w:rPr>
      </w:pPr>
      <w:hyperlink w:anchor="_Toc381604808" w:history="1">
        <w:r w:rsidR="0075006D" w:rsidRPr="00666DC3">
          <w:rPr>
            <w:rStyle w:val="Hyperlink"/>
            <w:noProof/>
          </w:rPr>
          <w:t>Figure 24: Poorest Districts (Quintile 5), Negative Annual Growth in Education Expenditure, (APBD 2010-2012)</w:t>
        </w:r>
        <w:r w:rsidR="0075006D">
          <w:rPr>
            <w:noProof/>
            <w:webHidden/>
          </w:rPr>
          <w:tab/>
        </w:r>
        <w:r w:rsidR="0075006D">
          <w:rPr>
            <w:noProof/>
            <w:webHidden/>
          </w:rPr>
          <w:fldChar w:fldCharType="begin"/>
        </w:r>
        <w:r w:rsidR="0075006D">
          <w:rPr>
            <w:noProof/>
            <w:webHidden/>
          </w:rPr>
          <w:instrText xml:space="preserve"> PAGEREF _Toc381604808 \h </w:instrText>
        </w:r>
        <w:r w:rsidR="0075006D">
          <w:rPr>
            <w:noProof/>
            <w:webHidden/>
          </w:rPr>
        </w:r>
        <w:r w:rsidR="0075006D">
          <w:rPr>
            <w:noProof/>
            <w:webHidden/>
          </w:rPr>
          <w:fldChar w:fldCharType="separate"/>
        </w:r>
        <w:r w:rsidR="0075006D">
          <w:rPr>
            <w:noProof/>
            <w:webHidden/>
          </w:rPr>
          <w:t>35</w:t>
        </w:r>
        <w:r w:rsidR="0075006D">
          <w:rPr>
            <w:noProof/>
            <w:webHidden/>
          </w:rPr>
          <w:fldChar w:fldCharType="end"/>
        </w:r>
      </w:hyperlink>
    </w:p>
    <w:p w:rsidR="0075006D" w:rsidRDefault="00FE7C1D">
      <w:pPr>
        <w:pStyle w:val="TableofFigures"/>
        <w:tabs>
          <w:tab w:val="right" w:leader="dot" w:pos="9019"/>
        </w:tabs>
        <w:rPr>
          <w:rFonts w:asciiTheme="minorHAnsi" w:eastAsiaTheme="minorEastAsia" w:hAnsiTheme="minorHAnsi" w:cstheme="minorBidi"/>
          <w:noProof/>
          <w:lang w:val="en-AU" w:eastAsia="en-AU"/>
        </w:rPr>
      </w:pPr>
      <w:hyperlink w:anchor="_Toc381604809" w:history="1">
        <w:r w:rsidR="0075006D" w:rsidRPr="00666DC3">
          <w:rPr>
            <w:rStyle w:val="Hyperlink"/>
            <w:noProof/>
          </w:rPr>
          <w:t>Figure 25: Total Number of Districts, with Negative Annual Growth in APBD Education Expenditure, 2007 -2011</w:t>
        </w:r>
        <w:r w:rsidR="0075006D">
          <w:rPr>
            <w:noProof/>
            <w:webHidden/>
          </w:rPr>
          <w:tab/>
        </w:r>
        <w:r w:rsidR="0075006D">
          <w:rPr>
            <w:noProof/>
            <w:webHidden/>
          </w:rPr>
          <w:fldChar w:fldCharType="begin"/>
        </w:r>
        <w:r w:rsidR="0075006D">
          <w:rPr>
            <w:noProof/>
            <w:webHidden/>
          </w:rPr>
          <w:instrText xml:space="preserve"> PAGEREF _Toc381604809 \h </w:instrText>
        </w:r>
        <w:r w:rsidR="0075006D">
          <w:rPr>
            <w:noProof/>
            <w:webHidden/>
          </w:rPr>
        </w:r>
        <w:r w:rsidR="0075006D">
          <w:rPr>
            <w:noProof/>
            <w:webHidden/>
          </w:rPr>
          <w:fldChar w:fldCharType="separate"/>
        </w:r>
        <w:r w:rsidR="0075006D">
          <w:rPr>
            <w:noProof/>
            <w:webHidden/>
          </w:rPr>
          <w:t>36</w:t>
        </w:r>
        <w:r w:rsidR="0075006D">
          <w:rPr>
            <w:noProof/>
            <w:webHidden/>
          </w:rPr>
          <w:fldChar w:fldCharType="end"/>
        </w:r>
      </w:hyperlink>
    </w:p>
    <w:p w:rsidR="0075006D" w:rsidRDefault="00FE7C1D">
      <w:pPr>
        <w:pStyle w:val="TableofFigures"/>
        <w:tabs>
          <w:tab w:val="right" w:leader="dot" w:pos="9019"/>
        </w:tabs>
        <w:rPr>
          <w:rFonts w:asciiTheme="minorHAnsi" w:eastAsiaTheme="minorEastAsia" w:hAnsiTheme="minorHAnsi" w:cstheme="minorBidi"/>
          <w:noProof/>
          <w:lang w:val="en-AU" w:eastAsia="en-AU"/>
        </w:rPr>
      </w:pPr>
      <w:hyperlink w:anchor="_Toc381604810" w:history="1">
        <w:r w:rsidR="0075006D" w:rsidRPr="00666DC3">
          <w:rPr>
            <w:rStyle w:val="Hyperlink"/>
            <w:noProof/>
          </w:rPr>
          <w:t>Figure 26: Number of Districts with declining annual education expenditure</w:t>
        </w:r>
        <w:r w:rsidR="0075006D">
          <w:rPr>
            <w:noProof/>
            <w:webHidden/>
          </w:rPr>
          <w:tab/>
        </w:r>
        <w:r w:rsidR="0075006D">
          <w:rPr>
            <w:noProof/>
            <w:webHidden/>
          </w:rPr>
          <w:fldChar w:fldCharType="begin"/>
        </w:r>
        <w:r w:rsidR="0075006D">
          <w:rPr>
            <w:noProof/>
            <w:webHidden/>
          </w:rPr>
          <w:instrText xml:space="preserve"> PAGEREF _Toc381604810 \h </w:instrText>
        </w:r>
        <w:r w:rsidR="0075006D">
          <w:rPr>
            <w:noProof/>
            <w:webHidden/>
          </w:rPr>
        </w:r>
        <w:r w:rsidR="0075006D">
          <w:rPr>
            <w:noProof/>
            <w:webHidden/>
          </w:rPr>
          <w:fldChar w:fldCharType="separate"/>
        </w:r>
        <w:r w:rsidR="0075006D">
          <w:rPr>
            <w:noProof/>
            <w:webHidden/>
          </w:rPr>
          <w:t>36</w:t>
        </w:r>
        <w:r w:rsidR="0075006D">
          <w:rPr>
            <w:noProof/>
            <w:webHidden/>
          </w:rPr>
          <w:fldChar w:fldCharType="end"/>
        </w:r>
      </w:hyperlink>
    </w:p>
    <w:p w:rsidR="0075006D" w:rsidRDefault="00FE7C1D">
      <w:pPr>
        <w:pStyle w:val="TableofFigures"/>
        <w:tabs>
          <w:tab w:val="right" w:leader="dot" w:pos="9019"/>
        </w:tabs>
        <w:rPr>
          <w:rFonts w:asciiTheme="minorHAnsi" w:eastAsiaTheme="minorEastAsia" w:hAnsiTheme="minorHAnsi" w:cstheme="minorBidi"/>
          <w:noProof/>
          <w:lang w:val="en-AU" w:eastAsia="en-AU"/>
        </w:rPr>
      </w:pPr>
      <w:hyperlink w:anchor="_Toc381604811" w:history="1">
        <w:r w:rsidR="0075006D" w:rsidRPr="00666DC3">
          <w:rPr>
            <w:rStyle w:val="Hyperlink"/>
            <w:noProof/>
          </w:rPr>
          <w:t>Figure 27: EP Poorest Districts with declining annual education expenditure (2012 vs 2011)</w:t>
        </w:r>
        <w:r w:rsidR="0075006D">
          <w:rPr>
            <w:noProof/>
            <w:webHidden/>
          </w:rPr>
          <w:tab/>
        </w:r>
        <w:r w:rsidR="0075006D">
          <w:rPr>
            <w:noProof/>
            <w:webHidden/>
          </w:rPr>
          <w:fldChar w:fldCharType="begin"/>
        </w:r>
        <w:r w:rsidR="0075006D">
          <w:rPr>
            <w:noProof/>
            <w:webHidden/>
          </w:rPr>
          <w:instrText xml:space="preserve"> PAGEREF _Toc381604811 \h </w:instrText>
        </w:r>
        <w:r w:rsidR="0075006D">
          <w:rPr>
            <w:noProof/>
            <w:webHidden/>
          </w:rPr>
        </w:r>
        <w:r w:rsidR="0075006D">
          <w:rPr>
            <w:noProof/>
            <w:webHidden/>
          </w:rPr>
          <w:fldChar w:fldCharType="separate"/>
        </w:r>
        <w:r w:rsidR="0075006D">
          <w:rPr>
            <w:noProof/>
            <w:webHidden/>
          </w:rPr>
          <w:t>37</w:t>
        </w:r>
        <w:r w:rsidR="0075006D">
          <w:rPr>
            <w:noProof/>
            <w:webHidden/>
          </w:rPr>
          <w:fldChar w:fldCharType="end"/>
        </w:r>
      </w:hyperlink>
    </w:p>
    <w:p w:rsidR="0075006D" w:rsidRDefault="00FE7C1D">
      <w:pPr>
        <w:pStyle w:val="TableofFigures"/>
        <w:tabs>
          <w:tab w:val="right" w:leader="dot" w:pos="9019"/>
        </w:tabs>
        <w:rPr>
          <w:rFonts w:asciiTheme="minorHAnsi" w:eastAsiaTheme="minorEastAsia" w:hAnsiTheme="minorHAnsi" w:cstheme="minorBidi"/>
          <w:noProof/>
          <w:lang w:val="en-AU" w:eastAsia="en-AU"/>
        </w:rPr>
      </w:pPr>
      <w:hyperlink w:anchor="_Toc381604812" w:history="1">
        <w:r w:rsidR="0075006D" w:rsidRPr="00666DC3">
          <w:rPr>
            <w:rStyle w:val="Hyperlink"/>
            <w:noProof/>
          </w:rPr>
          <w:t>Figure 28: Component 1 districts with declining annual education expenditure (2012 vs 2011)</w:t>
        </w:r>
        <w:r w:rsidR="0075006D">
          <w:rPr>
            <w:noProof/>
            <w:webHidden/>
          </w:rPr>
          <w:tab/>
        </w:r>
        <w:r w:rsidR="0075006D">
          <w:rPr>
            <w:noProof/>
            <w:webHidden/>
          </w:rPr>
          <w:fldChar w:fldCharType="begin"/>
        </w:r>
        <w:r w:rsidR="0075006D">
          <w:rPr>
            <w:noProof/>
            <w:webHidden/>
          </w:rPr>
          <w:instrText xml:space="preserve"> PAGEREF _Toc381604812 \h </w:instrText>
        </w:r>
        <w:r w:rsidR="0075006D">
          <w:rPr>
            <w:noProof/>
            <w:webHidden/>
          </w:rPr>
        </w:r>
        <w:r w:rsidR="0075006D">
          <w:rPr>
            <w:noProof/>
            <w:webHidden/>
          </w:rPr>
          <w:fldChar w:fldCharType="separate"/>
        </w:r>
        <w:r w:rsidR="0075006D">
          <w:rPr>
            <w:noProof/>
            <w:webHidden/>
          </w:rPr>
          <w:t>37</w:t>
        </w:r>
        <w:r w:rsidR="0075006D">
          <w:rPr>
            <w:noProof/>
            <w:webHidden/>
          </w:rPr>
          <w:fldChar w:fldCharType="end"/>
        </w:r>
      </w:hyperlink>
    </w:p>
    <w:p w:rsidR="0075006D" w:rsidRDefault="00FE7C1D">
      <w:pPr>
        <w:pStyle w:val="TableofFigures"/>
        <w:tabs>
          <w:tab w:val="right" w:leader="dot" w:pos="9019"/>
        </w:tabs>
        <w:rPr>
          <w:rFonts w:asciiTheme="minorHAnsi" w:eastAsiaTheme="minorEastAsia" w:hAnsiTheme="minorHAnsi" w:cstheme="minorBidi"/>
          <w:noProof/>
          <w:lang w:val="en-AU" w:eastAsia="en-AU"/>
        </w:rPr>
      </w:pPr>
      <w:hyperlink w:anchor="_Toc381604813" w:history="1">
        <w:r w:rsidR="0075006D" w:rsidRPr="00666DC3">
          <w:rPr>
            <w:rStyle w:val="Hyperlink"/>
            <w:noProof/>
          </w:rPr>
          <w:t>Figure 29: Component 2 districts with declining annual education expenditure (2012 vs 2011)</w:t>
        </w:r>
        <w:r w:rsidR="0075006D">
          <w:rPr>
            <w:noProof/>
            <w:webHidden/>
          </w:rPr>
          <w:tab/>
        </w:r>
        <w:r w:rsidR="0075006D">
          <w:rPr>
            <w:noProof/>
            <w:webHidden/>
          </w:rPr>
          <w:fldChar w:fldCharType="begin"/>
        </w:r>
        <w:r w:rsidR="0075006D">
          <w:rPr>
            <w:noProof/>
            <w:webHidden/>
          </w:rPr>
          <w:instrText xml:space="preserve"> PAGEREF _Toc381604813 \h </w:instrText>
        </w:r>
        <w:r w:rsidR="0075006D">
          <w:rPr>
            <w:noProof/>
            <w:webHidden/>
          </w:rPr>
        </w:r>
        <w:r w:rsidR="0075006D">
          <w:rPr>
            <w:noProof/>
            <w:webHidden/>
          </w:rPr>
          <w:fldChar w:fldCharType="separate"/>
        </w:r>
        <w:r w:rsidR="0075006D">
          <w:rPr>
            <w:noProof/>
            <w:webHidden/>
          </w:rPr>
          <w:t>38</w:t>
        </w:r>
        <w:r w:rsidR="0075006D">
          <w:rPr>
            <w:noProof/>
            <w:webHidden/>
          </w:rPr>
          <w:fldChar w:fldCharType="end"/>
        </w:r>
      </w:hyperlink>
    </w:p>
    <w:p w:rsidR="0075006D" w:rsidRDefault="00FE7C1D">
      <w:pPr>
        <w:pStyle w:val="TableofFigures"/>
        <w:tabs>
          <w:tab w:val="right" w:leader="dot" w:pos="9019"/>
        </w:tabs>
        <w:rPr>
          <w:rFonts w:asciiTheme="minorHAnsi" w:eastAsiaTheme="minorEastAsia" w:hAnsiTheme="minorHAnsi" w:cstheme="minorBidi"/>
          <w:noProof/>
          <w:lang w:val="en-AU" w:eastAsia="en-AU"/>
        </w:rPr>
      </w:pPr>
      <w:hyperlink w:anchor="_Toc381604814" w:history="1">
        <w:r w:rsidR="0075006D" w:rsidRPr="00666DC3">
          <w:rPr>
            <w:rStyle w:val="Hyperlink"/>
            <w:noProof/>
          </w:rPr>
          <w:t>Figure 30: Component 1 &amp; 2 districts with declining annual education expenditure (2012 vs 2011)</w:t>
        </w:r>
        <w:r w:rsidR="0075006D">
          <w:rPr>
            <w:noProof/>
            <w:webHidden/>
          </w:rPr>
          <w:tab/>
        </w:r>
        <w:r w:rsidR="0075006D">
          <w:rPr>
            <w:noProof/>
            <w:webHidden/>
          </w:rPr>
          <w:fldChar w:fldCharType="begin"/>
        </w:r>
        <w:r w:rsidR="0075006D">
          <w:rPr>
            <w:noProof/>
            <w:webHidden/>
          </w:rPr>
          <w:instrText xml:space="preserve"> PAGEREF _Toc381604814 \h </w:instrText>
        </w:r>
        <w:r w:rsidR="0075006D">
          <w:rPr>
            <w:noProof/>
            <w:webHidden/>
          </w:rPr>
        </w:r>
        <w:r w:rsidR="0075006D">
          <w:rPr>
            <w:noProof/>
            <w:webHidden/>
          </w:rPr>
          <w:fldChar w:fldCharType="separate"/>
        </w:r>
        <w:r w:rsidR="0075006D">
          <w:rPr>
            <w:noProof/>
            <w:webHidden/>
          </w:rPr>
          <w:t>38</w:t>
        </w:r>
        <w:r w:rsidR="0075006D">
          <w:rPr>
            <w:noProof/>
            <w:webHidden/>
          </w:rPr>
          <w:fldChar w:fldCharType="end"/>
        </w:r>
      </w:hyperlink>
    </w:p>
    <w:p w:rsidR="0075006D" w:rsidRDefault="00FE7C1D">
      <w:pPr>
        <w:pStyle w:val="TableofFigures"/>
        <w:tabs>
          <w:tab w:val="right" w:leader="dot" w:pos="9019"/>
        </w:tabs>
        <w:rPr>
          <w:rFonts w:asciiTheme="minorHAnsi" w:eastAsiaTheme="minorEastAsia" w:hAnsiTheme="minorHAnsi" w:cstheme="minorBidi"/>
          <w:noProof/>
          <w:lang w:val="en-AU" w:eastAsia="en-AU"/>
        </w:rPr>
      </w:pPr>
      <w:hyperlink w:anchor="_Toc381604815" w:history="1">
        <w:r w:rsidR="0075006D" w:rsidRPr="00666DC3">
          <w:rPr>
            <w:rStyle w:val="Hyperlink"/>
            <w:noProof/>
          </w:rPr>
          <w:t>Figure 31: BEP and Non-BEP Districts - Annual Growth in District Education Expenditure, (APBD 2007-2012)</w:t>
        </w:r>
        <w:r w:rsidR="0075006D">
          <w:rPr>
            <w:noProof/>
            <w:webHidden/>
          </w:rPr>
          <w:tab/>
        </w:r>
        <w:r w:rsidR="0075006D">
          <w:rPr>
            <w:noProof/>
            <w:webHidden/>
          </w:rPr>
          <w:fldChar w:fldCharType="begin"/>
        </w:r>
        <w:r w:rsidR="0075006D">
          <w:rPr>
            <w:noProof/>
            <w:webHidden/>
          </w:rPr>
          <w:instrText xml:space="preserve"> PAGEREF _Toc381604815 \h </w:instrText>
        </w:r>
        <w:r w:rsidR="0075006D">
          <w:rPr>
            <w:noProof/>
            <w:webHidden/>
          </w:rPr>
        </w:r>
        <w:r w:rsidR="0075006D">
          <w:rPr>
            <w:noProof/>
            <w:webHidden/>
          </w:rPr>
          <w:fldChar w:fldCharType="separate"/>
        </w:r>
        <w:r w:rsidR="0075006D">
          <w:rPr>
            <w:noProof/>
            <w:webHidden/>
          </w:rPr>
          <w:t>39</w:t>
        </w:r>
        <w:r w:rsidR="0075006D">
          <w:rPr>
            <w:noProof/>
            <w:webHidden/>
          </w:rPr>
          <w:fldChar w:fldCharType="end"/>
        </w:r>
      </w:hyperlink>
    </w:p>
    <w:p w:rsidR="0075006D" w:rsidRDefault="00FE7C1D">
      <w:pPr>
        <w:pStyle w:val="TableofFigures"/>
        <w:tabs>
          <w:tab w:val="right" w:leader="dot" w:pos="9019"/>
        </w:tabs>
        <w:rPr>
          <w:rFonts w:asciiTheme="minorHAnsi" w:eastAsiaTheme="minorEastAsia" w:hAnsiTheme="minorHAnsi" w:cstheme="minorBidi"/>
          <w:noProof/>
          <w:lang w:val="en-AU" w:eastAsia="en-AU"/>
        </w:rPr>
      </w:pPr>
      <w:hyperlink w:anchor="_Toc381604816" w:history="1">
        <w:r w:rsidR="0075006D" w:rsidRPr="00666DC3">
          <w:rPr>
            <w:rStyle w:val="Hyperlink"/>
            <w:noProof/>
          </w:rPr>
          <w:t>Figure 32: Number of Districts, with Negative Annual Growth in APBD Education Expenditure (2007-2011)</w:t>
        </w:r>
        <w:r w:rsidR="0075006D">
          <w:rPr>
            <w:noProof/>
            <w:webHidden/>
          </w:rPr>
          <w:tab/>
        </w:r>
        <w:r w:rsidR="0075006D">
          <w:rPr>
            <w:noProof/>
            <w:webHidden/>
          </w:rPr>
          <w:fldChar w:fldCharType="begin"/>
        </w:r>
        <w:r w:rsidR="0075006D">
          <w:rPr>
            <w:noProof/>
            <w:webHidden/>
          </w:rPr>
          <w:instrText xml:space="preserve"> PAGEREF _Toc381604816 \h </w:instrText>
        </w:r>
        <w:r w:rsidR="0075006D">
          <w:rPr>
            <w:noProof/>
            <w:webHidden/>
          </w:rPr>
        </w:r>
        <w:r w:rsidR="0075006D">
          <w:rPr>
            <w:noProof/>
            <w:webHidden/>
          </w:rPr>
          <w:fldChar w:fldCharType="separate"/>
        </w:r>
        <w:r w:rsidR="0075006D">
          <w:rPr>
            <w:noProof/>
            <w:webHidden/>
          </w:rPr>
          <w:t>39</w:t>
        </w:r>
        <w:r w:rsidR="0075006D">
          <w:rPr>
            <w:noProof/>
            <w:webHidden/>
          </w:rPr>
          <w:fldChar w:fldCharType="end"/>
        </w:r>
      </w:hyperlink>
    </w:p>
    <w:p w:rsidR="0075006D" w:rsidRDefault="00FE7C1D">
      <w:pPr>
        <w:pStyle w:val="TableofFigures"/>
        <w:tabs>
          <w:tab w:val="right" w:leader="dot" w:pos="9019"/>
        </w:tabs>
        <w:rPr>
          <w:rFonts w:asciiTheme="minorHAnsi" w:eastAsiaTheme="minorEastAsia" w:hAnsiTheme="minorHAnsi" w:cstheme="minorBidi"/>
          <w:noProof/>
          <w:lang w:val="en-AU" w:eastAsia="en-AU"/>
        </w:rPr>
      </w:pPr>
      <w:hyperlink w:anchor="_Toc381604817" w:history="1">
        <w:r w:rsidR="0075006D" w:rsidRPr="00666DC3">
          <w:rPr>
            <w:rStyle w:val="Hyperlink"/>
            <w:noProof/>
          </w:rPr>
          <w:t>Figure 33: Average District Education Expenditure per all Students, 2006-2012 (Rp. millions.)</w:t>
        </w:r>
        <w:r w:rsidR="0075006D">
          <w:rPr>
            <w:noProof/>
            <w:webHidden/>
          </w:rPr>
          <w:tab/>
        </w:r>
        <w:r w:rsidR="0075006D">
          <w:rPr>
            <w:noProof/>
            <w:webHidden/>
          </w:rPr>
          <w:fldChar w:fldCharType="begin"/>
        </w:r>
        <w:r w:rsidR="0075006D">
          <w:rPr>
            <w:noProof/>
            <w:webHidden/>
          </w:rPr>
          <w:instrText xml:space="preserve"> PAGEREF _Toc381604817 \h </w:instrText>
        </w:r>
        <w:r w:rsidR="0075006D">
          <w:rPr>
            <w:noProof/>
            <w:webHidden/>
          </w:rPr>
        </w:r>
        <w:r w:rsidR="0075006D">
          <w:rPr>
            <w:noProof/>
            <w:webHidden/>
          </w:rPr>
          <w:fldChar w:fldCharType="separate"/>
        </w:r>
        <w:r w:rsidR="0075006D">
          <w:rPr>
            <w:noProof/>
            <w:webHidden/>
          </w:rPr>
          <w:t>40</w:t>
        </w:r>
        <w:r w:rsidR="0075006D">
          <w:rPr>
            <w:noProof/>
            <w:webHidden/>
          </w:rPr>
          <w:fldChar w:fldCharType="end"/>
        </w:r>
      </w:hyperlink>
    </w:p>
    <w:p w:rsidR="0075006D" w:rsidRDefault="00FE7C1D">
      <w:pPr>
        <w:pStyle w:val="TableofFigures"/>
        <w:tabs>
          <w:tab w:val="right" w:leader="dot" w:pos="9019"/>
        </w:tabs>
        <w:rPr>
          <w:rFonts w:asciiTheme="minorHAnsi" w:eastAsiaTheme="minorEastAsia" w:hAnsiTheme="minorHAnsi" w:cstheme="minorBidi"/>
          <w:noProof/>
          <w:lang w:val="en-AU" w:eastAsia="en-AU"/>
        </w:rPr>
      </w:pPr>
      <w:hyperlink w:anchor="_Toc381604818" w:history="1">
        <w:r w:rsidR="0075006D" w:rsidRPr="00666DC3">
          <w:rPr>
            <w:rStyle w:val="Hyperlink"/>
            <w:noProof/>
          </w:rPr>
          <w:t>Figure 34: Comparison - Expenditure per All Students vs. Expenditure per Public Students, (Rp. millions)</w:t>
        </w:r>
        <w:r w:rsidR="0075006D">
          <w:rPr>
            <w:noProof/>
            <w:webHidden/>
          </w:rPr>
          <w:tab/>
        </w:r>
        <w:r w:rsidR="0075006D">
          <w:rPr>
            <w:noProof/>
            <w:webHidden/>
          </w:rPr>
          <w:fldChar w:fldCharType="begin"/>
        </w:r>
        <w:r w:rsidR="0075006D">
          <w:rPr>
            <w:noProof/>
            <w:webHidden/>
          </w:rPr>
          <w:instrText xml:space="preserve"> PAGEREF _Toc381604818 \h </w:instrText>
        </w:r>
        <w:r w:rsidR="0075006D">
          <w:rPr>
            <w:noProof/>
            <w:webHidden/>
          </w:rPr>
        </w:r>
        <w:r w:rsidR="0075006D">
          <w:rPr>
            <w:noProof/>
            <w:webHidden/>
          </w:rPr>
          <w:fldChar w:fldCharType="separate"/>
        </w:r>
        <w:r w:rsidR="0075006D">
          <w:rPr>
            <w:noProof/>
            <w:webHidden/>
          </w:rPr>
          <w:t>42</w:t>
        </w:r>
        <w:r w:rsidR="0075006D">
          <w:rPr>
            <w:noProof/>
            <w:webHidden/>
          </w:rPr>
          <w:fldChar w:fldCharType="end"/>
        </w:r>
      </w:hyperlink>
    </w:p>
    <w:p w:rsidR="0075006D" w:rsidRDefault="00FE7C1D">
      <w:pPr>
        <w:pStyle w:val="TableofFigures"/>
        <w:tabs>
          <w:tab w:val="right" w:leader="dot" w:pos="9019"/>
        </w:tabs>
        <w:rPr>
          <w:rFonts w:asciiTheme="minorHAnsi" w:eastAsiaTheme="minorEastAsia" w:hAnsiTheme="minorHAnsi" w:cstheme="minorBidi"/>
          <w:noProof/>
          <w:lang w:val="en-AU" w:eastAsia="en-AU"/>
        </w:rPr>
      </w:pPr>
      <w:hyperlink w:anchor="_Toc381604819" w:history="1">
        <w:r w:rsidR="0075006D" w:rsidRPr="00666DC3">
          <w:rPr>
            <w:rStyle w:val="Hyperlink"/>
            <w:noProof/>
          </w:rPr>
          <w:t>Figure 35: Average APBD Education Expenditure per Student (Rp. millions), 2008-12 by Island</w:t>
        </w:r>
        <w:r w:rsidR="0075006D">
          <w:rPr>
            <w:noProof/>
            <w:webHidden/>
          </w:rPr>
          <w:tab/>
        </w:r>
        <w:r w:rsidR="0075006D">
          <w:rPr>
            <w:noProof/>
            <w:webHidden/>
          </w:rPr>
          <w:fldChar w:fldCharType="begin"/>
        </w:r>
        <w:r w:rsidR="0075006D">
          <w:rPr>
            <w:noProof/>
            <w:webHidden/>
          </w:rPr>
          <w:instrText xml:space="preserve"> PAGEREF _Toc381604819 \h </w:instrText>
        </w:r>
        <w:r w:rsidR="0075006D">
          <w:rPr>
            <w:noProof/>
            <w:webHidden/>
          </w:rPr>
        </w:r>
        <w:r w:rsidR="0075006D">
          <w:rPr>
            <w:noProof/>
            <w:webHidden/>
          </w:rPr>
          <w:fldChar w:fldCharType="separate"/>
        </w:r>
        <w:r w:rsidR="0075006D">
          <w:rPr>
            <w:noProof/>
            <w:webHidden/>
          </w:rPr>
          <w:t>43</w:t>
        </w:r>
        <w:r w:rsidR="0075006D">
          <w:rPr>
            <w:noProof/>
            <w:webHidden/>
          </w:rPr>
          <w:fldChar w:fldCharType="end"/>
        </w:r>
      </w:hyperlink>
    </w:p>
    <w:p w:rsidR="0075006D" w:rsidRDefault="00FE7C1D">
      <w:pPr>
        <w:pStyle w:val="TableofFigures"/>
        <w:tabs>
          <w:tab w:val="right" w:leader="dot" w:pos="9019"/>
        </w:tabs>
        <w:rPr>
          <w:rFonts w:asciiTheme="minorHAnsi" w:eastAsiaTheme="minorEastAsia" w:hAnsiTheme="minorHAnsi" w:cstheme="minorBidi"/>
          <w:noProof/>
          <w:lang w:val="en-AU" w:eastAsia="en-AU"/>
        </w:rPr>
      </w:pPr>
      <w:hyperlink w:anchor="_Toc381604820" w:history="1">
        <w:r w:rsidR="0075006D" w:rsidRPr="00666DC3">
          <w:rPr>
            <w:rStyle w:val="Hyperlink"/>
            <w:noProof/>
          </w:rPr>
          <w:t>Figure 36: Papua: Average Annual Growth in District Education Budget, (Rp. millions) 2010-12</w:t>
        </w:r>
        <w:r w:rsidR="0075006D">
          <w:rPr>
            <w:noProof/>
            <w:webHidden/>
          </w:rPr>
          <w:tab/>
        </w:r>
        <w:r w:rsidR="0075006D">
          <w:rPr>
            <w:noProof/>
            <w:webHidden/>
          </w:rPr>
          <w:fldChar w:fldCharType="begin"/>
        </w:r>
        <w:r w:rsidR="0075006D">
          <w:rPr>
            <w:noProof/>
            <w:webHidden/>
          </w:rPr>
          <w:instrText xml:space="preserve"> PAGEREF _Toc381604820 \h </w:instrText>
        </w:r>
        <w:r w:rsidR="0075006D">
          <w:rPr>
            <w:noProof/>
            <w:webHidden/>
          </w:rPr>
        </w:r>
        <w:r w:rsidR="0075006D">
          <w:rPr>
            <w:noProof/>
            <w:webHidden/>
          </w:rPr>
          <w:fldChar w:fldCharType="separate"/>
        </w:r>
        <w:r w:rsidR="0075006D">
          <w:rPr>
            <w:noProof/>
            <w:webHidden/>
          </w:rPr>
          <w:t>44</w:t>
        </w:r>
        <w:r w:rsidR="0075006D">
          <w:rPr>
            <w:noProof/>
            <w:webHidden/>
          </w:rPr>
          <w:fldChar w:fldCharType="end"/>
        </w:r>
      </w:hyperlink>
    </w:p>
    <w:p w:rsidR="0075006D" w:rsidRDefault="00FE7C1D">
      <w:pPr>
        <w:pStyle w:val="TableofFigures"/>
        <w:tabs>
          <w:tab w:val="right" w:leader="dot" w:pos="9019"/>
        </w:tabs>
        <w:rPr>
          <w:rFonts w:asciiTheme="minorHAnsi" w:eastAsiaTheme="minorEastAsia" w:hAnsiTheme="minorHAnsi" w:cstheme="minorBidi"/>
          <w:noProof/>
          <w:lang w:val="en-AU" w:eastAsia="en-AU"/>
        </w:rPr>
      </w:pPr>
      <w:hyperlink w:anchor="_Toc381604821" w:history="1">
        <w:r w:rsidR="0075006D" w:rsidRPr="00666DC3">
          <w:rPr>
            <w:rStyle w:val="Hyperlink"/>
            <w:noProof/>
          </w:rPr>
          <w:t>Figure 37: Average District Expenditure per Student, EP Districts and Others 2012 (Rp. millions)</w:t>
        </w:r>
        <w:r w:rsidR="0075006D">
          <w:rPr>
            <w:noProof/>
            <w:webHidden/>
          </w:rPr>
          <w:tab/>
        </w:r>
        <w:r w:rsidR="0075006D">
          <w:rPr>
            <w:noProof/>
            <w:webHidden/>
          </w:rPr>
          <w:fldChar w:fldCharType="begin"/>
        </w:r>
        <w:r w:rsidR="0075006D">
          <w:rPr>
            <w:noProof/>
            <w:webHidden/>
          </w:rPr>
          <w:instrText xml:space="preserve"> PAGEREF _Toc381604821 \h </w:instrText>
        </w:r>
        <w:r w:rsidR="0075006D">
          <w:rPr>
            <w:noProof/>
            <w:webHidden/>
          </w:rPr>
        </w:r>
        <w:r w:rsidR="0075006D">
          <w:rPr>
            <w:noProof/>
            <w:webHidden/>
          </w:rPr>
          <w:fldChar w:fldCharType="separate"/>
        </w:r>
        <w:r w:rsidR="0075006D">
          <w:rPr>
            <w:noProof/>
            <w:webHidden/>
          </w:rPr>
          <w:t>45</w:t>
        </w:r>
        <w:r w:rsidR="0075006D">
          <w:rPr>
            <w:noProof/>
            <w:webHidden/>
          </w:rPr>
          <w:fldChar w:fldCharType="end"/>
        </w:r>
      </w:hyperlink>
    </w:p>
    <w:p w:rsidR="0075006D" w:rsidRDefault="00FE7C1D">
      <w:pPr>
        <w:pStyle w:val="TableofFigures"/>
        <w:tabs>
          <w:tab w:val="right" w:leader="dot" w:pos="9019"/>
        </w:tabs>
        <w:rPr>
          <w:rFonts w:asciiTheme="minorHAnsi" w:eastAsiaTheme="minorEastAsia" w:hAnsiTheme="minorHAnsi" w:cstheme="minorBidi"/>
          <w:noProof/>
          <w:lang w:val="en-AU" w:eastAsia="en-AU"/>
        </w:rPr>
      </w:pPr>
      <w:hyperlink w:anchor="_Toc381604822" w:history="1">
        <w:r w:rsidR="0075006D" w:rsidRPr="00666DC3">
          <w:rPr>
            <w:rStyle w:val="Hyperlink"/>
            <w:noProof/>
          </w:rPr>
          <w:t>Figure 38: EP Districts with Low Expenditure per Student, 2012 (Rp. millions)</w:t>
        </w:r>
        <w:r w:rsidR="0075006D">
          <w:rPr>
            <w:noProof/>
            <w:webHidden/>
          </w:rPr>
          <w:tab/>
        </w:r>
        <w:r w:rsidR="0075006D">
          <w:rPr>
            <w:noProof/>
            <w:webHidden/>
          </w:rPr>
          <w:fldChar w:fldCharType="begin"/>
        </w:r>
        <w:r w:rsidR="0075006D">
          <w:rPr>
            <w:noProof/>
            <w:webHidden/>
          </w:rPr>
          <w:instrText xml:space="preserve"> PAGEREF _Toc381604822 \h </w:instrText>
        </w:r>
        <w:r w:rsidR="0075006D">
          <w:rPr>
            <w:noProof/>
            <w:webHidden/>
          </w:rPr>
        </w:r>
        <w:r w:rsidR="0075006D">
          <w:rPr>
            <w:noProof/>
            <w:webHidden/>
          </w:rPr>
          <w:fldChar w:fldCharType="separate"/>
        </w:r>
        <w:r w:rsidR="0075006D">
          <w:rPr>
            <w:noProof/>
            <w:webHidden/>
          </w:rPr>
          <w:t>46</w:t>
        </w:r>
        <w:r w:rsidR="0075006D">
          <w:rPr>
            <w:noProof/>
            <w:webHidden/>
          </w:rPr>
          <w:fldChar w:fldCharType="end"/>
        </w:r>
      </w:hyperlink>
    </w:p>
    <w:p w:rsidR="0075006D" w:rsidRDefault="00FE7C1D">
      <w:pPr>
        <w:pStyle w:val="TableofFigures"/>
        <w:tabs>
          <w:tab w:val="right" w:leader="dot" w:pos="9019"/>
        </w:tabs>
        <w:rPr>
          <w:rFonts w:asciiTheme="minorHAnsi" w:eastAsiaTheme="minorEastAsia" w:hAnsiTheme="minorHAnsi" w:cstheme="minorBidi"/>
          <w:noProof/>
          <w:lang w:val="en-AU" w:eastAsia="en-AU"/>
        </w:rPr>
      </w:pPr>
      <w:hyperlink w:anchor="_Toc381604823" w:history="1">
        <w:r w:rsidR="0075006D" w:rsidRPr="00666DC3">
          <w:rPr>
            <w:rStyle w:val="Hyperlink"/>
            <w:noProof/>
          </w:rPr>
          <w:t>Figure 39: EP Districts with very high per student expenditure, 2012 (Rp. millions)</w:t>
        </w:r>
        <w:r w:rsidR="0075006D">
          <w:rPr>
            <w:noProof/>
            <w:webHidden/>
          </w:rPr>
          <w:tab/>
        </w:r>
        <w:r w:rsidR="0075006D">
          <w:rPr>
            <w:noProof/>
            <w:webHidden/>
          </w:rPr>
          <w:fldChar w:fldCharType="begin"/>
        </w:r>
        <w:r w:rsidR="0075006D">
          <w:rPr>
            <w:noProof/>
            <w:webHidden/>
          </w:rPr>
          <w:instrText xml:space="preserve"> PAGEREF _Toc381604823 \h </w:instrText>
        </w:r>
        <w:r w:rsidR="0075006D">
          <w:rPr>
            <w:noProof/>
            <w:webHidden/>
          </w:rPr>
        </w:r>
        <w:r w:rsidR="0075006D">
          <w:rPr>
            <w:noProof/>
            <w:webHidden/>
          </w:rPr>
          <w:fldChar w:fldCharType="separate"/>
        </w:r>
        <w:r w:rsidR="0075006D">
          <w:rPr>
            <w:noProof/>
            <w:webHidden/>
          </w:rPr>
          <w:t>47</w:t>
        </w:r>
        <w:r w:rsidR="0075006D">
          <w:rPr>
            <w:noProof/>
            <w:webHidden/>
          </w:rPr>
          <w:fldChar w:fldCharType="end"/>
        </w:r>
      </w:hyperlink>
    </w:p>
    <w:p w:rsidR="0075006D" w:rsidRDefault="00FE7C1D">
      <w:pPr>
        <w:pStyle w:val="TableofFigures"/>
        <w:tabs>
          <w:tab w:val="right" w:leader="dot" w:pos="9019"/>
        </w:tabs>
        <w:rPr>
          <w:rFonts w:asciiTheme="minorHAnsi" w:eastAsiaTheme="minorEastAsia" w:hAnsiTheme="minorHAnsi" w:cstheme="minorBidi"/>
          <w:noProof/>
          <w:lang w:val="en-AU" w:eastAsia="en-AU"/>
        </w:rPr>
      </w:pPr>
      <w:hyperlink w:anchor="_Toc381604824" w:history="1">
        <w:r w:rsidR="0075006D" w:rsidRPr="00666DC3">
          <w:rPr>
            <w:rStyle w:val="Hyperlink"/>
            <w:noProof/>
          </w:rPr>
          <w:t>Figure 40: Equity Slope of Funding - Average APBD Education Expenditure per Student (Rp millions), by Poverty Quintile, 2008-12</w:t>
        </w:r>
        <w:r w:rsidR="0075006D">
          <w:rPr>
            <w:noProof/>
            <w:webHidden/>
          </w:rPr>
          <w:tab/>
        </w:r>
        <w:r w:rsidR="0075006D">
          <w:rPr>
            <w:noProof/>
            <w:webHidden/>
          </w:rPr>
          <w:fldChar w:fldCharType="begin"/>
        </w:r>
        <w:r w:rsidR="0075006D">
          <w:rPr>
            <w:noProof/>
            <w:webHidden/>
          </w:rPr>
          <w:instrText xml:space="preserve"> PAGEREF _Toc381604824 \h </w:instrText>
        </w:r>
        <w:r w:rsidR="0075006D">
          <w:rPr>
            <w:noProof/>
            <w:webHidden/>
          </w:rPr>
        </w:r>
        <w:r w:rsidR="0075006D">
          <w:rPr>
            <w:noProof/>
            <w:webHidden/>
          </w:rPr>
          <w:fldChar w:fldCharType="separate"/>
        </w:r>
        <w:r w:rsidR="0075006D">
          <w:rPr>
            <w:noProof/>
            <w:webHidden/>
          </w:rPr>
          <w:t>48</w:t>
        </w:r>
        <w:r w:rsidR="0075006D">
          <w:rPr>
            <w:noProof/>
            <w:webHidden/>
          </w:rPr>
          <w:fldChar w:fldCharType="end"/>
        </w:r>
      </w:hyperlink>
    </w:p>
    <w:p w:rsidR="0075006D" w:rsidRDefault="00FE7C1D">
      <w:pPr>
        <w:pStyle w:val="TableofFigures"/>
        <w:tabs>
          <w:tab w:val="right" w:leader="dot" w:pos="9019"/>
        </w:tabs>
        <w:rPr>
          <w:rFonts w:asciiTheme="minorHAnsi" w:eastAsiaTheme="minorEastAsia" w:hAnsiTheme="minorHAnsi" w:cstheme="minorBidi"/>
          <w:noProof/>
          <w:lang w:val="en-AU" w:eastAsia="en-AU"/>
        </w:rPr>
      </w:pPr>
      <w:hyperlink w:anchor="_Toc381604825" w:history="1">
        <w:r w:rsidR="0075006D" w:rsidRPr="00666DC3">
          <w:rPr>
            <w:rStyle w:val="Hyperlink"/>
            <w:noProof/>
          </w:rPr>
          <w:t>Figure 41: Cost and Student Load Comparison - Average APBD Education Expenditure per Student (Rp millions) and Numbers of Students, by Poverty Quintile, 2012</w:t>
        </w:r>
        <w:r w:rsidR="0075006D">
          <w:rPr>
            <w:noProof/>
            <w:webHidden/>
          </w:rPr>
          <w:tab/>
        </w:r>
        <w:r w:rsidR="0075006D">
          <w:rPr>
            <w:noProof/>
            <w:webHidden/>
          </w:rPr>
          <w:fldChar w:fldCharType="begin"/>
        </w:r>
        <w:r w:rsidR="0075006D">
          <w:rPr>
            <w:noProof/>
            <w:webHidden/>
          </w:rPr>
          <w:instrText xml:space="preserve"> PAGEREF _Toc381604825 \h </w:instrText>
        </w:r>
        <w:r w:rsidR="0075006D">
          <w:rPr>
            <w:noProof/>
            <w:webHidden/>
          </w:rPr>
        </w:r>
        <w:r w:rsidR="0075006D">
          <w:rPr>
            <w:noProof/>
            <w:webHidden/>
          </w:rPr>
          <w:fldChar w:fldCharType="separate"/>
        </w:r>
        <w:r w:rsidR="0075006D">
          <w:rPr>
            <w:noProof/>
            <w:webHidden/>
          </w:rPr>
          <w:t>49</w:t>
        </w:r>
        <w:r w:rsidR="0075006D">
          <w:rPr>
            <w:noProof/>
            <w:webHidden/>
          </w:rPr>
          <w:fldChar w:fldCharType="end"/>
        </w:r>
      </w:hyperlink>
    </w:p>
    <w:p w:rsidR="0075006D" w:rsidRDefault="00FE7C1D">
      <w:pPr>
        <w:pStyle w:val="TableofFigures"/>
        <w:tabs>
          <w:tab w:val="right" w:leader="dot" w:pos="9019"/>
        </w:tabs>
        <w:rPr>
          <w:rFonts w:asciiTheme="minorHAnsi" w:eastAsiaTheme="minorEastAsia" w:hAnsiTheme="minorHAnsi" w:cstheme="minorBidi"/>
          <w:noProof/>
          <w:lang w:val="en-AU" w:eastAsia="en-AU"/>
        </w:rPr>
      </w:pPr>
      <w:hyperlink w:anchor="_Toc381604826" w:history="1">
        <w:r w:rsidR="0075006D" w:rsidRPr="00666DC3">
          <w:rPr>
            <w:rStyle w:val="Hyperlink"/>
            <w:noProof/>
          </w:rPr>
          <w:t>Figure 42: Critical Education Funding Status (CEFS) Districts – Districts with low growth in education budget, low share of district budget and low expenditure per student, 2010-2012</w:t>
        </w:r>
        <w:r w:rsidR="0075006D">
          <w:rPr>
            <w:noProof/>
            <w:webHidden/>
          </w:rPr>
          <w:tab/>
        </w:r>
        <w:r w:rsidR="0075006D">
          <w:rPr>
            <w:noProof/>
            <w:webHidden/>
          </w:rPr>
          <w:fldChar w:fldCharType="begin"/>
        </w:r>
        <w:r w:rsidR="0075006D">
          <w:rPr>
            <w:noProof/>
            <w:webHidden/>
          </w:rPr>
          <w:instrText xml:space="preserve"> PAGEREF _Toc381604826 \h </w:instrText>
        </w:r>
        <w:r w:rsidR="0075006D">
          <w:rPr>
            <w:noProof/>
            <w:webHidden/>
          </w:rPr>
        </w:r>
        <w:r w:rsidR="0075006D">
          <w:rPr>
            <w:noProof/>
            <w:webHidden/>
          </w:rPr>
          <w:fldChar w:fldCharType="separate"/>
        </w:r>
        <w:r w:rsidR="0075006D">
          <w:rPr>
            <w:noProof/>
            <w:webHidden/>
          </w:rPr>
          <w:t>50</w:t>
        </w:r>
        <w:r w:rsidR="0075006D">
          <w:rPr>
            <w:noProof/>
            <w:webHidden/>
          </w:rPr>
          <w:fldChar w:fldCharType="end"/>
        </w:r>
      </w:hyperlink>
    </w:p>
    <w:p w:rsidR="0075006D" w:rsidRDefault="00FE7C1D">
      <w:pPr>
        <w:pStyle w:val="TableofFigures"/>
        <w:tabs>
          <w:tab w:val="right" w:leader="dot" w:pos="9019"/>
        </w:tabs>
        <w:rPr>
          <w:rFonts w:asciiTheme="minorHAnsi" w:eastAsiaTheme="minorEastAsia" w:hAnsiTheme="minorHAnsi" w:cstheme="minorBidi"/>
          <w:noProof/>
          <w:lang w:val="en-AU" w:eastAsia="en-AU"/>
        </w:rPr>
      </w:pPr>
      <w:hyperlink w:anchor="_Toc381604827" w:history="1">
        <w:r w:rsidR="0075006D" w:rsidRPr="00666DC3">
          <w:rPr>
            <w:rStyle w:val="Hyperlink"/>
            <w:noProof/>
          </w:rPr>
          <w:t>Figure 43: Realised Education Expenditure as % of Planned Expenditure 2006 -2009</w:t>
        </w:r>
        <w:r w:rsidR="0075006D">
          <w:rPr>
            <w:noProof/>
            <w:webHidden/>
          </w:rPr>
          <w:tab/>
        </w:r>
        <w:r w:rsidR="0075006D">
          <w:rPr>
            <w:noProof/>
            <w:webHidden/>
          </w:rPr>
          <w:fldChar w:fldCharType="begin"/>
        </w:r>
        <w:r w:rsidR="0075006D">
          <w:rPr>
            <w:noProof/>
            <w:webHidden/>
          </w:rPr>
          <w:instrText xml:space="preserve"> PAGEREF _Toc381604827 \h </w:instrText>
        </w:r>
        <w:r w:rsidR="0075006D">
          <w:rPr>
            <w:noProof/>
            <w:webHidden/>
          </w:rPr>
        </w:r>
        <w:r w:rsidR="0075006D">
          <w:rPr>
            <w:noProof/>
            <w:webHidden/>
          </w:rPr>
          <w:fldChar w:fldCharType="separate"/>
        </w:r>
        <w:r w:rsidR="0075006D">
          <w:rPr>
            <w:noProof/>
            <w:webHidden/>
          </w:rPr>
          <w:t>51</w:t>
        </w:r>
        <w:r w:rsidR="0075006D">
          <w:rPr>
            <w:noProof/>
            <w:webHidden/>
          </w:rPr>
          <w:fldChar w:fldCharType="end"/>
        </w:r>
      </w:hyperlink>
    </w:p>
    <w:p w:rsidR="0075006D" w:rsidRDefault="00FE7C1D">
      <w:pPr>
        <w:pStyle w:val="TableofFigures"/>
        <w:tabs>
          <w:tab w:val="right" w:leader="dot" w:pos="9019"/>
        </w:tabs>
        <w:rPr>
          <w:rFonts w:asciiTheme="minorHAnsi" w:eastAsiaTheme="minorEastAsia" w:hAnsiTheme="minorHAnsi" w:cstheme="minorBidi"/>
          <w:noProof/>
          <w:lang w:val="en-AU" w:eastAsia="en-AU"/>
        </w:rPr>
      </w:pPr>
      <w:hyperlink w:anchor="_Toc381604828" w:history="1">
        <w:r w:rsidR="0075006D" w:rsidRPr="00666DC3">
          <w:rPr>
            <w:rStyle w:val="Hyperlink"/>
            <w:noProof/>
          </w:rPr>
          <w:t>Figure 44: Realised Education Expenditure as % of Planned Expenditure 2006-09, EP and Non-EP districts</w:t>
        </w:r>
        <w:r w:rsidR="0075006D">
          <w:rPr>
            <w:noProof/>
            <w:webHidden/>
          </w:rPr>
          <w:tab/>
        </w:r>
        <w:r w:rsidR="0075006D">
          <w:rPr>
            <w:noProof/>
            <w:webHidden/>
          </w:rPr>
          <w:fldChar w:fldCharType="begin"/>
        </w:r>
        <w:r w:rsidR="0075006D">
          <w:rPr>
            <w:noProof/>
            <w:webHidden/>
          </w:rPr>
          <w:instrText xml:space="preserve"> PAGEREF _Toc381604828 \h </w:instrText>
        </w:r>
        <w:r w:rsidR="0075006D">
          <w:rPr>
            <w:noProof/>
            <w:webHidden/>
          </w:rPr>
        </w:r>
        <w:r w:rsidR="0075006D">
          <w:rPr>
            <w:noProof/>
            <w:webHidden/>
          </w:rPr>
          <w:fldChar w:fldCharType="separate"/>
        </w:r>
        <w:r w:rsidR="0075006D">
          <w:rPr>
            <w:noProof/>
            <w:webHidden/>
          </w:rPr>
          <w:t>52</w:t>
        </w:r>
        <w:r w:rsidR="0075006D">
          <w:rPr>
            <w:noProof/>
            <w:webHidden/>
          </w:rPr>
          <w:fldChar w:fldCharType="end"/>
        </w:r>
      </w:hyperlink>
    </w:p>
    <w:p w:rsidR="0075006D" w:rsidRDefault="00FE7C1D">
      <w:pPr>
        <w:pStyle w:val="TableofFigures"/>
        <w:tabs>
          <w:tab w:val="right" w:leader="dot" w:pos="9019"/>
        </w:tabs>
        <w:rPr>
          <w:rFonts w:asciiTheme="minorHAnsi" w:eastAsiaTheme="minorEastAsia" w:hAnsiTheme="minorHAnsi" w:cstheme="minorBidi"/>
          <w:noProof/>
          <w:lang w:val="en-AU" w:eastAsia="en-AU"/>
        </w:rPr>
      </w:pPr>
      <w:hyperlink w:anchor="_Toc381604829" w:history="1">
        <w:r w:rsidR="0075006D" w:rsidRPr="00666DC3">
          <w:rPr>
            <w:rStyle w:val="Hyperlink"/>
            <w:noProof/>
          </w:rPr>
          <w:t>Figure 45: Realised Education Expenditure as % of Planned Expenditure 2006 - 2009, by Poverty Quintile</w:t>
        </w:r>
        <w:r w:rsidR="0075006D">
          <w:rPr>
            <w:noProof/>
            <w:webHidden/>
          </w:rPr>
          <w:tab/>
        </w:r>
        <w:r w:rsidR="0075006D">
          <w:rPr>
            <w:noProof/>
            <w:webHidden/>
          </w:rPr>
          <w:fldChar w:fldCharType="begin"/>
        </w:r>
        <w:r w:rsidR="0075006D">
          <w:rPr>
            <w:noProof/>
            <w:webHidden/>
          </w:rPr>
          <w:instrText xml:space="preserve"> PAGEREF _Toc381604829 \h </w:instrText>
        </w:r>
        <w:r w:rsidR="0075006D">
          <w:rPr>
            <w:noProof/>
            <w:webHidden/>
          </w:rPr>
        </w:r>
        <w:r w:rsidR="0075006D">
          <w:rPr>
            <w:noProof/>
            <w:webHidden/>
          </w:rPr>
          <w:fldChar w:fldCharType="separate"/>
        </w:r>
        <w:r w:rsidR="0075006D">
          <w:rPr>
            <w:noProof/>
            <w:webHidden/>
          </w:rPr>
          <w:t>53</w:t>
        </w:r>
        <w:r w:rsidR="0075006D">
          <w:rPr>
            <w:noProof/>
            <w:webHidden/>
          </w:rPr>
          <w:fldChar w:fldCharType="end"/>
        </w:r>
      </w:hyperlink>
    </w:p>
    <w:p w:rsidR="0075006D" w:rsidRDefault="00FE7C1D">
      <w:pPr>
        <w:pStyle w:val="TableofFigures"/>
        <w:tabs>
          <w:tab w:val="right" w:leader="dot" w:pos="9019"/>
        </w:tabs>
        <w:rPr>
          <w:rFonts w:asciiTheme="minorHAnsi" w:eastAsiaTheme="minorEastAsia" w:hAnsiTheme="minorHAnsi" w:cstheme="minorBidi"/>
          <w:noProof/>
          <w:lang w:val="en-AU" w:eastAsia="en-AU"/>
        </w:rPr>
      </w:pPr>
      <w:hyperlink w:anchor="_Toc381604830" w:history="1">
        <w:r w:rsidR="0075006D" w:rsidRPr="00666DC3">
          <w:rPr>
            <w:rStyle w:val="Hyperlink"/>
            <w:noProof/>
          </w:rPr>
          <w:t>Figure 46: BOS Grants as % of Education &amp; Culture Budget 2006-2010 (public schools only)</w:t>
        </w:r>
        <w:r w:rsidR="0075006D">
          <w:rPr>
            <w:noProof/>
            <w:webHidden/>
          </w:rPr>
          <w:tab/>
        </w:r>
        <w:r w:rsidR="0075006D">
          <w:rPr>
            <w:noProof/>
            <w:webHidden/>
          </w:rPr>
          <w:fldChar w:fldCharType="begin"/>
        </w:r>
        <w:r w:rsidR="0075006D">
          <w:rPr>
            <w:noProof/>
            <w:webHidden/>
          </w:rPr>
          <w:instrText xml:space="preserve"> PAGEREF _Toc381604830 \h </w:instrText>
        </w:r>
        <w:r w:rsidR="0075006D">
          <w:rPr>
            <w:noProof/>
            <w:webHidden/>
          </w:rPr>
        </w:r>
        <w:r w:rsidR="0075006D">
          <w:rPr>
            <w:noProof/>
            <w:webHidden/>
          </w:rPr>
          <w:fldChar w:fldCharType="separate"/>
        </w:r>
        <w:r w:rsidR="0075006D">
          <w:rPr>
            <w:noProof/>
            <w:webHidden/>
          </w:rPr>
          <w:t>54</w:t>
        </w:r>
        <w:r w:rsidR="0075006D">
          <w:rPr>
            <w:noProof/>
            <w:webHidden/>
          </w:rPr>
          <w:fldChar w:fldCharType="end"/>
        </w:r>
      </w:hyperlink>
    </w:p>
    <w:p w:rsidR="0075006D" w:rsidRDefault="00FE7C1D">
      <w:pPr>
        <w:pStyle w:val="TableofFigures"/>
        <w:tabs>
          <w:tab w:val="right" w:leader="dot" w:pos="9019"/>
        </w:tabs>
        <w:rPr>
          <w:rFonts w:asciiTheme="minorHAnsi" w:eastAsiaTheme="minorEastAsia" w:hAnsiTheme="minorHAnsi" w:cstheme="minorBidi"/>
          <w:noProof/>
          <w:lang w:val="en-AU" w:eastAsia="en-AU"/>
        </w:rPr>
      </w:pPr>
      <w:hyperlink w:anchor="_Toc381604831" w:history="1">
        <w:r w:rsidR="0075006D" w:rsidRPr="00666DC3">
          <w:rPr>
            <w:rStyle w:val="Hyperlink"/>
            <w:noProof/>
          </w:rPr>
          <w:t>Figure 47: BOS Grants as % of Education &amp; Culture Budget 2006-2011, by Poverty Quintile</w:t>
        </w:r>
        <w:r w:rsidR="0075006D">
          <w:rPr>
            <w:noProof/>
            <w:webHidden/>
          </w:rPr>
          <w:tab/>
        </w:r>
        <w:r w:rsidR="0075006D">
          <w:rPr>
            <w:noProof/>
            <w:webHidden/>
          </w:rPr>
          <w:fldChar w:fldCharType="begin"/>
        </w:r>
        <w:r w:rsidR="0075006D">
          <w:rPr>
            <w:noProof/>
            <w:webHidden/>
          </w:rPr>
          <w:instrText xml:space="preserve"> PAGEREF _Toc381604831 \h </w:instrText>
        </w:r>
        <w:r w:rsidR="0075006D">
          <w:rPr>
            <w:noProof/>
            <w:webHidden/>
          </w:rPr>
        </w:r>
        <w:r w:rsidR="0075006D">
          <w:rPr>
            <w:noProof/>
            <w:webHidden/>
          </w:rPr>
          <w:fldChar w:fldCharType="separate"/>
        </w:r>
        <w:r w:rsidR="0075006D">
          <w:rPr>
            <w:noProof/>
            <w:webHidden/>
          </w:rPr>
          <w:t>56</w:t>
        </w:r>
        <w:r w:rsidR="0075006D">
          <w:rPr>
            <w:noProof/>
            <w:webHidden/>
          </w:rPr>
          <w:fldChar w:fldCharType="end"/>
        </w:r>
      </w:hyperlink>
    </w:p>
    <w:p w:rsidR="0075006D" w:rsidRDefault="00FE7C1D">
      <w:pPr>
        <w:pStyle w:val="TableofFigures"/>
        <w:tabs>
          <w:tab w:val="right" w:leader="dot" w:pos="9019"/>
        </w:tabs>
        <w:rPr>
          <w:rFonts w:asciiTheme="minorHAnsi" w:eastAsiaTheme="minorEastAsia" w:hAnsiTheme="minorHAnsi" w:cstheme="minorBidi"/>
          <w:noProof/>
          <w:lang w:val="en-AU" w:eastAsia="en-AU"/>
        </w:rPr>
      </w:pPr>
      <w:hyperlink w:anchor="_Toc381604832" w:history="1">
        <w:r w:rsidR="0075006D" w:rsidRPr="00666DC3">
          <w:rPr>
            <w:rStyle w:val="Hyperlink"/>
            <w:noProof/>
          </w:rPr>
          <w:t>Table 2: Progress against Key Indicators</w:t>
        </w:r>
        <w:r w:rsidR="0075006D">
          <w:rPr>
            <w:noProof/>
            <w:webHidden/>
          </w:rPr>
          <w:tab/>
        </w:r>
        <w:r w:rsidR="0075006D">
          <w:rPr>
            <w:noProof/>
            <w:webHidden/>
          </w:rPr>
          <w:fldChar w:fldCharType="begin"/>
        </w:r>
        <w:r w:rsidR="0075006D">
          <w:rPr>
            <w:noProof/>
            <w:webHidden/>
          </w:rPr>
          <w:instrText xml:space="preserve"> PAGEREF _Toc381604832 \h </w:instrText>
        </w:r>
        <w:r w:rsidR="0075006D">
          <w:rPr>
            <w:noProof/>
            <w:webHidden/>
          </w:rPr>
        </w:r>
        <w:r w:rsidR="0075006D">
          <w:rPr>
            <w:noProof/>
            <w:webHidden/>
          </w:rPr>
          <w:fldChar w:fldCharType="separate"/>
        </w:r>
        <w:r w:rsidR="0075006D">
          <w:rPr>
            <w:noProof/>
            <w:webHidden/>
          </w:rPr>
          <w:t>60</w:t>
        </w:r>
        <w:r w:rsidR="0075006D">
          <w:rPr>
            <w:noProof/>
            <w:webHidden/>
          </w:rPr>
          <w:fldChar w:fldCharType="end"/>
        </w:r>
      </w:hyperlink>
    </w:p>
    <w:p w:rsidR="0075006D" w:rsidRDefault="00FE7C1D">
      <w:pPr>
        <w:pStyle w:val="TableofFigures"/>
        <w:tabs>
          <w:tab w:val="right" w:leader="dot" w:pos="9019"/>
        </w:tabs>
        <w:rPr>
          <w:rFonts w:asciiTheme="minorHAnsi" w:eastAsiaTheme="minorEastAsia" w:hAnsiTheme="minorHAnsi" w:cstheme="minorBidi"/>
          <w:noProof/>
          <w:lang w:val="en-AU" w:eastAsia="en-AU"/>
        </w:rPr>
      </w:pPr>
      <w:hyperlink w:anchor="_Toc381604833" w:history="1">
        <w:r w:rsidR="0075006D" w:rsidRPr="00666DC3">
          <w:rPr>
            <w:rStyle w:val="Hyperlink"/>
            <w:noProof/>
          </w:rPr>
          <w:t>Table 3: Possible Risks Affecting the EP</w:t>
        </w:r>
        <w:r w:rsidR="0075006D">
          <w:rPr>
            <w:noProof/>
            <w:webHidden/>
          </w:rPr>
          <w:tab/>
        </w:r>
        <w:r w:rsidR="0075006D">
          <w:rPr>
            <w:noProof/>
            <w:webHidden/>
          </w:rPr>
          <w:fldChar w:fldCharType="begin"/>
        </w:r>
        <w:r w:rsidR="0075006D">
          <w:rPr>
            <w:noProof/>
            <w:webHidden/>
          </w:rPr>
          <w:instrText xml:space="preserve"> PAGEREF _Toc381604833 \h </w:instrText>
        </w:r>
        <w:r w:rsidR="0075006D">
          <w:rPr>
            <w:noProof/>
            <w:webHidden/>
          </w:rPr>
        </w:r>
        <w:r w:rsidR="0075006D">
          <w:rPr>
            <w:noProof/>
            <w:webHidden/>
          </w:rPr>
          <w:fldChar w:fldCharType="separate"/>
        </w:r>
        <w:r w:rsidR="0075006D">
          <w:rPr>
            <w:noProof/>
            <w:webHidden/>
          </w:rPr>
          <w:t>63</w:t>
        </w:r>
        <w:r w:rsidR="0075006D">
          <w:rPr>
            <w:noProof/>
            <w:webHidden/>
          </w:rPr>
          <w:fldChar w:fldCharType="end"/>
        </w:r>
      </w:hyperlink>
    </w:p>
    <w:p w:rsidR="0032365A" w:rsidRDefault="000B523C" w:rsidP="003F5678">
      <w:pPr>
        <w:tabs>
          <w:tab w:val="left" w:pos="993"/>
        </w:tabs>
        <w:ind w:left="993" w:right="425" w:hanging="993"/>
      </w:pPr>
      <w:r w:rsidRPr="003F5678">
        <w:rPr>
          <w:rFonts w:asciiTheme="minorHAnsi" w:hAnsiTheme="minorHAnsi"/>
        </w:rPr>
        <w:fldChar w:fldCharType="end"/>
      </w:r>
    </w:p>
    <w:p w:rsidR="0032365A" w:rsidRDefault="0032365A" w:rsidP="0032365A"/>
    <w:p w:rsidR="0032365A" w:rsidRDefault="0032365A" w:rsidP="0032365A">
      <w:pPr>
        <w:sectPr w:rsidR="0032365A" w:rsidSect="0038463D">
          <w:footnotePr>
            <w:numRestart w:val="eachSect"/>
          </w:footnotePr>
          <w:endnotePr>
            <w:numRestart w:val="eachSect"/>
          </w:endnotePr>
          <w:pgSz w:w="11909" w:h="16834" w:code="9"/>
          <w:pgMar w:top="357" w:right="1440" w:bottom="1304" w:left="1440" w:header="431" w:footer="425" w:gutter="0"/>
          <w:pgNumType w:fmt="lowerRoman"/>
          <w:cols w:space="720"/>
          <w:titlePg/>
          <w:docGrid w:linePitch="360"/>
        </w:sectPr>
      </w:pPr>
    </w:p>
    <w:p w:rsidR="00645CC8" w:rsidRPr="0032365A" w:rsidRDefault="00045CAA" w:rsidP="0032365A">
      <w:pPr>
        <w:pStyle w:val="Heading1"/>
        <w:numPr>
          <w:ilvl w:val="0"/>
          <w:numId w:val="0"/>
        </w:numPr>
        <w:spacing w:after="1320"/>
        <w:rPr>
          <w:color w:val="68BAD6"/>
        </w:rPr>
      </w:pPr>
      <w:bookmarkStart w:id="7" w:name="_Toc385504511"/>
      <w:r w:rsidRPr="0032365A">
        <w:rPr>
          <w:color w:val="68BAD6"/>
        </w:rPr>
        <w:lastRenderedPageBreak/>
        <w:t>ABBREVIATIONS AND ACRONYMS</w:t>
      </w:r>
      <w:bookmarkEnd w:id="7"/>
    </w:p>
    <w:tbl>
      <w:tblPr>
        <w:tblStyle w:val="LightList-Accent11"/>
        <w:tblW w:w="5000" w:type="pct"/>
        <w:jc w:val="center"/>
        <w:tblBorders>
          <w:top w:val="none" w:sz="0" w:space="0" w:color="auto"/>
          <w:left w:val="none" w:sz="0" w:space="0" w:color="auto"/>
          <w:bottom w:val="none" w:sz="0" w:space="0" w:color="auto"/>
          <w:right w:val="none" w:sz="0" w:space="0" w:color="auto"/>
        </w:tblBorders>
        <w:shd w:val="clear" w:color="auto" w:fill="FFFFFF" w:themeFill="background1"/>
        <w:tblLook w:val="00A0" w:firstRow="1" w:lastRow="0" w:firstColumn="1" w:lastColumn="0" w:noHBand="0" w:noVBand="0"/>
      </w:tblPr>
      <w:tblGrid>
        <w:gridCol w:w="1147"/>
        <w:gridCol w:w="4049"/>
        <w:gridCol w:w="4049"/>
      </w:tblGrid>
      <w:tr w:rsidR="00B31112" w:rsidRPr="00B90799" w:rsidTr="0032365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color w:val="auto"/>
              </w:rPr>
            </w:pP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color w:val="auto"/>
              </w:rPr>
            </w:pPr>
            <w:r w:rsidRPr="00B90799">
              <w:rPr>
                <w:rFonts w:asciiTheme="minorHAnsi" w:hAnsiTheme="minorHAnsi"/>
                <w:color w:val="auto"/>
              </w:rPr>
              <w:t>Bahasa Indonesia</w:t>
            </w:r>
          </w:p>
        </w:tc>
        <w:tc>
          <w:tcPr>
            <w:tcW w:w="2250" w:type="pct"/>
            <w:shd w:val="clear" w:color="auto" w:fill="FFFFFF" w:themeFill="background1"/>
          </w:tcPr>
          <w:p w:rsidR="00B31112" w:rsidRPr="00B90799" w:rsidRDefault="00B31112" w:rsidP="0038463D">
            <w:pP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B90799">
              <w:rPr>
                <w:rFonts w:asciiTheme="minorHAnsi" w:hAnsiTheme="minorHAnsi"/>
                <w:color w:val="auto"/>
              </w:rPr>
              <w:t>English</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ACER</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950B1B" w:rsidP="009B6D6D">
            <w:pPr>
              <w:rPr>
                <w:rFonts w:asciiTheme="minorHAnsi" w:hAnsiTheme="minorHAnsi"/>
                <w:lang w:val="en-US" w:eastAsia="en-US"/>
              </w:rPr>
            </w:pPr>
            <w:r w:rsidRPr="00B90799">
              <w:rPr>
                <w:rFonts w:asciiTheme="minorHAnsi" w:hAnsiTheme="minorHAnsi" w:cs="Calibri"/>
              </w:rPr>
              <w:t>Dewan Penelitian Pendidikan Australia</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 xml:space="preserve">Australian Council for Educational Research </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ADB</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Bank Pembangunan Asia</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Asian Development Bank</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APK</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Angka Partisipasi Kasar</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Gross Enrolment Rate</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APM</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Angka Partisipasi Murni</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Net Enrolment Rate</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AusAID</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Badan Australia untuk Pembangunan Internasional</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Australian Agency for International Development</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AWP</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Rencana Kerja Tahunan</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Annual Work Plan</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Balitbang</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Badan Penelitian dan Pengembangan</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Centre for Research and Development</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Bappenas</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Badan Perencanaan Pembangunan Nasional</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National Development Planning Agency</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BEP</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Program Pendidikan Dasar Australia-Indonesia</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Australia-Indonesia Basic Education Program</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BOS</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596778" w:rsidP="0038463D">
            <w:pPr>
              <w:rPr>
                <w:rFonts w:asciiTheme="minorHAnsi" w:hAnsiTheme="minorHAnsi"/>
              </w:rPr>
            </w:pPr>
            <w:r>
              <w:rPr>
                <w:rFonts w:asciiTheme="minorHAnsi" w:hAnsiTheme="minorHAnsi"/>
              </w:rPr>
              <w:t>Bantuan</w:t>
            </w:r>
            <w:r w:rsidR="00B31112" w:rsidRPr="00B90799">
              <w:rPr>
                <w:rFonts w:asciiTheme="minorHAnsi" w:hAnsiTheme="minorHAnsi"/>
              </w:rPr>
              <w:t>Operasional Sekolah</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School Operational Fund</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BOS Buku</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596778" w:rsidP="0038463D">
            <w:pPr>
              <w:rPr>
                <w:rFonts w:asciiTheme="minorHAnsi" w:hAnsiTheme="minorHAnsi"/>
              </w:rPr>
            </w:pPr>
            <w:r>
              <w:rPr>
                <w:rFonts w:asciiTheme="minorHAnsi" w:hAnsiTheme="minorHAnsi"/>
              </w:rPr>
              <w:t>Bantuan</w:t>
            </w:r>
            <w:r w:rsidRPr="00B90799">
              <w:rPr>
                <w:rFonts w:asciiTheme="minorHAnsi" w:hAnsiTheme="minorHAnsi"/>
              </w:rPr>
              <w:t xml:space="preserve"> </w:t>
            </w:r>
            <w:r w:rsidR="00B31112" w:rsidRPr="00B90799">
              <w:rPr>
                <w:rFonts w:asciiTheme="minorHAnsi" w:hAnsiTheme="minorHAnsi"/>
              </w:rPr>
              <w:t>Operasional Sekolah Buku</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School Operation Funds for Textbooks</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BSNP</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Badan Standar Nasional Pendidikan</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National Education Standards Board</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CCR</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Rasio Kelas-Ruang Kelas</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Class-Classroom Ratio</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CSAS</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 xml:space="preserve">Kontraktor untuk Layanan Kepenasehatan Strategis </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Contractor for Strategic Advisory Services</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DFAT</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950B1B" w:rsidP="0038463D">
            <w:pPr>
              <w:rPr>
                <w:rFonts w:asciiTheme="minorHAnsi" w:hAnsiTheme="minorHAnsi"/>
              </w:rPr>
            </w:pPr>
            <w:r w:rsidRPr="00B90799">
              <w:rPr>
                <w:rFonts w:asciiTheme="minorHAnsi" w:hAnsiTheme="minorHAnsi"/>
              </w:rPr>
              <w:t>Departemen Luar Negeri dan Perdagangan</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Department of Foreign Affairs and Trade (Australian)</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DG</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Direktorat Jendral</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Directorate General</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EC</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Komisi Eropa</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 xml:space="preserve">European Commission </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 xml:space="preserve">EFA </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Pendidikan untuk Semua</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Education for All</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ESP</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Rencana Strategis Pendidikan</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Education Strategic Plan</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ESSP</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Education Sector Support Program</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Education Sector Support Program</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ESWG</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Kelompok Kerja Sektor Pendidikan</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Education Sector Working Group</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GDP</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Pendapatan Domestik Bruto</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Gross Domestic Product</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GER</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Angka Pendaftaran Kasar</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Gross Enrolment Rate</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GoA</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Pemerintah Australia</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Government of Australia</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GOI</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Pemerintah Indonesia</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Government of Indonesia</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 xml:space="preserve">JSS </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Sekolah Menengah Pertama</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Junior Secondary School</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KPI</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B31112" w:rsidP="00596778">
            <w:pPr>
              <w:rPr>
                <w:rFonts w:asciiTheme="minorHAnsi" w:hAnsiTheme="minorHAnsi"/>
              </w:rPr>
            </w:pPr>
            <w:r w:rsidRPr="00B90799">
              <w:rPr>
                <w:rFonts w:asciiTheme="minorHAnsi" w:hAnsiTheme="minorHAnsi"/>
              </w:rPr>
              <w:t xml:space="preserve">Indikator Kunci dari </w:t>
            </w:r>
            <w:r w:rsidR="00596778">
              <w:rPr>
                <w:rFonts w:asciiTheme="minorHAnsi" w:hAnsiTheme="minorHAnsi"/>
              </w:rPr>
              <w:t>?</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Key Performance Indicator</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LAKIP</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Laporan Akuntabilitas Kinerja Publik</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 xml:space="preserve">Public Performance Accountability Report </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MCPM</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Kontraktor Pelaksana untuk Pengelolaan Program</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Managing Contractor Program Management</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MDA</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Kajian Tengah Dekade</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Mid-Decade Assessment</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MoF</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596778" w:rsidP="0038463D">
            <w:pPr>
              <w:rPr>
                <w:rFonts w:asciiTheme="minorHAnsi" w:hAnsiTheme="minorHAnsi"/>
              </w:rPr>
            </w:pPr>
            <w:r>
              <w:rPr>
                <w:rFonts w:asciiTheme="minorHAnsi" w:hAnsiTheme="minorHAnsi"/>
              </w:rPr>
              <w:t>Kementrian</w:t>
            </w:r>
            <w:r w:rsidRPr="00B90799">
              <w:rPr>
                <w:rFonts w:asciiTheme="minorHAnsi" w:hAnsiTheme="minorHAnsi"/>
              </w:rPr>
              <w:t xml:space="preserve"> </w:t>
            </w:r>
            <w:r w:rsidR="00B31112" w:rsidRPr="00B90799">
              <w:rPr>
                <w:rFonts w:asciiTheme="minorHAnsi" w:hAnsiTheme="minorHAnsi"/>
              </w:rPr>
              <w:t>Keuangan</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Ministry of Finance</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MoEC</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596778" w:rsidP="0038463D">
            <w:pPr>
              <w:rPr>
                <w:rFonts w:asciiTheme="minorHAnsi" w:hAnsiTheme="minorHAnsi"/>
              </w:rPr>
            </w:pPr>
            <w:r>
              <w:rPr>
                <w:rFonts w:asciiTheme="minorHAnsi" w:hAnsiTheme="minorHAnsi"/>
              </w:rPr>
              <w:t>Kemendikbud</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Ministry of Education and Culture</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lastRenderedPageBreak/>
              <w:t>MoRA</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596778" w:rsidP="0038463D">
            <w:pPr>
              <w:rPr>
                <w:rFonts w:asciiTheme="minorHAnsi" w:hAnsiTheme="minorHAnsi"/>
              </w:rPr>
            </w:pPr>
            <w:r>
              <w:rPr>
                <w:rFonts w:asciiTheme="minorHAnsi" w:hAnsiTheme="minorHAnsi"/>
              </w:rPr>
              <w:t>Kementrian</w:t>
            </w:r>
            <w:r w:rsidRPr="00B90799">
              <w:rPr>
                <w:rFonts w:asciiTheme="minorHAnsi" w:hAnsiTheme="minorHAnsi"/>
              </w:rPr>
              <w:t xml:space="preserve"> </w:t>
            </w:r>
            <w:r w:rsidR="00B31112" w:rsidRPr="00B90799">
              <w:rPr>
                <w:rFonts w:asciiTheme="minorHAnsi" w:hAnsiTheme="minorHAnsi"/>
              </w:rPr>
              <w:t>Agama</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Ministry of Religious Affairs</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NER</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Angka Pendaftaran Murni</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Net Enrolment Rate</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NFE</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Pendidikan Non-formal</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Non-Formal Education</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PAM</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Matriks Aksi Kebijakan</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Policy Action Matrix</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PCMU</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Unit Pengelola dan Koordinasi Program</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Program Coordination and Management Unit</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cs="Calibri"/>
                <w:b w:val="0"/>
              </w:rPr>
            </w:pPr>
            <w:r w:rsidRPr="00B90799">
              <w:rPr>
                <w:rFonts w:asciiTheme="minorHAnsi" w:hAnsiTheme="minorHAnsi" w:cs="Calibri"/>
                <w:b w:val="0"/>
              </w:rPr>
              <w:t>PMPTK</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Peningkatan Mutu Pendidik dan Tenaga Kependidikan</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B90799">
              <w:rPr>
                <w:rFonts w:asciiTheme="minorHAnsi" w:hAnsiTheme="minorHAnsi" w:cs="Calibri"/>
              </w:rPr>
              <w:t>Quality Improvement of Teachers and Education Personnel</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POM</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950B1B" w:rsidP="0038463D">
            <w:pPr>
              <w:rPr>
                <w:rFonts w:asciiTheme="minorHAnsi" w:hAnsiTheme="minorHAnsi"/>
              </w:rPr>
            </w:pPr>
            <w:r w:rsidRPr="00B90799">
              <w:rPr>
                <w:rFonts w:asciiTheme="minorHAnsi" w:hAnsiTheme="minorHAnsi"/>
              </w:rPr>
              <w:t>Monitoring dan Pengawasan Kinerja</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Performance Oversight and Monitoring</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PSC</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Komite Pengarah Program</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Program Steering Committee</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PTP Matrix</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Matriks Sasaran dan Kinerja Program</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Program Targets and Performance Matrix</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PUSLIT</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Pusat Penelitian</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Center for Research</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PUSPENDIK</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Pusat Statistik Pendidikan</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Center for Education Statistics</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Renstra</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 xml:space="preserve">Rencana Strategis </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Strategic Plan</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Rp.</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Rupiah</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Rupiah</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SCR</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Rasio Siswa Ruang Kelas</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Student Classroom Ratio</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SD</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Sekolah Dasar</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Primary School</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SIKD</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Sistem Informasi Keuangan Daerah</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 xml:space="preserve">Regional Finance Information system </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SMA</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Sekolah Menengah Atas</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Senior Secondary School</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 xml:space="preserve">SMP </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Sekolah Menengah Pertama</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Junior Secondary School</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SWAP</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 xml:space="preserve">Pendekatan Sektor secara Luas </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Sector Wide Approach</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SPI</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Indikator Kinerja Tambahan</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Supplementary Performance Indicator</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 xml:space="preserve">STR </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Rasio Siswa Guru</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Student Teacher Ratio</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SUSENAS</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Survei Sosial Ekonomi Nasional</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National Socio-Economic Survey</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TA</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Bantuan Teknis</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Technical Assistance</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ToR</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Kerangka Acuan Kerja</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Term of Reference</w:t>
            </w:r>
          </w:p>
        </w:tc>
      </w:tr>
      <w:tr w:rsidR="00B31112" w:rsidRPr="00B90799" w:rsidTr="003236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UN</w:t>
            </w:r>
          </w:p>
        </w:tc>
        <w:tc>
          <w:tcPr>
            <w:cnfStyle w:val="000010000000" w:firstRow="0" w:lastRow="0" w:firstColumn="0" w:lastColumn="0" w:oddVBand="1" w:evenVBand="0" w:oddHBand="0" w:evenHBand="0" w:firstRowFirstColumn="0" w:firstRowLastColumn="0" w:lastRowFirstColumn="0" w:lastRowLastColumn="0"/>
            <w:tcW w:w="2250" w:type="pct"/>
            <w:tcBorders>
              <w:top w:val="none" w:sz="0" w:space="0" w:color="auto"/>
              <w:left w:val="none" w:sz="0" w:space="0" w:color="auto"/>
              <w:bottom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Perserikatan Bangsa-Bangsa</w:t>
            </w:r>
          </w:p>
        </w:tc>
        <w:tc>
          <w:tcPr>
            <w:tcW w:w="2250" w:type="pct"/>
            <w:tcBorders>
              <w:top w:val="none" w:sz="0" w:space="0" w:color="auto"/>
              <w:bottom w:val="none" w:sz="0" w:space="0" w:color="auto"/>
              <w:right w:val="none" w:sz="0" w:space="0" w:color="auto"/>
            </w:tcBorders>
            <w:shd w:val="clear" w:color="auto" w:fill="FFFFFF" w:themeFill="background1"/>
          </w:tcPr>
          <w:p w:rsidR="00B31112" w:rsidRPr="00B90799" w:rsidRDefault="00B31112" w:rsidP="0038463D">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90799">
              <w:rPr>
                <w:rFonts w:asciiTheme="minorHAnsi" w:hAnsiTheme="minorHAnsi"/>
              </w:rPr>
              <w:t>United Nations</w:t>
            </w:r>
          </w:p>
        </w:tc>
      </w:tr>
      <w:tr w:rsidR="00B31112" w:rsidRPr="00B90799" w:rsidTr="0032365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rsidR="00B31112" w:rsidRPr="00B90799" w:rsidRDefault="00B31112" w:rsidP="0038463D">
            <w:pPr>
              <w:rPr>
                <w:rFonts w:asciiTheme="minorHAnsi" w:hAnsiTheme="minorHAnsi"/>
                <w:b w:val="0"/>
              </w:rPr>
            </w:pPr>
            <w:r w:rsidRPr="00B90799">
              <w:rPr>
                <w:rFonts w:asciiTheme="minorHAnsi" w:hAnsiTheme="minorHAnsi"/>
                <w:b w:val="0"/>
              </w:rPr>
              <w:t>USAID</w:t>
            </w:r>
          </w:p>
        </w:tc>
        <w:tc>
          <w:tcPr>
            <w:cnfStyle w:val="000010000000" w:firstRow="0" w:lastRow="0" w:firstColumn="0" w:lastColumn="0" w:oddVBand="1" w:evenVBand="0" w:oddHBand="0" w:evenHBand="0" w:firstRowFirstColumn="0" w:firstRowLastColumn="0" w:lastRowFirstColumn="0" w:lastRowLastColumn="0"/>
            <w:tcW w:w="2250" w:type="pct"/>
            <w:tcBorders>
              <w:left w:val="none" w:sz="0" w:space="0" w:color="auto"/>
              <w:bottom w:val="none" w:sz="0" w:space="0" w:color="auto"/>
              <w:right w:val="none" w:sz="0" w:space="0" w:color="auto"/>
            </w:tcBorders>
            <w:shd w:val="clear" w:color="auto" w:fill="FFFFFF" w:themeFill="background1"/>
          </w:tcPr>
          <w:p w:rsidR="00B31112" w:rsidRPr="00B90799" w:rsidRDefault="00B31112" w:rsidP="0038463D">
            <w:pPr>
              <w:rPr>
                <w:rFonts w:asciiTheme="minorHAnsi" w:hAnsiTheme="minorHAnsi"/>
              </w:rPr>
            </w:pPr>
            <w:r w:rsidRPr="00B90799">
              <w:rPr>
                <w:rFonts w:asciiTheme="minorHAnsi" w:hAnsiTheme="minorHAnsi"/>
              </w:rPr>
              <w:t>Badan Amerika Serikat untuk Pembangunan Internasional</w:t>
            </w:r>
          </w:p>
        </w:tc>
        <w:tc>
          <w:tcPr>
            <w:tcW w:w="2250" w:type="pct"/>
            <w:shd w:val="clear" w:color="auto" w:fill="FFFFFF" w:themeFill="background1"/>
          </w:tcPr>
          <w:p w:rsidR="00B31112" w:rsidRPr="00B90799" w:rsidRDefault="00B31112" w:rsidP="0038463D">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90799">
              <w:rPr>
                <w:rFonts w:asciiTheme="minorHAnsi" w:hAnsiTheme="minorHAnsi"/>
              </w:rPr>
              <w:t>United States Agency for International Development</w:t>
            </w:r>
          </w:p>
        </w:tc>
      </w:tr>
    </w:tbl>
    <w:p w:rsidR="0032365A" w:rsidRDefault="0032365A" w:rsidP="00045CAA">
      <w:pPr>
        <w:sectPr w:rsidR="0032365A" w:rsidSect="0038463D">
          <w:footnotePr>
            <w:numRestart w:val="eachSect"/>
          </w:footnotePr>
          <w:endnotePr>
            <w:numRestart w:val="eachSect"/>
          </w:endnotePr>
          <w:pgSz w:w="11909" w:h="16834" w:code="9"/>
          <w:pgMar w:top="357" w:right="1440" w:bottom="1304" w:left="1440" w:header="431" w:footer="425" w:gutter="0"/>
          <w:pgNumType w:fmt="lowerRoman"/>
          <w:cols w:space="720"/>
          <w:titlePg/>
          <w:docGrid w:linePitch="360"/>
        </w:sectPr>
      </w:pPr>
    </w:p>
    <w:p w:rsidR="00045CAA" w:rsidRPr="0032365A" w:rsidRDefault="0032365A" w:rsidP="0032365A">
      <w:pPr>
        <w:pStyle w:val="Heading1"/>
        <w:numPr>
          <w:ilvl w:val="0"/>
          <w:numId w:val="0"/>
        </w:numPr>
        <w:spacing w:after="1320"/>
        <w:ind w:left="720" w:hanging="720"/>
        <w:rPr>
          <w:color w:val="68BAD6"/>
        </w:rPr>
      </w:pPr>
      <w:bookmarkStart w:id="8" w:name="_Toc385504512"/>
      <w:r w:rsidRPr="0032365A">
        <w:rPr>
          <w:color w:val="68BAD6"/>
        </w:rPr>
        <w:lastRenderedPageBreak/>
        <w:t>PREFACE</w:t>
      </w:r>
      <w:bookmarkEnd w:id="8"/>
    </w:p>
    <w:p w:rsidR="00B31112" w:rsidRPr="00045A87" w:rsidRDefault="00B31112" w:rsidP="0032365A">
      <w:pPr>
        <w:spacing w:line="276" w:lineRule="auto"/>
        <w:jc w:val="both"/>
      </w:pPr>
      <w:r w:rsidRPr="00045A87">
        <w:t xml:space="preserve">This report is intended to provide high level monitoring of national and district trends in education financing. The purpose of the monitoring is to inform </w:t>
      </w:r>
      <w:r>
        <w:t>the Governments of Indonesia and Australia</w:t>
      </w:r>
      <w:r w:rsidRPr="00045A87">
        <w:t xml:space="preserve"> as they implement the </w:t>
      </w:r>
      <w:r>
        <w:t>Education Partnership</w:t>
      </w:r>
      <w:r w:rsidRPr="00045A87">
        <w:t xml:space="preserve"> </w:t>
      </w:r>
      <w:r w:rsidR="00A477E2">
        <w:t>(</w:t>
      </w:r>
      <w:r w:rsidRPr="00045A87">
        <w:t>2011</w:t>
      </w:r>
      <w:r w:rsidR="00A477E2">
        <w:t>-2016)</w:t>
      </w:r>
      <w:r w:rsidRPr="00045A87">
        <w:t xml:space="preserve">. </w:t>
      </w:r>
    </w:p>
    <w:p w:rsidR="00B31112" w:rsidRPr="00045A87" w:rsidRDefault="00B31112" w:rsidP="0032365A">
      <w:pPr>
        <w:spacing w:line="276" w:lineRule="auto"/>
        <w:jc w:val="both"/>
      </w:pPr>
      <w:r>
        <w:t>This is the s</w:t>
      </w:r>
      <w:r w:rsidRPr="00045A87">
        <w:t>i</w:t>
      </w:r>
      <w:r>
        <w:t>x</w:t>
      </w:r>
      <w:r w:rsidRPr="00045A87">
        <w:t xml:space="preserve">th </w:t>
      </w:r>
      <w:r w:rsidR="001A0D64">
        <w:t>Annual Sector Financi</w:t>
      </w:r>
      <w:r w:rsidR="00827B97">
        <w:t>al</w:t>
      </w:r>
      <w:r w:rsidR="001A0D64">
        <w:t xml:space="preserve"> Report (previously known as the </w:t>
      </w:r>
      <w:r w:rsidRPr="00045A87">
        <w:t>Annual Financial Performance Report</w:t>
      </w:r>
      <w:r w:rsidR="001A0D64">
        <w:t>)</w:t>
      </w:r>
      <w:r>
        <w:t xml:space="preserve">. It </w:t>
      </w:r>
      <w:r w:rsidRPr="00045A87">
        <w:t xml:space="preserve">is a continuation of </w:t>
      </w:r>
      <w:r>
        <w:t xml:space="preserve">last year’s report published by the Performance Oversight and Monitoring team of the Education Partnership, and </w:t>
      </w:r>
      <w:r w:rsidRPr="00045A87">
        <w:t xml:space="preserve">a series of three annual reports that were prepared by the same author for the Basic Education Program and delivered through the Contractor for Strategic Advisory Services. Copies of these reports are held by the </w:t>
      </w:r>
      <w:r>
        <w:t>Australian Embassy and the Indonesian Ministry of Education and Culture</w:t>
      </w:r>
      <w:r w:rsidRPr="00045A87">
        <w:t>.</w:t>
      </w:r>
    </w:p>
    <w:p w:rsidR="00B31112" w:rsidRPr="00045A87" w:rsidRDefault="00B31112" w:rsidP="0032365A">
      <w:pPr>
        <w:spacing w:line="276" w:lineRule="auto"/>
        <w:jc w:val="both"/>
      </w:pPr>
      <w:r w:rsidRPr="00045A87">
        <w:t>The author is Education Economist Mr. Adam Rorris</w:t>
      </w:r>
      <w:r w:rsidR="00A477E2">
        <w:t>. He</w:t>
      </w:r>
      <w:r w:rsidRPr="00045A87">
        <w:t xml:space="preserve"> has worked </w:t>
      </w:r>
      <w:r w:rsidR="001A0D64">
        <w:t xml:space="preserve">in </w:t>
      </w:r>
      <w:r w:rsidRPr="00045A87">
        <w:t xml:space="preserve">close collaboration </w:t>
      </w:r>
      <w:r w:rsidR="001A0D64">
        <w:t xml:space="preserve">with, </w:t>
      </w:r>
      <w:r w:rsidRPr="00045A87">
        <w:t xml:space="preserve">and </w:t>
      </w:r>
      <w:r w:rsidR="001A0D64">
        <w:t xml:space="preserve">has benefitted from the </w:t>
      </w:r>
      <w:r w:rsidRPr="00045A87">
        <w:t>support</w:t>
      </w:r>
      <w:r w:rsidR="001A0D64">
        <w:t xml:space="preserve"> of, </w:t>
      </w:r>
      <w:r w:rsidR="0032365A">
        <w:t xml:space="preserve">the </w:t>
      </w:r>
      <w:r w:rsidR="0032365A" w:rsidRPr="00045A87">
        <w:t>Ministry</w:t>
      </w:r>
      <w:r w:rsidRPr="00045A87">
        <w:t xml:space="preserve"> of Finance</w:t>
      </w:r>
      <w:r w:rsidR="00827B97">
        <w:t xml:space="preserve"> and the Ministry of Education and Culture (MOEC)</w:t>
      </w:r>
      <w:r w:rsidRPr="00045A87">
        <w:t xml:space="preserve">. The consultant acknowledges the support and advice of the many people that contributed to the study. Data analysis support was provided by Mr. Ahmad Evandri. The views and opinions expressed in this report are those of the author and do not necessarily reflect those of </w:t>
      </w:r>
      <w:r>
        <w:t>the Governments of Indonesia or Australia</w:t>
      </w:r>
      <w:r w:rsidRPr="00045A87">
        <w:t>.</w:t>
      </w:r>
    </w:p>
    <w:p w:rsidR="00045CAA" w:rsidRDefault="00045CAA" w:rsidP="00B31112">
      <w:pPr>
        <w:spacing w:before="120"/>
      </w:pPr>
    </w:p>
    <w:p w:rsidR="0032365A" w:rsidRDefault="0032365A" w:rsidP="00B31112">
      <w:pPr>
        <w:spacing w:before="120"/>
      </w:pPr>
    </w:p>
    <w:p w:rsidR="0032365A" w:rsidRDefault="0032365A" w:rsidP="00B31112">
      <w:pPr>
        <w:spacing w:before="120"/>
      </w:pPr>
    </w:p>
    <w:p w:rsidR="0032365A" w:rsidRDefault="0032365A" w:rsidP="00B31112">
      <w:pPr>
        <w:spacing w:before="120"/>
      </w:pPr>
    </w:p>
    <w:p w:rsidR="0032365A" w:rsidRDefault="0032365A" w:rsidP="00B31112">
      <w:pPr>
        <w:spacing w:before="120"/>
      </w:pPr>
    </w:p>
    <w:p w:rsidR="0032365A" w:rsidRDefault="0032365A" w:rsidP="00B31112">
      <w:pPr>
        <w:spacing w:before="120"/>
      </w:pPr>
    </w:p>
    <w:p w:rsidR="0032365A" w:rsidRDefault="0032365A" w:rsidP="00B31112">
      <w:pPr>
        <w:spacing w:before="120"/>
      </w:pPr>
    </w:p>
    <w:p w:rsidR="0032365A" w:rsidRDefault="0032365A" w:rsidP="00B31112">
      <w:pPr>
        <w:spacing w:before="120"/>
      </w:pPr>
    </w:p>
    <w:p w:rsidR="0032365A" w:rsidRDefault="0032365A" w:rsidP="00B31112">
      <w:pPr>
        <w:spacing w:before="120"/>
      </w:pPr>
    </w:p>
    <w:p w:rsidR="0032365A" w:rsidRDefault="0032365A" w:rsidP="00B31112">
      <w:pPr>
        <w:spacing w:before="120"/>
      </w:pPr>
    </w:p>
    <w:p w:rsidR="0032365A" w:rsidRDefault="0032365A" w:rsidP="00B31112">
      <w:pPr>
        <w:spacing w:before="120"/>
      </w:pPr>
    </w:p>
    <w:p w:rsidR="0032365A" w:rsidRDefault="0032365A" w:rsidP="00B31112">
      <w:pPr>
        <w:spacing w:before="120"/>
      </w:pPr>
    </w:p>
    <w:p w:rsidR="0032365A" w:rsidRDefault="0032365A" w:rsidP="00B31112">
      <w:pPr>
        <w:spacing w:before="120"/>
      </w:pPr>
    </w:p>
    <w:p w:rsidR="0032365A" w:rsidRDefault="0032365A" w:rsidP="00B31112">
      <w:pPr>
        <w:spacing w:before="120"/>
      </w:pPr>
    </w:p>
    <w:p w:rsidR="0032365A" w:rsidRDefault="0032365A" w:rsidP="00B31112">
      <w:pPr>
        <w:spacing w:before="120"/>
      </w:pPr>
    </w:p>
    <w:p w:rsidR="00045CAA" w:rsidRDefault="00045CAA" w:rsidP="00045CAA"/>
    <w:p w:rsidR="00045CAA" w:rsidRPr="00DD0D4F" w:rsidRDefault="00045CAA" w:rsidP="00045CAA">
      <w:pPr>
        <w:rPr>
          <w:rStyle w:val="IntenseEmphasis"/>
        </w:rPr>
      </w:pPr>
      <w:r>
        <w:rPr>
          <w:rStyle w:val="IntenseEmphasis"/>
        </w:rPr>
        <w:t>Amendment history</w:t>
      </w:r>
    </w:p>
    <w:tbl>
      <w:tblPr>
        <w:tblStyle w:val="TableGrid"/>
        <w:tblW w:w="5000" w:type="pct"/>
        <w:jc w:val="center"/>
        <w:tblCellMar>
          <w:top w:w="57" w:type="dxa"/>
          <w:bottom w:w="57" w:type="dxa"/>
        </w:tblCellMar>
        <w:tblLook w:val="04A0" w:firstRow="1" w:lastRow="0" w:firstColumn="1" w:lastColumn="0" w:noHBand="0" w:noVBand="1"/>
      </w:tblPr>
      <w:tblGrid>
        <w:gridCol w:w="1534"/>
        <w:gridCol w:w="4624"/>
        <w:gridCol w:w="3087"/>
      </w:tblGrid>
      <w:tr w:rsidR="00045CAA" w:rsidRPr="006E42C4" w:rsidTr="00F66549">
        <w:trPr>
          <w:jc w:val="center"/>
        </w:trPr>
        <w:tc>
          <w:tcPr>
            <w:tcW w:w="1534" w:type="dxa"/>
            <w:shd w:val="clear" w:color="auto" w:fill="365F91" w:themeFill="accent1" w:themeFillShade="BF"/>
            <w:vAlign w:val="center"/>
          </w:tcPr>
          <w:p w:rsidR="00045CAA" w:rsidRPr="006E42C4" w:rsidRDefault="00045CAA" w:rsidP="0032365A">
            <w:pPr>
              <w:spacing w:after="0"/>
              <w:jc w:val="center"/>
              <w:rPr>
                <w:rFonts w:asciiTheme="minorHAnsi" w:eastAsia="Calibri" w:hAnsiTheme="minorHAnsi" w:cstheme="minorHAnsi"/>
                <w:b/>
                <w:color w:val="FFFFFF" w:themeColor="background1"/>
                <w:sz w:val="20"/>
              </w:rPr>
            </w:pPr>
            <w:r w:rsidRPr="006E42C4">
              <w:rPr>
                <w:rFonts w:asciiTheme="minorHAnsi" w:eastAsia="Calibri" w:hAnsiTheme="minorHAnsi" w:cstheme="minorHAnsi"/>
                <w:b/>
                <w:color w:val="FFFFFF" w:themeColor="background1"/>
                <w:sz w:val="20"/>
              </w:rPr>
              <w:t>Version</w:t>
            </w:r>
          </w:p>
        </w:tc>
        <w:tc>
          <w:tcPr>
            <w:tcW w:w="4624" w:type="dxa"/>
            <w:shd w:val="clear" w:color="auto" w:fill="365F91" w:themeFill="accent1" w:themeFillShade="BF"/>
            <w:vAlign w:val="center"/>
          </w:tcPr>
          <w:p w:rsidR="00045CAA" w:rsidRPr="006E42C4" w:rsidRDefault="00045CAA" w:rsidP="0032365A">
            <w:pPr>
              <w:spacing w:after="0"/>
              <w:jc w:val="center"/>
              <w:rPr>
                <w:rFonts w:asciiTheme="minorHAnsi" w:eastAsia="Calibri" w:hAnsiTheme="minorHAnsi" w:cstheme="minorHAnsi"/>
                <w:b/>
                <w:color w:val="FFFFFF" w:themeColor="background1"/>
                <w:sz w:val="20"/>
              </w:rPr>
            </w:pPr>
            <w:r w:rsidRPr="006E42C4">
              <w:rPr>
                <w:rFonts w:asciiTheme="minorHAnsi" w:eastAsia="Calibri" w:hAnsiTheme="minorHAnsi" w:cstheme="minorHAnsi"/>
                <w:b/>
                <w:color w:val="FFFFFF" w:themeColor="background1"/>
                <w:sz w:val="20"/>
              </w:rPr>
              <w:t>Notes and modifications</w:t>
            </w:r>
          </w:p>
        </w:tc>
        <w:tc>
          <w:tcPr>
            <w:tcW w:w="3087" w:type="dxa"/>
            <w:shd w:val="clear" w:color="auto" w:fill="365F91" w:themeFill="accent1" w:themeFillShade="BF"/>
            <w:vAlign w:val="center"/>
          </w:tcPr>
          <w:p w:rsidR="00045CAA" w:rsidRPr="006E42C4" w:rsidRDefault="00045CAA" w:rsidP="0032365A">
            <w:pPr>
              <w:spacing w:after="0"/>
              <w:jc w:val="center"/>
              <w:rPr>
                <w:rFonts w:asciiTheme="minorHAnsi" w:eastAsia="Calibri" w:hAnsiTheme="minorHAnsi" w:cstheme="minorHAnsi"/>
                <w:b/>
                <w:color w:val="FFFFFF" w:themeColor="background1"/>
                <w:sz w:val="20"/>
              </w:rPr>
            </w:pPr>
            <w:r w:rsidRPr="006E42C4">
              <w:rPr>
                <w:rFonts w:asciiTheme="minorHAnsi" w:eastAsia="Calibri" w:hAnsiTheme="minorHAnsi" w:cstheme="minorHAnsi"/>
                <w:b/>
                <w:color w:val="FFFFFF" w:themeColor="background1"/>
                <w:sz w:val="20"/>
              </w:rPr>
              <w:t>Created by/modified by</w:t>
            </w:r>
          </w:p>
        </w:tc>
      </w:tr>
      <w:tr w:rsidR="00045CAA" w:rsidRPr="006E42C4" w:rsidTr="00F66549">
        <w:trPr>
          <w:jc w:val="center"/>
        </w:trPr>
        <w:tc>
          <w:tcPr>
            <w:tcW w:w="1534" w:type="dxa"/>
            <w:vAlign w:val="center"/>
          </w:tcPr>
          <w:p w:rsidR="00045CAA" w:rsidRPr="006E42C4" w:rsidRDefault="00045CAA" w:rsidP="0032365A">
            <w:pPr>
              <w:spacing w:after="0"/>
              <w:jc w:val="center"/>
              <w:rPr>
                <w:rFonts w:eastAsiaTheme="majorEastAsia" w:cstheme="majorBidi"/>
                <w:bCs/>
                <w:sz w:val="20"/>
              </w:rPr>
            </w:pPr>
            <w:r w:rsidRPr="006E42C4">
              <w:rPr>
                <w:rFonts w:eastAsiaTheme="majorEastAsia" w:cstheme="majorBidi"/>
                <w:bCs/>
                <w:sz w:val="20"/>
              </w:rPr>
              <w:t>1.0</w:t>
            </w:r>
          </w:p>
        </w:tc>
        <w:tc>
          <w:tcPr>
            <w:tcW w:w="4624" w:type="dxa"/>
            <w:vAlign w:val="center"/>
          </w:tcPr>
          <w:p w:rsidR="00045CAA" w:rsidRPr="006E42C4" w:rsidRDefault="00B31112" w:rsidP="0032365A">
            <w:pPr>
              <w:spacing w:after="0"/>
              <w:rPr>
                <w:rFonts w:eastAsiaTheme="majorEastAsia" w:cstheme="majorBidi"/>
                <w:bCs/>
                <w:sz w:val="20"/>
              </w:rPr>
            </w:pPr>
            <w:r>
              <w:rPr>
                <w:rFonts w:eastAsiaTheme="majorEastAsia" w:cstheme="majorBidi"/>
                <w:bCs/>
                <w:sz w:val="20"/>
              </w:rPr>
              <w:t>Initial</w:t>
            </w:r>
            <w:r w:rsidR="00045CAA">
              <w:rPr>
                <w:rFonts w:eastAsiaTheme="majorEastAsia" w:cstheme="majorBidi"/>
                <w:bCs/>
                <w:sz w:val="20"/>
              </w:rPr>
              <w:t xml:space="preserve"> Draft Report</w:t>
            </w:r>
            <w:r w:rsidR="00045CAA" w:rsidRPr="006E42C4">
              <w:rPr>
                <w:rFonts w:eastAsiaTheme="majorEastAsia" w:cstheme="majorBidi"/>
                <w:bCs/>
                <w:sz w:val="20"/>
              </w:rPr>
              <w:t xml:space="preserve"> (</w:t>
            </w:r>
            <w:r w:rsidR="00A477E2">
              <w:rPr>
                <w:rFonts w:eastAsiaTheme="majorEastAsia" w:cstheme="majorBidi"/>
                <w:bCs/>
                <w:sz w:val="20"/>
              </w:rPr>
              <w:t xml:space="preserve">06 </w:t>
            </w:r>
            <w:r>
              <w:rPr>
                <w:rFonts w:eastAsiaTheme="majorEastAsia" w:cstheme="majorBidi"/>
                <w:bCs/>
                <w:sz w:val="20"/>
              </w:rPr>
              <w:t>December</w:t>
            </w:r>
            <w:r w:rsidR="00045CAA" w:rsidRPr="006E42C4">
              <w:rPr>
                <w:rFonts w:eastAsiaTheme="majorEastAsia" w:cstheme="majorBidi"/>
                <w:bCs/>
                <w:sz w:val="20"/>
              </w:rPr>
              <w:t xml:space="preserve"> 2013)</w:t>
            </w:r>
          </w:p>
        </w:tc>
        <w:tc>
          <w:tcPr>
            <w:tcW w:w="3087" w:type="dxa"/>
            <w:vAlign w:val="center"/>
          </w:tcPr>
          <w:p w:rsidR="00045CAA" w:rsidRPr="006E42C4" w:rsidRDefault="00045CAA" w:rsidP="0032365A">
            <w:pPr>
              <w:spacing w:after="0"/>
              <w:rPr>
                <w:rFonts w:eastAsiaTheme="majorEastAsia" w:cstheme="majorBidi"/>
                <w:bCs/>
                <w:sz w:val="20"/>
              </w:rPr>
            </w:pPr>
            <w:r w:rsidRPr="006E42C4">
              <w:rPr>
                <w:rFonts w:eastAsiaTheme="majorEastAsia" w:cstheme="majorBidi"/>
                <w:bCs/>
                <w:sz w:val="20"/>
              </w:rPr>
              <w:t xml:space="preserve">Creator: </w:t>
            </w:r>
            <w:r w:rsidR="00B31112">
              <w:rPr>
                <w:rFonts w:eastAsiaTheme="majorEastAsia" w:cstheme="majorBidi"/>
                <w:bCs/>
                <w:sz w:val="20"/>
              </w:rPr>
              <w:t>Adam Rorris</w:t>
            </w:r>
          </w:p>
        </w:tc>
      </w:tr>
      <w:tr w:rsidR="00045CAA" w:rsidRPr="006E42C4" w:rsidTr="00F66549">
        <w:trPr>
          <w:jc w:val="center"/>
        </w:trPr>
        <w:tc>
          <w:tcPr>
            <w:tcW w:w="1534" w:type="dxa"/>
            <w:vAlign w:val="center"/>
          </w:tcPr>
          <w:p w:rsidR="00045CAA" w:rsidRPr="006E42C4" w:rsidRDefault="00B31112" w:rsidP="0032365A">
            <w:pPr>
              <w:spacing w:after="0"/>
              <w:jc w:val="center"/>
              <w:rPr>
                <w:rFonts w:eastAsiaTheme="majorEastAsia" w:cstheme="majorBidi"/>
                <w:bCs/>
                <w:sz w:val="20"/>
              </w:rPr>
            </w:pPr>
            <w:r>
              <w:rPr>
                <w:rFonts w:eastAsiaTheme="majorEastAsia" w:cstheme="majorBidi"/>
                <w:bCs/>
                <w:sz w:val="20"/>
              </w:rPr>
              <w:t>1.1</w:t>
            </w:r>
          </w:p>
        </w:tc>
        <w:tc>
          <w:tcPr>
            <w:tcW w:w="4624" w:type="dxa"/>
            <w:vAlign w:val="center"/>
          </w:tcPr>
          <w:p w:rsidR="00045CAA" w:rsidRPr="006E42C4" w:rsidRDefault="00B31112" w:rsidP="0032365A">
            <w:pPr>
              <w:spacing w:after="0"/>
              <w:rPr>
                <w:rFonts w:eastAsiaTheme="majorEastAsia" w:cstheme="majorBidi"/>
                <w:bCs/>
                <w:sz w:val="20"/>
              </w:rPr>
            </w:pPr>
            <w:r>
              <w:rPr>
                <w:rFonts w:eastAsiaTheme="majorEastAsia" w:cstheme="majorBidi"/>
                <w:bCs/>
                <w:sz w:val="20"/>
              </w:rPr>
              <w:t>Draft Report (</w:t>
            </w:r>
            <w:r w:rsidR="00A477E2">
              <w:rPr>
                <w:rFonts w:eastAsiaTheme="majorEastAsia" w:cstheme="majorBidi"/>
                <w:bCs/>
                <w:sz w:val="20"/>
              </w:rPr>
              <w:t>0</w:t>
            </w:r>
            <w:r w:rsidR="000B523C">
              <w:rPr>
                <w:rFonts w:eastAsiaTheme="majorEastAsia" w:cstheme="majorBidi"/>
                <w:bCs/>
                <w:sz w:val="20"/>
              </w:rPr>
              <w:t>9</w:t>
            </w:r>
            <w:r>
              <w:rPr>
                <w:rFonts w:eastAsiaTheme="majorEastAsia" w:cstheme="majorBidi"/>
                <w:bCs/>
                <w:sz w:val="20"/>
              </w:rPr>
              <w:t xml:space="preserve"> February 2014)</w:t>
            </w:r>
          </w:p>
        </w:tc>
        <w:tc>
          <w:tcPr>
            <w:tcW w:w="3087" w:type="dxa"/>
            <w:vAlign w:val="center"/>
          </w:tcPr>
          <w:p w:rsidR="00045CAA" w:rsidRPr="006E42C4" w:rsidRDefault="00B31112" w:rsidP="0032365A">
            <w:pPr>
              <w:spacing w:after="0"/>
              <w:rPr>
                <w:rFonts w:eastAsiaTheme="majorEastAsia" w:cstheme="majorBidi"/>
                <w:bCs/>
                <w:sz w:val="20"/>
              </w:rPr>
            </w:pPr>
            <w:r>
              <w:rPr>
                <w:rFonts w:eastAsiaTheme="majorEastAsia" w:cstheme="majorBidi"/>
                <w:bCs/>
                <w:sz w:val="20"/>
              </w:rPr>
              <w:t>Modifier: Adam Rorris</w:t>
            </w:r>
          </w:p>
        </w:tc>
      </w:tr>
      <w:tr w:rsidR="00F66549" w:rsidRPr="006E42C4" w:rsidTr="00F66549">
        <w:tblPrEx>
          <w:jc w:val="left"/>
          <w:tblCellMar>
            <w:top w:w="0" w:type="dxa"/>
            <w:bottom w:w="0" w:type="dxa"/>
          </w:tblCellMar>
        </w:tblPrEx>
        <w:tc>
          <w:tcPr>
            <w:tcW w:w="1534" w:type="dxa"/>
          </w:tcPr>
          <w:p w:rsidR="00F66549" w:rsidRPr="006E42C4" w:rsidRDefault="00F66549" w:rsidP="00F66549">
            <w:pPr>
              <w:spacing w:after="0"/>
              <w:jc w:val="center"/>
              <w:rPr>
                <w:rFonts w:eastAsiaTheme="majorEastAsia" w:cstheme="majorBidi"/>
                <w:bCs/>
                <w:sz w:val="20"/>
              </w:rPr>
            </w:pPr>
            <w:bookmarkStart w:id="9" w:name="_Toc372401474"/>
            <w:r>
              <w:rPr>
                <w:rFonts w:eastAsiaTheme="majorEastAsia" w:cstheme="majorBidi"/>
                <w:bCs/>
                <w:sz w:val="20"/>
              </w:rPr>
              <w:t>1.2</w:t>
            </w:r>
          </w:p>
        </w:tc>
        <w:tc>
          <w:tcPr>
            <w:tcW w:w="4624" w:type="dxa"/>
          </w:tcPr>
          <w:p w:rsidR="00F66549" w:rsidRPr="006E42C4" w:rsidRDefault="00F66549" w:rsidP="00F66549">
            <w:pPr>
              <w:spacing w:after="0"/>
              <w:rPr>
                <w:rFonts w:eastAsiaTheme="majorEastAsia" w:cstheme="majorBidi"/>
                <w:bCs/>
                <w:sz w:val="20"/>
              </w:rPr>
            </w:pPr>
            <w:r>
              <w:rPr>
                <w:rFonts w:eastAsiaTheme="majorEastAsia" w:cstheme="majorBidi"/>
                <w:bCs/>
                <w:sz w:val="20"/>
              </w:rPr>
              <w:t>FInal Report (04 April 2014)</w:t>
            </w:r>
          </w:p>
        </w:tc>
        <w:tc>
          <w:tcPr>
            <w:tcW w:w="3087" w:type="dxa"/>
          </w:tcPr>
          <w:p w:rsidR="00F66549" w:rsidRPr="006E42C4" w:rsidRDefault="00F66549" w:rsidP="00F66549">
            <w:pPr>
              <w:spacing w:after="0"/>
              <w:rPr>
                <w:rFonts w:eastAsiaTheme="majorEastAsia" w:cstheme="majorBidi"/>
                <w:bCs/>
                <w:sz w:val="20"/>
              </w:rPr>
            </w:pPr>
            <w:r>
              <w:rPr>
                <w:rFonts w:eastAsiaTheme="majorEastAsia" w:cstheme="majorBidi"/>
                <w:bCs/>
                <w:sz w:val="20"/>
              </w:rPr>
              <w:t>Modifier: Adam Rorris</w:t>
            </w:r>
          </w:p>
        </w:tc>
      </w:tr>
    </w:tbl>
    <w:p w:rsidR="0032365A" w:rsidRDefault="0032365A" w:rsidP="00E04FCE">
      <w:pPr>
        <w:pStyle w:val="Heading1"/>
        <w:numPr>
          <w:ilvl w:val="0"/>
          <w:numId w:val="0"/>
        </w:numPr>
        <w:ind w:left="720" w:hanging="720"/>
        <w:sectPr w:rsidR="0032365A" w:rsidSect="0038463D">
          <w:footnotePr>
            <w:numRestart w:val="eachSect"/>
          </w:footnotePr>
          <w:endnotePr>
            <w:numRestart w:val="eachSect"/>
          </w:endnotePr>
          <w:pgSz w:w="11909" w:h="16834" w:code="9"/>
          <w:pgMar w:top="357" w:right="1440" w:bottom="1304" w:left="1440" w:header="431" w:footer="425" w:gutter="0"/>
          <w:pgNumType w:fmt="lowerRoman"/>
          <w:cols w:space="720"/>
          <w:titlePg/>
          <w:docGrid w:linePitch="360"/>
        </w:sectPr>
      </w:pPr>
    </w:p>
    <w:p w:rsidR="00045CAA" w:rsidRPr="0032365A" w:rsidRDefault="0032365A" w:rsidP="0032365A">
      <w:pPr>
        <w:pStyle w:val="Heading1"/>
        <w:numPr>
          <w:ilvl w:val="0"/>
          <w:numId w:val="0"/>
        </w:numPr>
        <w:spacing w:after="1320"/>
        <w:ind w:left="720" w:hanging="720"/>
        <w:rPr>
          <w:color w:val="68BAD6"/>
        </w:rPr>
      </w:pPr>
      <w:bookmarkStart w:id="10" w:name="_Toc385504513"/>
      <w:r w:rsidRPr="0032365A">
        <w:rPr>
          <w:color w:val="68BAD6"/>
        </w:rPr>
        <w:lastRenderedPageBreak/>
        <w:t>EXECUTIVE SUMMARY</w:t>
      </w:r>
      <w:bookmarkEnd w:id="9"/>
      <w:bookmarkEnd w:id="10"/>
    </w:p>
    <w:p w:rsidR="00045CAA" w:rsidRPr="005A1995" w:rsidRDefault="00045CAA" w:rsidP="00D73DAA">
      <w:pPr>
        <w:spacing w:before="360" w:after="240"/>
        <w:rPr>
          <w:rStyle w:val="IntenseEmphasis"/>
          <w:rFonts w:asciiTheme="minorHAnsi" w:hAnsiTheme="minorHAnsi"/>
          <w:i w:val="0"/>
          <w:color w:val="003880"/>
          <w:sz w:val="32"/>
          <w:szCs w:val="32"/>
        </w:rPr>
      </w:pPr>
      <w:r w:rsidRPr="005A1995">
        <w:rPr>
          <w:rStyle w:val="IntenseEmphasis"/>
          <w:rFonts w:asciiTheme="minorHAnsi" w:hAnsiTheme="minorHAnsi"/>
          <w:i w:val="0"/>
          <w:color w:val="003880"/>
          <w:sz w:val="32"/>
          <w:szCs w:val="32"/>
        </w:rPr>
        <w:t xml:space="preserve">Background </w:t>
      </w:r>
    </w:p>
    <w:p w:rsidR="00E04FCE" w:rsidRPr="00836CB6" w:rsidRDefault="00E04FCE" w:rsidP="00836CB6">
      <w:pPr>
        <w:spacing w:line="276" w:lineRule="auto"/>
        <w:jc w:val="both"/>
        <w:rPr>
          <w:rFonts w:asciiTheme="minorHAnsi" w:hAnsiTheme="minorHAnsi"/>
        </w:rPr>
      </w:pPr>
      <w:r w:rsidRPr="00836CB6">
        <w:rPr>
          <w:rFonts w:asciiTheme="minorHAnsi" w:hAnsiTheme="minorHAnsi"/>
        </w:rPr>
        <w:t xml:space="preserve">The </w:t>
      </w:r>
      <w:r w:rsidR="001A0D64" w:rsidRPr="00836CB6">
        <w:rPr>
          <w:rFonts w:asciiTheme="minorHAnsi" w:hAnsiTheme="minorHAnsi"/>
        </w:rPr>
        <w:t>Annual Sector Financial</w:t>
      </w:r>
      <w:r w:rsidRPr="00836CB6">
        <w:rPr>
          <w:rFonts w:asciiTheme="minorHAnsi" w:hAnsiTheme="minorHAnsi"/>
        </w:rPr>
        <w:t xml:space="preserve"> Report </w:t>
      </w:r>
      <w:r w:rsidR="001A0D64" w:rsidRPr="00836CB6">
        <w:rPr>
          <w:rFonts w:asciiTheme="minorHAnsi" w:hAnsiTheme="minorHAnsi"/>
        </w:rPr>
        <w:t xml:space="preserve">(ASFR) </w:t>
      </w:r>
      <w:r w:rsidRPr="00836CB6">
        <w:rPr>
          <w:rFonts w:asciiTheme="minorHAnsi" w:hAnsiTheme="minorHAnsi"/>
        </w:rPr>
        <w:t xml:space="preserve">2012 monitors and reports on trends in education financing in Indonesia. This is the sixth </w:t>
      </w:r>
      <w:r w:rsidR="001A0D64" w:rsidRPr="00836CB6">
        <w:rPr>
          <w:rFonts w:asciiTheme="minorHAnsi" w:hAnsiTheme="minorHAnsi"/>
        </w:rPr>
        <w:t>Annual Sector Financi</w:t>
      </w:r>
      <w:r w:rsidR="00827B97" w:rsidRPr="00836CB6">
        <w:rPr>
          <w:rFonts w:asciiTheme="minorHAnsi" w:hAnsiTheme="minorHAnsi"/>
        </w:rPr>
        <w:t>al</w:t>
      </w:r>
      <w:r w:rsidR="001A0D64" w:rsidRPr="00836CB6">
        <w:rPr>
          <w:rFonts w:asciiTheme="minorHAnsi" w:hAnsiTheme="minorHAnsi"/>
        </w:rPr>
        <w:t xml:space="preserve"> Report (previously known as the Annual Financial Performance Report</w:t>
      </w:r>
      <w:r w:rsidR="00836CB6" w:rsidRPr="00836CB6">
        <w:rPr>
          <w:rFonts w:asciiTheme="minorHAnsi" w:hAnsiTheme="minorHAnsi"/>
        </w:rPr>
        <w:t>) and</w:t>
      </w:r>
      <w:r w:rsidRPr="00836CB6">
        <w:rPr>
          <w:rFonts w:asciiTheme="minorHAnsi" w:hAnsiTheme="minorHAnsi"/>
        </w:rPr>
        <w:t xml:space="preserve"> follows a series of reports produced by the same author for the AusAID supported Contractor Strategic Advisory Services (CSAS) team. The report is intended for the use of high level government officials and education sector experts in the Governments of Indonesia and Australia. It provides succinct analysis and is intended to be an accessible tool for operational planning. The objectives of this report are:</w:t>
      </w:r>
    </w:p>
    <w:p w:rsidR="00E04FCE" w:rsidRPr="00836CB6" w:rsidRDefault="00E04FCE" w:rsidP="00836CB6">
      <w:pPr>
        <w:pStyle w:val="ListNumber"/>
        <w:numPr>
          <w:ilvl w:val="0"/>
          <w:numId w:val="11"/>
        </w:numPr>
        <w:tabs>
          <w:tab w:val="clear" w:pos="360"/>
          <w:tab w:val="num" w:pos="717"/>
        </w:tabs>
        <w:spacing w:after="0" w:line="276" w:lineRule="auto"/>
        <w:ind w:left="714" w:hanging="357"/>
        <w:jc w:val="both"/>
        <w:rPr>
          <w:rFonts w:asciiTheme="minorHAnsi" w:hAnsiTheme="minorHAnsi"/>
        </w:rPr>
      </w:pPr>
      <w:r w:rsidRPr="00836CB6">
        <w:rPr>
          <w:rFonts w:asciiTheme="minorHAnsi" w:hAnsiTheme="minorHAnsi"/>
        </w:rPr>
        <w:t>To identify trends in the quantum and distribution of education funding in relation to national policy and school needs.</w:t>
      </w:r>
    </w:p>
    <w:p w:rsidR="00E04FCE" w:rsidRPr="00836CB6" w:rsidRDefault="00E04FCE" w:rsidP="00836CB6">
      <w:pPr>
        <w:pStyle w:val="ListNumber"/>
        <w:numPr>
          <w:ilvl w:val="0"/>
          <w:numId w:val="11"/>
        </w:numPr>
        <w:tabs>
          <w:tab w:val="clear" w:pos="360"/>
          <w:tab w:val="num" w:pos="717"/>
        </w:tabs>
        <w:spacing w:after="0" w:line="276" w:lineRule="auto"/>
        <w:ind w:left="714" w:hanging="357"/>
        <w:jc w:val="both"/>
        <w:rPr>
          <w:rFonts w:asciiTheme="minorHAnsi" w:hAnsiTheme="minorHAnsi"/>
        </w:rPr>
      </w:pPr>
      <w:r w:rsidRPr="00836CB6">
        <w:rPr>
          <w:rFonts w:asciiTheme="minorHAnsi" w:hAnsiTheme="minorHAnsi"/>
        </w:rPr>
        <w:t>To monitor education sector and school resourcing from the standpoint of the key RENSTRA themes of access, quality improvement and improved accountability.</w:t>
      </w:r>
    </w:p>
    <w:p w:rsidR="00FD24E3" w:rsidRPr="00836CB6" w:rsidRDefault="00FD24E3" w:rsidP="00836CB6">
      <w:pPr>
        <w:pStyle w:val="ListNumber"/>
        <w:numPr>
          <w:ilvl w:val="0"/>
          <w:numId w:val="11"/>
        </w:numPr>
        <w:tabs>
          <w:tab w:val="clear" w:pos="360"/>
          <w:tab w:val="num" w:pos="717"/>
        </w:tabs>
        <w:spacing w:after="0" w:line="276" w:lineRule="auto"/>
        <w:ind w:left="714" w:hanging="357"/>
        <w:jc w:val="both"/>
        <w:rPr>
          <w:rFonts w:asciiTheme="minorHAnsi" w:hAnsiTheme="minorHAnsi"/>
        </w:rPr>
      </w:pPr>
      <w:r w:rsidRPr="00836CB6">
        <w:rPr>
          <w:rFonts w:asciiTheme="minorHAnsi" w:hAnsiTheme="minorHAnsi"/>
        </w:rPr>
        <w:t xml:space="preserve">To provide a record of education financing in those districts directly benefiting from Components 1 and 2 of the </w:t>
      </w:r>
      <w:r w:rsidR="001A0D64" w:rsidRPr="00836CB6">
        <w:rPr>
          <w:rFonts w:asciiTheme="minorHAnsi" w:hAnsiTheme="minorHAnsi"/>
        </w:rPr>
        <w:t xml:space="preserve">Australian-Indonesia </w:t>
      </w:r>
      <w:r w:rsidRPr="00836CB6">
        <w:rPr>
          <w:rFonts w:asciiTheme="minorHAnsi" w:hAnsiTheme="minorHAnsi"/>
        </w:rPr>
        <w:t>Education Partnership</w:t>
      </w:r>
      <w:r w:rsidR="001A0D64" w:rsidRPr="00836CB6">
        <w:rPr>
          <w:rFonts w:asciiTheme="minorHAnsi" w:hAnsiTheme="minorHAnsi"/>
        </w:rPr>
        <w:t xml:space="preserve"> (EP).</w:t>
      </w:r>
      <w:r w:rsidRPr="00836CB6">
        <w:rPr>
          <w:rFonts w:asciiTheme="minorHAnsi" w:hAnsiTheme="minorHAnsi"/>
        </w:rPr>
        <w:t xml:space="preserve"> </w:t>
      </w:r>
    </w:p>
    <w:p w:rsidR="00E04FCE" w:rsidRPr="00836CB6" w:rsidRDefault="00E04FCE" w:rsidP="00836CB6">
      <w:pPr>
        <w:pStyle w:val="ListNumber"/>
        <w:numPr>
          <w:ilvl w:val="0"/>
          <w:numId w:val="11"/>
        </w:numPr>
        <w:tabs>
          <w:tab w:val="clear" w:pos="360"/>
          <w:tab w:val="num" w:pos="717"/>
        </w:tabs>
        <w:spacing w:after="0" w:line="276" w:lineRule="auto"/>
        <w:ind w:left="714" w:hanging="357"/>
        <w:jc w:val="both"/>
        <w:rPr>
          <w:rFonts w:asciiTheme="minorHAnsi" w:hAnsiTheme="minorHAnsi"/>
        </w:rPr>
      </w:pPr>
      <w:r w:rsidRPr="00836CB6">
        <w:rPr>
          <w:rFonts w:asciiTheme="minorHAnsi" w:hAnsiTheme="minorHAnsi"/>
        </w:rPr>
        <w:t xml:space="preserve">To inform </w:t>
      </w:r>
      <w:r w:rsidR="001A0D64" w:rsidRPr="00836CB6">
        <w:rPr>
          <w:rFonts w:asciiTheme="minorHAnsi" w:hAnsiTheme="minorHAnsi"/>
        </w:rPr>
        <w:t xml:space="preserve">the </w:t>
      </w:r>
      <w:r w:rsidRPr="00836CB6">
        <w:rPr>
          <w:rFonts w:asciiTheme="minorHAnsi" w:hAnsiTheme="minorHAnsi"/>
        </w:rPr>
        <w:t xml:space="preserve">Government of Australia (GoA), </w:t>
      </w:r>
      <w:r w:rsidR="001A0D64" w:rsidRPr="00836CB6">
        <w:rPr>
          <w:rFonts w:asciiTheme="minorHAnsi" w:hAnsiTheme="minorHAnsi"/>
        </w:rPr>
        <w:t xml:space="preserve">the </w:t>
      </w:r>
      <w:r w:rsidRPr="00836CB6">
        <w:rPr>
          <w:rFonts w:asciiTheme="minorHAnsi" w:hAnsiTheme="minorHAnsi"/>
        </w:rPr>
        <w:t xml:space="preserve">Government of Indonesia (GoI) and other donors of the effectiveness and efficiency of current school funding mechanisms. </w:t>
      </w:r>
    </w:p>
    <w:p w:rsidR="00E04FCE" w:rsidRPr="00836CB6" w:rsidRDefault="00E04FCE" w:rsidP="00836CB6">
      <w:pPr>
        <w:pStyle w:val="ListNumber"/>
        <w:numPr>
          <w:ilvl w:val="0"/>
          <w:numId w:val="11"/>
        </w:numPr>
        <w:tabs>
          <w:tab w:val="clear" w:pos="360"/>
          <w:tab w:val="num" w:pos="717"/>
        </w:tabs>
        <w:spacing w:after="240" w:line="276" w:lineRule="auto"/>
        <w:ind w:left="714" w:hanging="357"/>
        <w:jc w:val="both"/>
        <w:rPr>
          <w:rFonts w:asciiTheme="minorHAnsi" w:hAnsiTheme="minorHAnsi"/>
        </w:rPr>
      </w:pPr>
      <w:r w:rsidRPr="00836CB6">
        <w:rPr>
          <w:rFonts w:asciiTheme="minorHAnsi" w:hAnsiTheme="minorHAnsi"/>
        </w:rPr>
        <w:t xml:space="preserve">To support the capacity of GoI institutions to monitor and report on school financing. </w:t>
      </w:r>
    </w:p>
    <w:p w:rsidR="00E04FCE" w:rsidRPr="00836CB6" w:rsidRDefault="00E04FCE" w:rsidP="00836CB6">
      <w:pPr>
        <w:spacing w:line="276" w:lineRule="auto"/>
        <w:jc w:val="both"/>
        <w:rPr>
          <w:rFonts w:asciiTheme="minorHAnsi" w:hAnsiTheme="minorHAnsi"/>
        </w:rPr>
      </w:pPr>
      <w:r w:rsidRPr="00836CB6">
        <w:rPr>
          <w:rFonts w:asciiTheme="minorHAnsi" w:hAnsiTheme="minorHAnsi"/>
        </w:rPr>
        <w:t>The report has a particular focus on district level expenditures. Indonesian district level expenditure patterns are increasingly important as districts have increased responsibility for education management under the Indonesian government</w:t>
      </w:r>
      <w:r w:rsidR="001A0D64" w:rsidRPr="00836CB6">
        <w:rPr>
          <w:rFonts w:asciiTheme="minorHAnsi" w:hAnsiTheme="minorHAnsi"/>
        </w:rPr>
        <w:t>’s</w:t>
      </w:r>
      <w:r w:rsidRPr="00836CB6">
        <w:rPr>
          <w:rFonts w:asciiTheme="minorHAnsi" w:hAnsiTheme="minorHAnsi"/>
        </w:rPr>
        <w:t xml:space="preserve"> </w:t>
      </w:r>
      <w:r w:rsidR="00A477E2" w:rsidRPr="00836CB6">
        <w:rPr>
          <w:rFonts w:asciiTheme="minorHAnsi" w:hAnsiTheme="minorHAnsi"/>
        </w:rPr>
        <w:t>decentralization</w:t>
      </w:r>
      <w:r w:rsidRPr="00836CB6">
        <w:rPr>
          <w:rFonts w:asciiTheme="minorHAnsi" w:hAnsiTheme="minorHAnsi"/>
        </w:rPr>
        <w:t xml:space="preserve"> policy. Monitoring patterns of expenditure by districts will become an increasingly important role for the Ministry of Education and Culture (MoEC) and the Ministry of Religious Affairs (MoRA) to ensure that national funding norms and procedures are being implemented appropriately. Financial analysis of education allocations therefore needs to have a district level disaggregation to assess the variability in fiscal capacity and actual allocations for education resourcing. </w:t>
      </w:r>
    </w:p>
    <w:p w:rsidR="00E04FCE" w:rsidRPr="00836CB6" w:rsidRDefault="00E04FCE" w:rsidP="00836CB6">
      <w:pPr>
        <w:spacing w:line="276" w:lineRule="auto"/>
        <w:jc w:val="both"/>
        <w:rPr>
          <w:rFonts w:asciiTheme="minorHAnsi" w:hAnsiTheme="minorHAnsi"/>
        </w:rPr>
      </w:pPr>
      <w:r w:rsidRPr="00836CB6">
        <w:rPr>
          <w:rFonts w:asciiTheme="minorHAnsi" w:hAnsiTheme="minorHAnsi"/>
        </w:rPr>
        <w:t>A wide range in the poverty status of districts, and the importance of education in lifting district populations out of poverty, mean that vulnerable groups stand to benefit most from well-targeted education investment.</w:t>
      </w:r>
      <w:r w:rsidR="004971BD">
        <w:rPr>
          <w:rFonts w:asciiTheme="minorHAnsi" w:hAnsiTheme="minorHAnsi"/>
        </w:rPr>
        <w:t xml:space="preserve"> </w:t>
      </w:r>
      <w:r w:rsidRPr="00836CB6">
        <w:rPr>
          <w:rFonts w:asciiTheme="minorHAnsi" w:hAnsiTheme="minorHAnsi"/>
        </w:rPr>
        <w:t xml:space="preserve">Monitoring and evaluation of district level education financing provides the tools to do so. </w:t>
      </w:r>
    </w:p>
    <w:p w:rsidR="00E04FCE" w:rsidRPr="005A1995" w:rsidRDefault="00E04FCE" w:rsidP="00D73DAA">
      <w:pPr>
        <w:spacing w:before="360" w:after="240"/>
        <w:rPr>
          <w:rStyle w:val="IntenseEmphasis"/>
          <w:rFonts w:asciiTheme="minorHAnsi" w:hAnsiTheme="minorHAnsi"/>
          <w:i w:val="0"/>
          <w:color w:val="003880"/>
          <w:sz w:val="32"/>
        </w:rPr>
      </w:pPr>
      <w:r w:rsidRPr="005A1995">
        <w:rPr>
          <w:rStyle w:val="IntenseEmphasis"/>
          <w:rFonts w:asciiTheme="minorHAnsi" w:hAnsiTheme="minorHAnsi"/>
          <w:i w:val="0"/>
          <w:color w:val="003880"/>
          <w:sz w:val="32"/>
        </w:rPr>
        <w:t xml:space="preserve">Key </w:t>
      </w:r>
      <w:r w:rsidR="00836CB6" w:rsidRPr="005A1995">
        <w:rPr>
          <w:rStyle w:val="IntenseEmphasis"/>
          <w:rFonts w:asciiTheme="minorHAnsi" w:hAnsiTheme="minorHAnsi"/>
          <w:i w:val="0"/>
          <w:color w:val="003880"/>
          <w:sz w:val="32"/>
        </w:rPr>
        <w:t xml:space="preserve">Performance Indicators </w:t>
      </w:r>
      <w:r w:rsidRPr="005A1995">
        <w:rPr>
          <w:rStyle w:val="IntenseEmphasis"/>
          <w:rFonts w:asciiTheme="minorHAnsi" w:hAnsiTheme="minorHAnsi"/>
          <w:i w:val="0"/>
          <w:color w:val="003880"/>
          <w:sz w:val="32"/>
        </w:rPr>
        <w:t xml:space="preserve">and </w:t>
      </w:r>
      <w:r w:rsidR="00836CB6" w:rsidRPr="005A1995">
        <w:rPr>
          <w:rStyle w:val="IntenseEmphasis"/>
          <w:rFonts w:asciiTheme="minorHAnsi" w:hAnsiTheme="minorHAnsi"/>
          <w:i w:val="0"/>
          <w:color w:val="003880"/>
          <w:sz w:val="32"/>
        </w:rPr>
        <w:t>Analysis</w:t>
      </w:r>
    </w:p>
    <w:p w:rsidR="00E04FCE" w:rsidRPr="00836CB6" w:rsidRDefault="00E04FCE" w:rsidP="00836CB6">
      <w:pPr>
        <w:spacing w:line="276" w:lineRule="auto"/>
        <w:jc w:val="both"/>
        <w:rPr>
          <w:rFonts w:asciiTheme="minorHAnsi" w:hAnsiTheme="minorHAnsi"/>
        </w:rPr>
      </w:pPr>
      <w:r w:rsidRPr="00836CB6">
        <w:rPr>
          <w:rFonts w:asciiTheme="minorHAnsi" w:hAnsiTheme="minorHAnsi"/>
        </w:rPr>
        <w:t>The report analysis is framed by a set of Key Per</w:t>
      </w:r>
      <w:r w:rsidR="00A477E2">
        <w:rPr>
          <w:rFonts w:asciiTheme="minorHAnsi" w:hAnsiTheme="minorHAnsi"/>
        </w:rPr>
        <w:t>formance Indicators (KPI). The</w:t>
      </w:r>
      <w:r w:rsidRPr="00836CB6">
        <w:rPr>
          <w:rFonts w:asciiTheme="minorHAnsi" w:hAnsiTheme="minorHAnsi"/>
        </w:rPr>
        <w:t xml:space="preserve"> KPI focus attention on the main RENSTRA themes and </w:t>
      </w:r>
      <w:r w:rsidR="001A0D64" w:rsidRPr="00836CB6">
        <w:rPr>
          <w:rFonts w:asciiTheme="minorHAnsi" w:hAnsiTheme="minorHAnsi"/>
        </w:rPr>
        <w:t xml:space="preserve">the </w:t>
      </w:r>
      <w:r w:rsidRPr="00836CB6">
        <w:rPr>
          <w:rFonts w:asciiTheme="minorHAnsi" w:hAnsiTheme="minorHAnsi"/>
        </w:rPr>
        <w:t>government</w:t>
      </w:r>
      <w:r w:rsidR="001A0D64" w:rsidRPr="00836CB6">
        <w:rPr>
          <w:rFonts w:asciiTheme="minorHAnsi" w:hAnsiTheme="minorHAnsi"/>
        </w:rPr>
        <w:t>’s</w:t>
      </w:r>
      <w:r w:rsidRPr="00836CB6">
        <w:rPr>
          <w:rFonts w:asciiTheme="minorHAnsi" w:hAnsiTheme="minorHAnsi"/>
        </w:rPr>
        <w:t xml:space="preserve"> financial commitment to education. Most of these KPI are reported on at a national level by the GoI as part of its international Education for All (EFA) reporting obligations. </w:t>
      </w:r>
    </w:p>
    <w:p w:rsidR="00E04FCE" w:rsidRPr="00836CB6" w:rsidRDefault="00E04FCE" w:rsidP="00836CB6">
      <w:pPr>
        <w:spacing w:line="276" w:lineRule="auto"/>
        <w:jc w:val="both"/>
        <w:rPr>
          <w:rFonts w:asciiTheme="minorHAnsi" w:hAnsiTheme="minorHAnsi"/>
        </w:rPr>
      </w:pPr>
      <w:r w:rsidRPr="00836CB6">
        <w:rPr>
          <w:rFonts w:asciiTheme="minorHAnsi" w:hAnsiTheme="minorHAnsi"/>
        </w:rPr>
        <w:t xml:space="preserve">Each of the indicators is described as being either a lead or lag indicator. Lag indicators are summative in nature. They describe the current state of progress toward an expected outcome. Lead </w:t>
      </w:r>
      <w:r w:rsidRPr="00836CB6">
        <w:rPr>
          <w:rFonts w:asciiTheme="minorHAnsi" w:hAnsiTheme="minorHAnsi"/>
        </w:rPr>
        <w:lastRenderedPageBreak/>
        <w:t xml:space="preserve">indicators are those which capture the rate of movement towards an outcome or have a clear causal relationship to a desired outcome. </w:t>
      </w:r>
    </w:p>
    <w:p w:rsidR="00E04FCE" w:rsidRPr="00836CB6" w:rsidRDefault="00E04FCE" w:rsidP="00836CB6">
      <w:pPr>
        <w:spacing w:line="276" w:lineRule="auto"/>
        <w:jc w:val="both"/>
        <w:rPr>
          <w:rFonts w:asciiTheme="minorHAnsi" w:hAnsiTheme="minorHAnsi"/>
        </w:rPr>
      </w:pPr>
      <w:r w:rsidRPr="00836CB6">
        <w:rPr>
          <w:rFonts w:asciiTheme="minorHAnsi" w:hAnsiTheme="minorHAnsi"/>
        </w:rPr>
        <w:t>A summary of the results and findings for each of the indicators is presented in table format as part of this Executive Summary. This includes a summary assessment of the indicator result being positive, negative or uneven. A `Positive’ result indicates it is supportive of RENSTRA objectives; a ‘Negative’ result suggests it is contradictory to RENSTRA objectives; and an ‘Uneven’ result indicates large variation between districts.</w:t>
      </w:r>
    </w:p>
    <w:p w:rsidR="00E04FCE" w:rsidRPr="00836CB6" w:rsidRDefault="00E04FCE" w:rsidP="00836CB6">
      <w:pPr>
        <w:spacing w:line="276" w:lineRule="auto"/>
        <w:jc w:val="both"/>
        <w:rPr>
          <w:rFonts w:asciiTheme="minorHAnsi" w:hAnsiTheme="minorHAnsi"/>
        </w:rPr>
      </w:pPr>
      <w:r w:rsidRPr="00836CB6">
        <w:rPr>
          <w:rFonts w:asciiTheme="minorHAnsi" w:hAnsiTheme="minorHAnsi"/>
        </w:rPr>
        <w:t xml:space="preserve">This report has utilized the Enhanced Analytical Facility (EAF) as a database and warehousing tool. The EAF has brought together education, finance and socio-economic data sets from a very wide range of sources. Greater inter-relational analysis of these data sets and enhanced </w:t>
      </w:r>
      <w:r w:rsidR="00A477E2" w:rsidRPr="00836CB6">
        <w:rPr>
          <w:rFonts w:asciiTheme="minorHAnsi" w:hAnsiTheme="minorHAnsi"/>
        </w:rPr>
        <w:t>visualization</w:t>
      </w:r>
      <w:r w:rsidRPr="00836CB6">
        <w:rPr>
          <w:rFonts w:asciiTheme="minorHAnsi" w:hAnsiTheme="minorHAnsi"/>
        </w:rPr>
        <w:t xml:space="preserve"> capacity from new software adds power and improves readability of the report. The EAF was again updated for this 2012 report, with updates to financial and enrolment data for 2011 and the addition of new data for 2012. </w:t>
      </w:r>
    </w:p>
    <w:p w:rsidR="001F6342" w:rsidRPr="00D73DAA" w:rsidRDefault="001F6342" w:rsidP="00D73DAA">
      <w:pPr>
        <w:spacing w:before="360" w:after="240"/>
        <w:rPr>
          <w:b/>
          <w:iCs/>
          <w:color w:val="003880"/>
          <w:sz w:val="32"/>
        </w:rPr>
      </w:pPr>
      <w:r w:rsidRPr="00D73DAA">
        <w:rPr>
          <w:b/>
          <w:iCs/>
          <w:color w:val="003880"/>
          <w:sz w:val="32"/>
        </w:rPr>
        <w:t xml:space="preserve">Key </w:t>
      </w:r>
      <w:r w:rsidR="00836CB6" w:rsidRPr="00D73DAA">
        <w:rPr>
          <w:b/>
          <w:color w:val="003880"/>
          <w:sz w:val="32"/>
        </w:rPr>
        <w:t>Findings</w:t>
      </w:r>
    </w:p>
    <w:p w:rsidR="007B732E" w:rsidRPr="00836CB6" w:rsidRDefault="001F6342" w:rsidP="00836CB6">
      <w:pPr>
        <w:pStyle w:val="ListParagraph"/>
        <w:numPr>
          <w:ilvl w:val="0"/>
          <w:numId w:val="40"/>
        </w:numPr>
        <w:spacing w:after="0"/>
        <w:ind w:left="360"/>
        <w:contextualSpacing w:val="0"/>
        <w:jc w:val="both"/>
        <w:rPr>
          <w:rFonts w:asciiTheme="minorHAnsi" w:hAnsiTheme="minorHAnsi"/>
        </w:rPr>
      </w:pPr>
      <w:r w:rsidRPr="00836CB6">
        <w:rPr>
          <w:rFonts w:asciiTheme="minorHAnsi" w:hAnsiTheme="minorHAnsi"/>
          <w:b/>
          <w:i/>
        </w:rPr>
        <w:t xml:space="preserve">Strong real growth in national public expenditure for education in 2012. </w:t>
      </w:r>
    </w:p>
    <w:p w:rsidR="001F6342" w:rsidRPr="00836CB6" w:rsidRDefault="001F6342" w:rsidP="00836CB6">
      <w:pPr>
        <w:spacing w:line="276" w:lineRule="auto"/>
        <w:ind w:left="360"/>
        <w:jc w:val="both"/>
        <w:rPr>
          <w:rFonts w:asciiTheme="minorHAnsi" w:hAnsiTheme="minorHAnsi"/>
        </w:rPr>
      </w:pPr>
      <w:r w:rsidRPr="00836CB6">
        <w:rPr>
          <w:rFonts w:asciiTheme="minorHAnsi" w:hAnsiTheme="minorHAnsi"/>
        </w:rPr>
        <w:t>The GoI had particularly impressive growth in real and nominal terms in 2006 and 2009. Since 2009, growth in education expenditures had marginally outpaced inflation, but there was a plateau in the real increase of national funding for education. In 2012 we see the first significant increase in real terms for education funding.</w:t>
      </w:r>
    </w:p>
    <w:p w:rsidR="007B732E" w:rsidRPr="00836CB6" w:rsidRDefault="001F6342" w:rsidP="00836CB6">
      <w:pPr>
        <w:pStyle w:val="ListParagraph"/>
        <w:numPr>
          <w:ilvl w:val="0"/>
          <w:numId w:val="40"/>
        </w:numPr>
        <w:spacing w:after="0"/>
        <w:ind w:left="360"/>
        <w:contextualSpacing w:val="0"/>
        <w:jc w:val="both"/>
        <w:rPr>
          <w:rFonts w:asciiTheme="minorHAnsi" w:hAnsiTheme="minorHAnsi"/>
        </w:rPr>
      </w:pPr>
      <w:r w:rsidRPr="00836CB6">
        <w:rPr>
          <w:rFonts w:asciiTheme="minorHAnsi" w:hAnsiTheme="minorHAnsi"/>
          <w:b/>
          <w:i/>
        </w:rPr>
        <w:t xml:space="preserve">Government commitment to meet a 20% target for education expenditure share of national budget has been met for the fourth year in a row. </w:t>
      </w:r>
    </w:p>
    <w:p w:rsidR="001F6342" w:rsidRPr="00836CB6" w:rsidRDefault="001F6342" w:rsidP="00836CB6">
      <w:pPr>
        <w:spacing w:line="276" w:lineRule="auto"/>
        <w:ind w:left="360"/>
        <w:jc w:val="both"/>
        <w:rPr>
          <w:rFonts w:asciiTheme="minorHAnsi" w:hAnsiTheme="minorHAnsi"/>
        </w:rPr>
      </w:pPr>
      <w:r w:rsidRPr="00836CB6">
        <w:rPr>
          <w:rFonts w:asciiTheme="minorHAnsi" w:hAnsiTheme="minorHAnsi"/>
        </w:rPr>
        <w:t>The national expenditures for education in 2012 met the 20% target. Unlike the previous three budget years, this has generated a large year</w:t>
      </w:r>
      <w:r w:rsidR="00286966" w:rsidRPr="00836CB6">
        <w:rPr>
          <w:rFonts w:asciiTheme="minorHAnsi" w:hAnsiTheme="minorHAnsi"/>
        </w:rPr>
        <w:t>-</w:t>
      </w:r>
      <w:r w:rsidRPr="00836CB6">
        <w:rPr>
          <w:rFonts w:asciiTheme="minorHAnsi" w:hAnsiTheme="minorHAnsi"/>
        </w:rPr>
        <w:t>on</w:t>
      </w:r>
      <w:r w:rsidR="00286966" w:rsidRPr="00836CB6">
        <w:rPr>
          <w:rFonts w:asciiTheme="minorHAnsi" w:hAnsiTheme="minorHAnsi"/>
        </w:rPr>
        <w:t>-</w:t>
      </w:r>
      <w:r w:rsidRPr="00836CB6">
        <w:rPr>
          <w:rFonts w:asciiTheme="minorHAnsi" w:hAnsiTheme="minorHAnsi"/>
        </w:rPr>
        <w:t>year increase</w:t>
      </w:r>
      <w:r w:rsidR="00286966" w:rsidRPr="00836CB6">
        <w:rPr>
          <w:rFonts w:asciiTheme="minorHAnsi" w:hAnsiTheme="minorHAnsi"/>
        </w:rPr>
        <w:t xml:space="preserve"> in</w:t>
      </w:r>
      <w:r w:rsidRPr="00836CB6">
        <w:rPr>
          <w:rFonts w:asciiTheme="minorHAnsi" w:hAnsiTheme="minorHAnsi"/>
        </w:rPr>
        <w:t xml:space="preserve"> real funds available for education. Education has benefited from total national public revenues and expenditures which have grown at a significantly faster rate than inflation. </w:t>
      </w:r>
    </w:p>
    <w:p w:rsidR="001F6342" w:rsidRDefault="001F6342" w:rsidP="00836CB6">
      <w:pPr>
        <w:pStyle w:val="ListParagraph"/>
        <w:numPr>
          <w:ilvl w:val="0"/>
          <w:numId w:val="40"/>
        </w:numPr>
        <w:spacing w:after="0"/>
        <w:ind w:left="360"/>
        <w:contextualSpacing w:val="0"/>
        <w:jc w:val="both"/>
        <w:rPr>
          <w:rFonts w:asciiTheme="minorHAnsi" w:hAnsiTheme="minorHAnsi"/>
          <w:i/>
          <w:color w:val="000000"/>
        </w:rPr>
      </w:pPr>
      <w:r w:rsidRPr="00836CB6">
        <w:rPr>
          <w:rFonts w:asciiTheme="minorHAnsi" w:hAnsiTheme="minorHAnsi"/>
          <w:b/>
          <w:i/>
          <w:color w:val="000000"/>
        </w:rPr>
        <w:t>Average district level education expenditures across Indonesia have increased from 27% of the total district budget (APBD) in 2006 to nearly 35% share in 2012</w:t>
      </w:r>
      <w:r w:rsidRPr="00836CB6">
        <w:rPr>
          <w:rFonts w:asciiTheme="minorHAnsi" w:hAnsiTheme="minorHAnsi"/>
          <w:i/>
          <w:color w:val="000000"/>
        </w:rPr>
        <w:t xml:space="preserve">. </w:t>
      </w:r>
    </w:p>
    <w:p w:rsidR="00836CB6" w:rsidRPr="00836CB6" w:rsidRDefault="00836CB6" w:rsidP="00836CB6">
      <w:pPr>
        <w:pStyle w:val="ListParagraph"/>
        <w:spacing w:after="120"/>
        <w:ind w:left="360"/>
        <w:contextualSpacing w:val="0"/>
        <w:jc w:val="both"/>
        <w:rPr>
          <w:rFonts w:asciiTheme="minorHAnsi" w:hAnsiTheme="minorHAnsi"/>
          <w:i/>
          <w:color w:val="000000"/>
        </w:rPr>
      </w:pPr>
    </w:p>
    <w:p w:rsidR="007B732E" w:rsidRPr="00836CB6" w:rsidRDefault="001F6342" w:rsidP="00836CB6">
      <w:pPr>
        <w:pStyle w:val="ListParagraph"/>
        <w:numPr>
          <w:ilvl w:val="0"/>
          <w:numId w:val="40"/>
        </w:numPr>
        <w:spacing w:after="0"/>
        <w:ind w:left="360"/>
        <w:contextualSpacing w:val="0"/>
        <w:jc w:val="both"/>
        <w:rPr>
          <w:rFonts w:asciiTheme="minorHAnsi" w:hAnsiTheme="minorHAnsi"/>
          <w:color w:val="000000"/>
        </w:rPr>
      </w:pPr>
      <w:r w:rsidRPr="00836CB6">
        <w:rPr>
          <w:rFonts w:asciiTheme="minorHAnsi" w:hAnsiTheme="minorHAnsi"/>
          <w:b/>
          <w:i/>
          <w:color w:val="000000"/>
        </w:rPr>
        <w:t>Education expenditures at the district level rose from 31% in 2009 to 35% in 2012</w:t>
      </w:r>
      <w:r w:rsidRPr="00836CB6">
        <w:rPr>
          <w:rFonts w:asciiTheme="minorHAnsi" w:hAnsiTheme="minorHAnsi"/>
          <w:color w:val="000000"/>
        </w:rPr>
        <w:t xml:space="preserve"> </w:t>
      </w:r>
    </w:p>
    <w:p w:rsidR="001F6342" w:rsidRPr="00836CB6" w:rsidRDefault="007B732E" w:rsidP="00836CB6">
      <w:pPr>
        <w:pStyle w:val="ListParagraph"/>
        <w:spacing w:after="120"/>
        <w:ind w:left="360"/>
        <w:contextualSpacing w:val="0"/>
        <w:jc w:val="both"/>
        <w:rPr>
          <w:rFonts w:asciiTheme="minorHAnsi" w:hAnsiTheme="minorHAnsi"/>
          <w:color w:val="000000"/>
        </w:rPr>
      </w:pPr>
      <w:r w:rsidRPr="00836CB6">
        <w:rPr>
          <w:rFonts w:asciiTheme="minorHAnsi" w:hAnsiTheme="minorHAnsi"/>
          <w:color w:val="000000"/>
        </w:rPr>
        <w:t>T</w:t>
      </w:r>
      <w:r w:rsidR="001F6342" w:rsidRPr="00836CB6">
        <w:rPr>
          <w:rFonts w:asciiTheme="minorHAnsi" w:hAnsiTheme="minorHAnsi"/>
          <w:color w:val="000000"/>
        </w:rPr>
        <w:t xml:space="preserve">his demonstrates that districts </w:t>
      </w:r>
      <w:r w:rsidR="00286966" w:rsidRPr="00836CB6">
        <w:rPr>
          <w:rFonts w:asciiTheme="minorHAnsi" w:hAnsiTheme="minorHAnsi"/>
          <w:color w:val="000000"/>
        </w:rPr>
        <w:t xml:space="preserve">have, </w:t>
      </w:r>
      <w:r w:rsidR="001F6342" w:rsidRPr="00836CB6">
        <w:rPr>
          <w:rFonts w:asciiTheme="minorHAnsi" w:hAnsiTheme="minorHAnsi"/>
          <w:color w:val="000000"/>
        </w:rPr>
        <w:t>on average</w:t>
      </w:r>
      <w:r w:rsidR="00286966" w:rsidRPr="00836CB6">
        <w:rPr>
          <w:rFonts w:asciiTheme="minorHAnsi" w:hAnsiTheme="minorHAnsi"/>
          <w:color w:val="000000"/>
        </w:rPr>
        <w:t>,</w:t>
      </w:r>
      <w:r w:rsidR="001F6342" w:rsidRPr="00836CB6">
        <w:rPr>
          <w:rFonts w:asciiTheme="minorHAnsi" w:hAnsiTheme="minorHAnsi"/>
          <w:color w:val="000000"/>
        </w:rPr>
        <w:t xml:space="preserve"> strengthened their commitment toward education spending during the period 2009-2012. </w:t>
      </w:r>
    </w:p>
    <w:p w:rsidR="007B732E" w:rsidRPr="00836CB6" w:rsidRDefault="001F6342" w:rsidP="00836CB6">
      <w:pPr>
        <w:pStyle w:val="ListParagraph"/>
        <w:numPr>
          <w:ilvl w:val="0"/>
          <w:numId w:val="40"/>
        </w:numPr>
        <w:spacing w:after="0"/>
        <w:ind w:left="360"/>
        <w:contextualSpacing w:val="0"/>
        <w:jc w:val="both"/>
        <w:rPr>
          <w:rFonts w:asciiTheme="minorHAnsi" w:hAnsiTheme="minorHAnsi"/>
        </w:rPr>
      </w:pPr>
      <w:r w:rsidRPr="00836CB6">
        <w:rPr>
          <w:rFonts w:asciiTheme="minorHAnsi" w:hAnsiTheme="minorHAnsi"/>
          <w:b/>
          <w:i/>
        </w:rPr>
        <w:t xml:space="preserve">The lowest average share of budget allocation for education </w:t>
      </w:r>
      <w:r w:rsidR="005E1F3C">
        <w:rPr>
          <w:rFonts w:asciiTheme="minorHAnsi" w:hAnsiTheme="minorHAnsi"/>
          <w:b/>
          <w:i/>
        </w:rPr>
        <w:t xml:space="preserve">(at the district level) </w:t>
      </w:r>
      <w:r w:rsidRPr="00836CB6">
        <w:rPr>
          <w:rFonts w:asciiTheme="minorHAnsi" w:hAnsiTheme="minorHAnsi"/>
          <w:b/>
          <w:i/>
        </w:rPr>
        <w:t>was found in Papua (16%) and Maluku island group (25%)</w:t>
      </w:r>
      <w:r w:rsidRPr="00836CB6">
        <w:rPr>
          <w:rFonts w:asciiTheme="minorHAnsi" w:hAnsiTheme="minorHAnsi"/>
          <w:i/>
        </w:rPr>
        <w:t>.</w:t>
      </w:r>
      <w:r w:rsidRPr="00836CB6">
        <w:rPr>
          <w:rFonts w:asciiTheme="minorHAnsi" w:hAnsiTheme="minorHAnsi"/>
        </w:rPr>
        <w:t xml:space="preserve"> </w:t>
      </w:r>
    </w:p>
    <w:p w:rsidR="001F6342" w:rsidRPr="00836CB6" w:rsidRDefault="001F6342" w:rsidP="00836CB6">
      <w:pPr>
        <w:spacing w:line="276" w:lineRule="auto"/>
        <w:ind w:left="360"/>
        <w:jc w:val="both"/>
        <w:rPr>
          <w:rFonts w:asciiTheme="minorHAnsi" w:hAnsiTheme="minorHAnsi"/>
        </w:rPr>
      </w:pPr>
      <w:r w:rsidRPr="00836CB6">
        <w:rPr>
          <w:rFonts w:asciiTheme="minorHAnsi" w:hAnsiTheme="minorHAnsi"/>
        </w:rPr>
        <w:t>While Maluku has shown growth since 2010, Papua has dropped again from an 18% education share of district budgets in 2010 to 16% in 2012. The island groups of Sulawesi, Kalimantan and Maluku went in the opposite direction and posted annual increases in the education share of district expenditures in 2012.</w:t>
      </w:r>
    </w:p>
    <w:p w:rsidR="007B732E" w:rsidRPr="00836CB6" w:rsidRDefault="001F6342" w:rsidP="00836CB6">
      <w:pPr>
        <w:pStyle w:val="ListParagraph"/>
        <w:numPr>
          <w:ilvl w:val="0"/>
          <w:numId w:val="40"/>
        </w:numPr>
        <w:spacing w:after="0"/>
        <w:ind w:left="360"/>
        <w:contextualSpacing w:val="0"/>
        <w:jc w:val="both"/>
        <w:rPr>
          <w:rFonts w:asciiTheme="minorHAnsi" w:hAnsiTheme="minorHAnsi"/>
        </w:rPr>
      </w:pPr>
      <w:r w:rsidRPr="00836CB6">
        <w:rPr>
          <w:rFonts w:asciiTheme="minorHAnsi" w:hAnsiTheme="minorHAnsi"/>
          <w:b/>
          <w:i/>
        </w:rPr>
        <w:t>Nationally, there are 30 districts which allocated less than 15% of their total district budget (APBD) on education in 2012</w:t>
      </w:r>
      <w:r w:rsidRPr="00836CB6">
        <w:rPr>
          <w:rFonts w:asciiTheme="minorHAnsi" w:hAnsiTheme="minorHAnsi"/>
          <w:b/>
        </w:rPr>
        <w:t>.</w:t>
      </w:r>
      <w:r w:rsidRPr="00836CB6">
        <w:rPr>
          <w:rFonts w:asciiTheme="minorHAnsi" w:hAnsiTheme="minorHAnsi"/>
        </w:rPr>
        <w:t xml:space="preserve"> </w:t>
      </w:r>
    </w:p>
    <w:p w:rsidR="001F6342" w:rsidRPr="00836CB6" w:rsidRDefault="001F6342" w:rsidP="00836CB6">
      <w:pPr>
        <w:spacing w:line="276" w:lineRule="auto"/>
        <w:ind w:left="360"/>
        <w:jc w:val="both"/>
        <w:rPr>
          <w:rFonts w:asciiTheme="minorHAnsi" w:hAnsiTheme="minorHAnsi"/>
        </w:rPr>
      </w:pPr>
      <w:r w:rsidRPr="00836CB6">
        <w:rPr>
          <w:rFonts w:asciiTheme="minorHAnsi" w:hAnsiTheme="minorHAnsi"/>
        </w:rPr>
        <w:lastRenderedPageBreak/>
        <w:t>Of the 30 districts spending less than 15% of their budget on education, 22 are in the poorest quintile, and 17 of these are found in Papua.</w:t>
      </w:r>
    </w:p>
    <w:p w:rsidR="001F6342" w:rsidRPr="00836CB6" w:rsidRDefault="001F6342" w:rsidP="00836CB6">
      <w:pPr>
        <w:pStyle w:val="ListParagraph"/>
        <w:numPr>
          <w:ilvl w:val="0"/>
          <w:numId w:val="40"/>
        </w:numPr>
        <w:spacing w:after="0"/>
        <w:ind w:left="360"/>
        <w:contextualSpacing w:val="0"/>
        <w:jc w:val="both"/>
        <w:rPr>
          <w:rFonts w:asciiTheme="minorHAnsi" w:hAnsiTheme="minorHAnsi"/>
        </w:rPr>
      </w:pPr>
      <w:r w:rsidRPr="00836CB6">
        <w:rPr>
          <w:rFonts w:asciiTheme="minorHAnsi" w:hAnsiTheme="minorHAnsi"/>
          <w:b/>
          <w:i/>
        </w:rPr>
        <w:t>The poorest districts have consistently committed the lowest proportion of their budget towards education during the period 2006-2012</w:t>
      </w:r>
      <w:r w:rsidR="00286966" w:rsidRPr="00836CB6">
        <w:rPr>
          <w:rFonts w:asciiTheme="minorHAnsi" w:hAnsiTheme="minorHAnsi"/>
          <w:b/>
          <w:i/>
        </w:rPr>
        <w:t xml:space="preserve"> (average 31% in 2012)</w:t>
      </w:r>
      <w:r w:rsidRPr="00836CB6">
        <w:rPr>
          <w:rFonts w:asciiTheme="minorHAnsi" w:hAnsiTheme="minorHAnsi"/>
        </w:rPr>
        <w:t>.</w:t>
      </w:r>
    </w:p>
    <w:p w:rsidR="00286966" w:rsidRPr="00836CB6" w:rsidRDefault="00286966" w:rsidP="00836CB6">
      <w:pPr>
        <w:pStyle w:val="ListParagraph"/>
        <w:spacing w:after="120"/>
        <w:ind w:left="360"/>
        <w:contextualSpacing w:val="0"/>
        <w:jc w:val="both"/>
        <w:rPr>
          <w:rFonts w:asciiTheme="minorHAnsi" w:hAnsiTheme="minorHAnsi"/>
        </w:rPr>
      </w:pPr>
    </w:p>
    <w:p w:rsidR="007B732E" w:rsidRPr="00836CB6" w:rsidRDefault="001F6342" w:rsidP="00836CB6">
      <w:pPr>
        <w:pStyle w:val="ListParagraph"/>
        <w:numPr>
          <w:ilvl w:val="0"/>
          <w:numId w:val="40"/>
        </w:numPr>
        <w:spacing w:after="0"/>
        <w:ind w:left="360"/>
        <w:contextualSpacing w:val="0"/>
        <w:jc w:val="both"/>
        <w:rPr>
          <w:rFonts w:asciiTheme="minorHAnsi" w:hAnsiTheme="minorHAnsi"/>
          <w:color w:val="000000"/>
        </w:rPr>
      </w:pPr>
      <w:r w:rsidRPr="00836CB6">
        <w:rPr>
          <w:rFonts w:asciiTheme="minorHAnsi" w:hAnsiTheme="minorHAnsi"/>
          <w:b/>
          <w:i/>
        </w:rPr>
        <w:t xml:space="preserve">In 2012 nearly 100 districts (nearly 20%) </w:t>
      </w:r>
      <w:r w:rsidR="00286966" w:rsidRPr="00836CB6">
        <w:rPr>
          <w:rFonts w:asciiTheme="minorHAnsi" w:hAnsiTheme="minorHAnsi"/>
          <w:b/>
          <w:i/>
        </w:rPr>
        <w:t xml:space="preserve">posted </w:t>
      </w:r>
      <w:r w:rsidRPr="00836CB6">
        <w:rPr>
          <w:rFonts w:asciiTheme="minorHAnsi" w:hAnsiTheme="minorHAnsi"/>
          <w:b/>
          <w:i/>
        </w:rPr>
        <w:t>a decline in the</w:t>
      </w:r>
      <w:r w:rsidR="00286966" w:rsidRPr="00836CB6">
        <w:rPr>
          <w:rFonts w:asciiTheme="minorHAnsi" w:hAnsiTheme="minorHAnsi"/>
          <w:b/>
          <w:i/>
        </w:rPr>
        <w:t>ir</w:t>
      </w:r>
      <w:r w:rsidRPr="00836CB6">
        <w:rPr>
          <w:rFonts w:asciiTheme="minorHAnsi" w:hAnsiTheme="minorHAnsi"/>
          <w:b/>
          <w:i/>
        </w:rPr>
        <w:t xml:space="preserve"> education budget.</w:t>
      </w:r>
      <w:r w:rsidRPr="00836CB6">
        <w:rPr>
          <w:rFonts w:asciiTheme="minorHAnsi" w:hAnsiTheme="minorHAnsi"/>
        </w:rPr>
        <w:t xml:space="preserve"> </w:t>
      </w:r>
    </w:p>
    <w:p w:rsidR="001F6342" w:rsidRPr="00836CB6" w:rsidRDefault="00286966" w:rsidP="00836CB6">
      <w:pPr>
        <w:spacing w:line="276" w:lineRule="auto"/>
        <w:ind w:left="360"/>
        <w:jc w:val="both"/>
        <w:rPr>
          <w:rFonts w:asciiTheme="minorHAnsi" w:hAnsiTheme="minorHAnsi"/>
          <w:color w:val="000000"/>
        </w:rPr>
      </w:pPr>
      <w:r w:rsidRPr="00836CB6">
        <w:rPr>
          <w:rFonts w:asciiTheme="minorHAnsi" w:hAnsiTheme="minorHAnsi"/>
        </w:rPr>
        <w:t>This is a</w:t>
      </w:r>
      <w:r w:rsidR="001F6342" w:rsidRPr="00836CB6">
        <w:rPr>
          <w:rFonts w:asciiTheme="minorHAnsi" w:hAnsiTheme="minorHAnsi"/>
        </w:rPr>
        <w:t xml:space="preserve"> marked deterioration from 2011, when only 22 districts </w:t>
      </w:r>
      <w:r w:rsidRPr="00836CB6">
        <w:rPr>
          <w:rFonts w:asciiTheme="minorHAnsi" w:hAnsiTheme="minorHAnsi"/>
        </w:rPr>
        <w:t xml:space="preserve">posted </w:t>
      </w:r>
      <w:r w:rsidR="001F6342" w:rsidRPr="00836CB6">
        <w:rPr>
          <w:rFonts w:asciiTheme="minorHAnsi" w:hAnsiTheme="minorHAnsi"/>
        </w:rPr>
        <w:t>a decline in</w:t>
      </w:r>
      <w:r w:rsidRPr="00836CB6">
        <w:rPr>
          <w:rFonts w:asciiTheme="minorHAnsi" w:hAnsiTheme="minorHAnsi"/>
        </w:rPr>
        <w:t xml:space="preserve"> their</w:t>
      </w:r>
      <w:r w:rsidR="001F6342" w:rsidRPr="00836CB6">
        <w:rPr>
          <w:rFonts w:asciiTheme="minorHAnsi" w:hAnsiTheme="minorHAnsi"/>
        </w:rPr>
        <w:t xml:space="preserve"> annual education budget allocation. </w:t>
      </w:r>
    </w:p>
    <w:p w:rsidR="007B732E" w:rsidRPr="00836CB6" w:rsidRDefault="001F6342" w:rsidP="00836CB6">
      <w:pPr>
        <w:pStyle w:val="ListParagraph"/>
        <w:numPr>
          <w:ilvl w:val="0"/>
          <w:numId w:val="40"/>
        </w:numPr>
        <w:spacing w:after="0"/>
        <w:ind w:left="360"/>
        <w:contextualSpacing w:val="0"/>
        <w:jc w:val="both"/>
        <w:rPr>
          <w:rFonts w:asciiTheme="minorHAnsi" w:hAnsiTheme="minorHAnsi"/>
          <w:color w:val="000000"/>
        </w:rPr>
      </w:pPr>
      <w:r w:rsidRPr="00836CB6">
        <w:rPr>
          <w:rFonts w:asciiTheme="minorHAnsi" w:hAnsiTheme="minorHAnsi"/>
          <w:b/>
          <w:i/>
        </w:rPr>
        <w:t>The problem of contracting education budgets is focused on Papua</w:t>
      </w:r>
      <w:r w:rsidRPr="00836CB6">
        <w:rPr>
          <w:rFonts w:asciiTheme="minorHAnsi" w:hAnsiTheme="minorHAnsi"/>
        </w:rPr>
        <w:t xml:space="preserve">. </w:t>
      </w:r>
    </w:p>
    <w:p w:rsidR="001F6342" w:rsidRPr="00836CB6" w:rsidRDefault="001F6342" w:rsidP="00836CB6">
      <w:pPr>
        <w:spacing w:line="276" w:lineRule="auto"/>
        <w:ind w:left="360"/>
        <w:jc w:val="both"/>
        <w:rPr>
          <w:rFonts w:asciiTheme="minorHAnsi" w:hAnsiTheme="minorHAnsi"/>
          <w:color w:val="000000"/>
        </w:rPr>
      </w:pPr>
      <w:r w:rsidRPr="00836CB6">
        <w:rPr>
          <w:rFonts w:asciiTheme="minorHAnsi" w:hAnsiTheme="minorHAnsi"/>
        </w:rPr>
        <w:t>T</w:t>
      </w:r>
      <w:r w:rsidRPr="00836CB6">
        <w:rPr>
          <w:rFonts w:asciiTheme="minorHAnsi" w:hAnsiTheme="minorHAnsi"/>
          <w:color w:val="000000"/>
        </w:rPr>
        <w:t xml:space="preserve">wenty </w:t>
      </w:r>
      <w:r w:rsidR="00286966" w:rsidRPr="00836CB6">
        <w:rPr>
          <w:rFonts w:asciiTheme="minorHAnsi" w:hAnsiTheme="minorHAnsi"/>
          <w:color w:val="000000"/>
        </w:rPr>
        <w:t xml:space="preserve">of the 31 </w:t>
      </w:r>
      <w:r w:rsidRPr="00836CB6">
        <w:rPr>
          <w:rFonts w:asciiTheme="minorHAnsi" w:hAnsiTheme="minorHAnsi"/>
          <w:color w:val="000000"/>
        </w:rPr>
        <w:t>districts recording a decline in nominal annual district education expenditure</w:t>
      </w:r>
      <w:r w:rsidR="00286966" w:rsidRPr="00836CB6">
        <w:rPr>
          <w:rFonts w:asciiTheme="minorHAnsi" w:hAnsiTheme="minorHAnsi"/>
          <w:color w:val="000000"/>
        </w:rPr>
        <w:t xml:space="preserve"> </w:t>
      </w:r>
      <w:r w:rsidRPr="00836CB6">
        <w:rPr>
          <w:rFonts w:asciiTheme="minorHAnsi" w:hAnsiTheme="minorHAnsi"/>
          <w:color w:val="000000"/>
        </w:rPr>
        <w:t>are located in Papua.</w:t>
      </w:r>
    </w:p>
    <w:p w:rsidR="007B732E" w:rsidRPr="00836CB6" w:rsidRDefault="001F6342" w:rsidP="00836CB6">
      <w:pPr>
        <w:pStyle w:val="ListParagraph"/>
        <w:numPr>
          <w:ilvl w:val="0"/>
          <w:numId w:val="40"/>
        </w:numPr>
        <w:spacing w:after="0"/>
        <w:ind w:left="360"/>
        <w:contextualSpacing w:val="0"/>
        <w:jc w:val="both"/>
        <w:rPr>
          <w:rFonts w:asciiTheme="minorHAnsi" w:hAnsiTheme="minorHAnsi"/>
          <w:color w:val="000000"/>
        </w:rPr>
      </w:pPr>
      <w:r w:rsidRPr="00836CB6">
        <w:rPr>
          <w:rFonts w:asciiTheme="minorHAnsi" w:hAnsiTheme="minorHAnsi"/>
          <w:b/>
          <w:i/>
          <w:color w:val="000000"/>
        </w:rPr>
        <w:t>Average district expenditure per student across the country grew but not as strongly as for 2011</w:t>
      </w:r>
      <w:r w:rsidRPr="00836CB6">
        <w:rPr>
          <w:rFonts w:asciiTheme="minorHAnsi" w:hAnsiTheme="minorHAnsi"/>
          <w:color w:val="000000"/>
        </w:rPr>
        <w:t xml:space="preserve">. </w:t>
      </w:r>
    </w:p>
    <w:p w:rsidR="001F6342" w:rsidRPr="00836CB6" w:rsidRDefault="001F6342" w:rsidP="00836CB6">
      <w:pPr>
        <w:spacing w:line="276" w:lineRule="auto"/>
        <w:ind w:left="360"/>
        <w:jc w:val="both"/>
        <w:rPr>
          <w:rFonts w:asciiTheme="minorHAnsi" w:hAnsiTheme="minorHAnsi"/>
          <w:color w:val="000000"/>
        </w:rPr>
      </w:pPr>
      <w:r w:rsidRPr="00836CB6">
        <w:rPr>
          <w:rFonts w:asciiTheme="minorHAnsi" w:hAnsiTheme="minorHAnsi"/>
          <w:color w:val="000000"/>
        </w:rPr>
        <w:t>Average education expenditure per student has grown to Rp. 3.1 million in 2012, from an average Rp. 2.8 million in 2011. Highest allocations per student are found in the poorest districts (quintile 5) at an average Rp. 3.4 million per student.</w:t>
      </w:r>
    </w:p>
    <w:p w:rsidR="007B732E" w:rsidRPr="00836CB6" w:rsidRDefault="001F6342" w:rsidP="00836CB6">
      <w:pPr>
        <w:pStyle w:val="ListParagraph"/>
        <w:numPr>
          <w:ilvl w:val="0"/>
          <w:numId w:val="40"/>
        </w:numPr>
        <w:spacing w:after="0"/>
        <w:ind w:left="360"/>
        <w:contextualSpacing w:val="0"/>
        <w:jc w:val="both"/>
        <w:rPr>
          <w:rFonts w:asciiTheme="minorHAnsi" w:hAnsiTheme="minorHAnsi"/>
        </w:rPr>
      </w:pPr>
      <w:r w:rsidRPr="00836CB6">
        <w:rPr>
          <w:rFonts w:asciiTheme="minorHAnsi" w:hAnsiTheme="minorHAnsi"/>
          <w:b/>
          <w:i/>
        </w:rPr>
        <w:t>The most striking aspect of the breakdown of per student expenditure is that the Papua island group declines in the annual per student allocation for education in 2012</w:t>
      </w:r>
      <w:r w:rsidRPr="00836CB6">
        <w:rPr>
          <w:rFonts w:asciiTheme="minorHAnsi" w:hAnsiTheme="minorHAnsi"/>
          <w:b/>
        </w:rPr>
        <w:t>.</w:t>
      </w:r>
      <w:r w:rsidRPr="00836CB6">
        <w:rPr>
          <w:rFonts w:asciiTheme="minorHAnsi" w:hAnsiTheme="minorHAnsi"/>
        </w:rPr>
        <w:t xml:space="preserve"> </w:t>
      </w:r>
    </w:p>
    <w:p w:rsidR="001F6342" w:rsidRPr="00836CB6" w:rsidRDefault="001F6342" w:rsidP="00836CB6">
      <w:pPr>
        <w:spacing w:line="276" w:lineRule="auto"/>
        <w:ind w:left="360"/>
        <w:jc w:val="both"/>
        <w:rPr>
          <w:rFonts w:asciiTheme="minorHAnsi" w:hAnsiTheme="minorHAnsi"/>
        </w:rPr>
      </w:pPr>
      <w:r w:rsidRPr="00836CB6">
        <w:rPr>
          <w:rFonts w:asciiTheme="minorHAnsi" w:hAnsiTheme="minorHAnsi"/>
        </w:rPr>
        <w:t>In Papua, per student allocations for education drop 12% from Rp. 6.26 million in 2011 to Rp. 5.48 million in 2012.</w:t>
      </w:r>
    </w:p>
    <w:p w:rsidR="007B732E" w:rsidRPr="00836CB6" w:rsidRDefault="001F6342" w:rsidP="00836CB6">
      <w:pPr>
        <w:pStyle w:val="ListParagraph"/>
        <w:numPr>
          <w:ilvl w:val="0"/>
          <w:numId w:val="40"/>
        </w:numPr>
        <w:spacing w:after="0"/>
        <w:ind w:left="360"/>
        <w:contextualSpacing w:val="0"/>
        <w:jc w:val="both"/>
        <w:rPr>
          <w:rFonts w:asciiTheme="minorHAnsi" w:hAnsiTheme="minorHAnsi"/>
        </w:rPr>
      </w:pPr>
      <w:r w:rsidRPr="00836CB6">
        <w:rPr>
          <w:rFonts w:asciiTheme="minorHAnsi" w:hAnsiTheme="minorHAnsi"/>
          <w:b/>
          <w:i/>
        </w:rPr>
        <w:t>To achieve better learning outcomes across the poorest districts, the district governments in poorest districts will need to grow their education spending more quickly and drive a stronger ‘equity slope’ in education funding distribution.</w:t>
      </w:r>
      <w:r w:rsidRPr="00836CB6">
        <w:rPr>
          <w:rFonts w:asciiTheme="minorHAnsi" w:hAnsiTheme="minorHAnsi"/>
        </w:rPr>
        <w:t xml:space="preserve"> </w:t>
      </w:r>
    </w:p>
    <w:p w:rsidR="001F6342" w:rsidRPr="00836CB6" w:rsidRDefault="001F6342" w:rsidP="00836CB6">
      <w:pPr>
        <w:spacing w:line="276" w:lineRule="auto"/>
        <w:ind w:left="360"/>
        <w:jc w:val="both"/>
        <w:rPr>
          <w:rFonts w:asciiTheme="minorHAnsi" w:hAnsiTheme="minorHAnsi"/>
        </w:rPr>
      </w:pPr>
      <w:r w:rsidRPr="00836CB6">
        <w:rPr>
          <w:rFonts w:asciiTheme="minorHAnsi" w:hAnsiTheme="minorHAnsi"/>
        </w:rPr>
        <w:t>During the four year period 2008-2011, Indonesia display</w:t>
      </w:r>
      <w:r w:rsidR="00286966" w:rsidRPr="00836CB6">
        <w:rPr>
          <w:rFonts w:asciiTheme="minorHAnsi" w:hAnsiTheme="minorHAnsi"/>
        </w:rPr>
        <w:t>ed</w:t>
      </w:r>
      <w:r w:rsidRPr="00836CB6">
        <w:rPr>
          <w:rFonts w:asciiTheme="minorHAnsi" w:hAnsiTheme="minorHAnsi"/>
        </w:rPr>
        <w:t xml:space="preserve"> overall growth in per student expenditures</w:t>
      </w:r>
      <w:r w:rsidR="00286966" w:rsidRPr="00836CB6">
        <w:rPr>
          <w:rFonts w:asciiTheme="minorHAnsi" w:hAnsiTheme="minorHAnsi"/>
        </w:rPr>
        <w:t>,</w:t>
      </w:r>
      <w:r w:rsidRPr="00836CB6">
        <w:rPr>
          <w:rFonts w:asciiTheme="minorHAnsi" w:hAnsiTheme="minorHAnsi"/>
        </w:rPr>
        <w:t xml:space="preserve"> with a linear trend for greater expenditures in the poorest districts. In 2012 the slope of this equity spending was halted</w:t>
      </w:r>
      <w:r w:rsidR="00286966" w:rsidRPr="00836CB6">
        <w:rPr>
          <w:rFonts w:asciiTheme="minorHAnsi" w:hAnsiTheme="minorHAnsi"/>
        </w:rPr>
        <w:t>,</w:t>
      </w:r>
      <w:r w:rsidRPr="00836CB6">
        <w:rPr>
          <w:rFonts w:asciiTheme="minorHAnsi" w:hAnsiTheme="minorHAnsi"/>
        </w:rPr>
        <w:t xml:space="preserve"> with slower growth in the poorest districts. </w:t>
      </w:r>
    </w:p>
    <w:p w:rsidR="007B732E" w:rsidRPr="00836CB6" w:rsidRDefault="001F6342" w:rsidP="00836CB6">
      <w:pPr>
        <w:pStyle w:val="ListParagraph"/>
        <w:numPr>
          <w:ilvl w:val="0"/>
          <w:numId w:val="40"/>
        </w:numPr>
        <w:spacing w:after="0"/>
        <w:ind w:left="360"/>
        <w:contextualSpacing w:val="0"/>
        <w:jc w:val="both"/>
        <w:rPr>
          <w:rFonts w:asciiTheme="minorHAnsi" w:hAnsiTheme="minorHAnsi"/>
        </w:rPr>
      </w:pPr>
      <w:r w:rsidRPr="00836CB6">
        <w:rPr>
          <w:rFonts w:asciiTheme="minorHAnsi" w:hAnsiTheme="minorHAnsi"/>
          <w:b/>
          <w:i/>
        </w:rPr>
        <w:t>In 2012, the BOS grants have increased as a proportion of the district education budget (up to 14%)</w:t>
      </w:r>
      <w:r w:rsidRPr="00836CB6">
        <w:rPr>
          <w:rFonts w:asciiTheme="minorHAnsi" w:hAnsiTheme="minorHAnsi"/>
        </w:rPr>
        <w:t xml:space="preserve">. </w:t>
      </w:r>
    </w:p>
    <w:p w:rsidR="001F6342" w:rsidRPr="00836CB6" w:rsidRDefault="001F6342" w:rsidP="00836CB6">
      <w:pPr>
        <w:spacing w:line="276" w:lineRule="auto"/>
        <w:ind w:left="360"/>
        <w:jc w:val="both"/>
        <w:rPr>
          <w:rFonts w:asciiTheme="minorHAnsi" w:hAnsiTheme="minorHAnsi"/>
        </w:rPr>
      </w:pPr>
      <w:r w:rsidRPr="00836CB6">
        <w:rPr>
          <w:rFonts w:asciiTheme="minorHAnsi" w:hAnsiTheme="minorHAnsi"/>
        </w:rPr>
        <w:t>This outcome is a result of slower growth in the district education budget, and an increase in the value of the BOS grants themselves. The per-pupil BOS allocation has increased from Rp 397,000 to Rp 580,000 per primary student and from R</w:t>
      </w:r>
      <w:r w:rsidR="00837A39">
        <w:rPr>
          <w:rFonts w:asciiTheme="minorHAnsi" w:hAnsiTheme="minorHAnsi"/>
        </w:rPr>
        <w:t>p</w:t>
      </w:r>
      <w:r w:rsidRPr="00836CB6">
        <w:rPr>
          <w:rFonts w:asciiTheme="minorHAnsi" w:hAnsiTheme="minorHAnsi"/>
        </w:rPr>
        <w:t>. 570,000 to R</w:t>
      </w:r>
      <w:r w:rsidR="00837A39">
        <w:rPr>
          <w:rFonts w:asciiTheme="minorHAnsi" w:hAnsiTheme="minorHAnsi"/>
        </w:rPr>
        <w:t>p</w:t>
      </w:r>
      <w:r w:rsidRPr="00836CB6">
        <w:rPr>
          <w:rFonts w:asciiTheme="minorHAnsi" w:hAnsiTheme="minorHAnsi"/>
        </w:rPr>
        <w:t>. 710,000 per junior secondary student per year in 2012.</w:t>
      </w:r>
    </w:p>
    <w:p w:rsidR="007B732E" w:rsidRPr="00836CB6" w:rsidRDefault="001F6342" w:rsidP="00836CB6">
      <w:pPr>
        <w:pStyle w:val="ListParagraph"/>
        <w:numPr>
          <w:ilvl w:val="0"/>
          <w:numId w:val="40"/>
        </w:numPr>
        <w:spacing w:after="0"/>
        <w:ind w:left="360"/>
        <w:contextualSpacing w:val="0"/>
        <w:jc w:val="both"/>
        <w:rPr>
          <w:rFonts w:asciiTheme="minorHAnsi" w:hAnsiTheme="minorHAnsi"/>
        </w:rPr>
      </w:pPr>
      <w:r w:rsidRPr="00836CB6">
        <w:rPr>
          <w:rFonts w:asciiTheme="minorHAnsi" w:hAnsiTheme="minorHAnsi"/>
          <w:b/>
          <w:i/>
        </w:rPr>
        <w:t>There were six districts in 2012 that meet Critical Education Funding Status (CEFS) criteria compared to 2011 (2 districts), 2010(12 districts) and 2009 (16 districts)</w:t>
      </w:r>
      <w:r w:rsidRPr="00836CB6">
        <w:rPr>
          <w:rFonts w:asciiTheme="minorHAnsi" w:hAnsiTheme="minorHAnsi"/>
          <w:b/>
        </w:rPr>
        <w:t xml:space="preserve">. </w:t>
      </w:r>
    </w:p>
    <w:p w:rsidR="001F6342" w:rsidRPr="00836CB6" w:rsidRDefault="001F6342" w:rsidP="00836CB6">
      <w:pPr>
        <w:spacing w:line="276" w:lineRule="auto"/>
        <w:ind w:left="360"/>
        <w:jc w:val="both"/>
        <w:rPr>
          <w:rFonts w:asciiTheme="minorHAnsi" w:hAnsiTheme="minorHAnsi"/>
        </w:rPr>
      </w:pPr>
      <w:r w:rsidRPr="00836CB6">
        <w:rPr>
          <w:rFonts w:asciiTheme="minorHAnsi" w:hAnsiTheme="minorHAnsi"/>
        </w:rPr>
        <w:t xml:space="preserve">The CEFS diagnostic tool </w:t>
      </w:r>
      <w:r w:rsidR="003A1B0A" w:rsidRPr="00836CB6">
        <w:rPr>
          <w:rFonts w:asciiTheme="minorHAnsi" w:hAnsiTheme="minorHAnsi"/>
        </w:rPr>
        <w:t xml:space="preserve">developed by the ASFPR </w:t>
      </w:r>
      <w:r w:rsidRPr="00836CB6">
        <w:rPr>
          <w:rFonts w:asciiTheme="minorHAnsi" w:hAnsiTheme="minorHAnsi"/>
        </w:rPr>
        <w:t xml:space="preserve">identifies districts that have (i) low expenditure per student, (ii) small education share of the district budget, and (iii) weak annual growth in their education budget. </w:t>
      </w:r>
    </w:p>
    <w:p w:rsidR="00D73DAA" w:rsidRDefault="00D73DAA">
      <w:pPr>
        <w:spacing w:after="0"/>
        <w:rPr>
          <w:b/>
          <w:color w:val="003880"/>
          <w:sz w:val="32"/>
        </w:rPr>
      </w:pPr>
      <w:r>
        <w:rPr>
          <w:b/>
          <w:color w:val="003880"/>
          <w:sz w:val="32"/>
        </w:rPr>
        <w:br w:type="page"/>
      </w:r>
    </w:p>
    <w:p w:rsidR="001F6342" w:rsidRPr="00D73DAA" w:rsidRDefault="001F6342" w:rsidP="00D73DAA">
      <w:pPr>
        <w:spacing w:before="360" w:after="240"/>
        <w:rPr>
          <w:b/>
          <w:color w:val="003880"/>
          <w:sz w:val="32"/>
        </w:rPr>
      </w:pPr>
      <w:r w:rsidRPr="00D73DAA">
        <w:rPr>
          <w:b/>
          <w:color w:val="003880"/>
          <w:sz w:val="32"/>
        </w:rPr>
        <w:lastRenderedPageBreak/>
        <w:t xml:space="preserve">Possible </w:t>
      </w:r>
      <w:r w:rsidR="00836CB6" w:rsidRPr="00D73DAA">
        <w:rPr>
          <w:b/>
          <w:color w:val="003880"/>
          <w:sz w:val="32"/>
        </w:rPr>
        <w:t xml:space="preserve">Impacts </w:t>
      </w:r>
      <w:r w:rsidRPr="00D73DAA">
        <w:rPr>
          <w:b/>
          <w:color w:val="003880"/>
          <w:sz w:val="32"/>
        </w:rPr>
        <w:t xml:space="preserve">on the </w:t>
      </w:r>
      <w:r w:rsidR="00836CB6" w:rsidRPr="00D73DAA">
        <w:rPr>
          <w:b/>
          <w:color w:val="003880"/>
          <w:sz w:val="32"/>
        </w:rPr>
        <w:t xml:space="preserve">Sustainability </w:t>
      </w:r>
      <w:r w:rsidRPr="00D73DAA">
        <w:rPr>
          <w:b/>
          <w:color w:val="003880"/>
          <w:sz w:val="32"/>
        </w:rPr>
        <w:t xml:space="preserve">of </w:t>
      </w:r>
      <w:r w:rsidR="00836CB6" w:rsidRPr="00D73DAA">
        <w:rPr>
          <w:b/>
          <w:color w:val="003880"/>
          <w:sz w:val="32"/>
        </w:rPr>
        <w:t xml:space="preserve">Benefits Stemming </w:t>
      </w:r>
      <w:r w:rsidRPr="00D73DAA">
        <w:rPr>
          <w:b/>
          <w:color w:val="003880"/>
          <w:sz w:val="32"/>
        </w:rPr>
        <w:t xml:space="preserve">from EP </w:t>
      </w:r>
      <w:r w:rsidR="00836CB6" w:rsidRPr="00D73DAA">
        <w:rPr>
          <w:b/>
          <w:color w:val="003880"/>
          <w:sz w:val="32"/>
        </w:rPr>
        <w:t>Investments</w:t>
      </w:r>
    </w:p>
    <w:p w:rsidR="001F6342" w:rsidRPr="00836CB6" w:rsidRDefault="001F6342" w:rsidP="00836CB6">
      <w:pPr>
        <w:pStyle w:val="ListParagraph"/>
        <w:numPr>
          <w:ilvl w:val="0"/>
          <w:numId w:val="34"/>
        </w:numPr>
        <w:spacing w:after="120"/>
        <w:contextualSpacing w:val="0"/>
        <w:jc w:val="both"/>
        <w:rPr>
          <w:rFonts w:asciiTheme="minorHAnsi" w:hAnsiTheme="minorHAnsi"/>
        </w:rPr>
      </w:pPr>
      <w:r w:rsidRPr="00836CB6">
        <w:rPr>
          <w:rFonts w:asciiTheme="minorHAnsi" w:hAnsiTheme="minorHAnsi"/>
        </w:rPr>
        <w:t xml:space="preserve">At a macro level, there is solid evidence to </w:t>
      </w:r>
      <w:r w:rsidR="00286966" w:rsidRPr="00836CB6">
        <w:rPr>
          <w:rFonts w:asciiTheme="minorHAnsi" w:hAnsiTheme="minorHAnsi"/>
        </w:rPr>
        <w:t xml:space="preserve">suggest </w:t>
      </w:r>
      <w:r w:rsidRPr="00836CB6">
        <w:rPr>
          <w:rFonts w:asciiTheme="minorHAnsi" w:hAnsiTheme="minorHAnsi"/>
        </w:rPr>
        <w:t xml:space="preserve">that the GoI will continue to invest heavily in education. This should flow through in its support for district budgets. National funding for </w:t>
      </w:r>
      <w:r w:rsidR="000C1A10" w:rsidRPr="00836CB6">
        <w:rPr>
          <w:rFonts w:asciiTheme="minorHAnsi" w:hAnsiTheme="minorHAnsi"/>
        </w:rPr>
        <w:t xml:space="preserve">the </w:t>
      </w:r>
      <w:r w:rsidRPr="00836CB6">
        <w:rPr>
          <w:rFonts w:asciiTheme="minorHAnsi" w:hAnsiTheme="minorHAnsi"/>
        </w:rPr>
        <w:t xml:space="preserve">education sector is expected to remain strong. Adherence to a proportional budget allocation for education enhances the ability of the education sector to anticipate future allocations and plan accordingly by creating a more stable financing framework. The proportional allocation approach toward education financing enhances predictability and steady growth of the education budget in a growing economy. </w:t>
      </w:r>
    </w:p>
    <w:p w:rsidR="001F6342" w:rsidRPr="00836CB6" w:rsidRDefault="001F6342" w:rsidP="00836CB6">
      <w:pPr>
        <w:pStyle w:val="ListParagraph"/>
        <w:numPr>
          <w:ilvl w:val="0"/>
          <w:numId w:val="34"/>
        </w:numPr>
        <w:spacing w:after="120"/>
        <w:contextualSpacing w:val="0"/>
        <w:jc w:val="both"/>
        <w:rPr>
          <w:rFonts w:asciiTheme="minorHAnsi" w:hAnsiTheme="minorHAnsi"/>
        </w:rPr>
      </w:pPr>
      <w:r w:rsidRPr="00836CB6">
        <w:rPr>
          <w:rFonts w:asciiTheme="minorHAnsi" w:hAnsiTheme="minorHAnsi"/>
        </w:rPr>
        <w:t>School systems require a substantial share of non-salary related expenditures to (i) provide a full range of resources (apart from teachers) to schools, and (ii) maintain buildings and provide for additional capital and equipment needs. Most recent data show the average salary share of expenditures in districts had come down to 75% of total district level expenditures. In the context of the additional salary costs associated with the teacher certification process, this is a very positive achievement. However, some districts spend well in excess of this on salaries, leaving these districts with very little to spend on PD or maintenance of school buildings.</w:t>
      </w:r>
    </w:p>
    <w:p w:rsidR="001F6342" w:rsidRPr="00836CB6" w:rsidRDefault="00A477E2" w:rsidP="00836CB6">
      <w:pPr>
        <w:pStyle w:val="ListParagraph"/>
        <w:numPr>
          <w:ilvl w:val="0"/>
          <w:numId w:val="34"/>
        </w:numPr>
        <w:spacing w:after="120"/>
        <w:contextualSpacing w:val="0"/>
        <w:jc w:val="both"/>
        <w:rPr>
          <w:rFonts w:asciiTheme="minorHAnsi" w:hAnsiTheme="minorHAnsi"/>
          <w:noProof/>
        </w:rPr>
      </w:pPr>
      <w:r>
        <w:rPr>
          <w:rFonts w:asciiTheme="minorHAnsi" w:hAnsiTheme="minorHAnsi"/>
          <w:noProof/>
        </w:rPr>
        <w:t xml:space="preserve">Eighteen </w:t>
      </w:r>
      <w:r w:rsidR="001F6342" w:rsidRPr="00836CB6">
        <w:rPr>
          <w:rFonts w:asciiTheme="minorHAnsi" w:hAnsiTheme="minorHAnsi"/>
          <w:noProof/>
        </w:rPr>
        <w:t>EP districts contributed less than the 20% national target for education</w:t>
      </w:r>
      <w:r w:rsidR="000C1A10" w:rsidRPr="00836CB6">
        <w:rPr>
          <w:rFonts w:asciiTheme="minorHAnsi" w:hAnsiTheme="minorHAnsi"/>
          <w:noProof/>
        </w:rPr>
        <w:t>,</w:t>
      </w:r>
      <w:r w:rsidR="001F6342" w:rsidRPr="00836CB6">
        <w:rPr>
          <w:rFonts w:asciiTheme="minorHAnsi" w:hAnsiTheme="minorHAnsi"/>
          <w:noProof/>
        </w:rPr>
        <w:t xml:space="preserve"> which is considerably lower than the </w:t>
      </w:r>
      <w:r>
        <w:rPr>
          <w:rFonts w:asciiTheme="minorHAnsi" w:hAnsiTheme="minorHAnsi"/>
          <w:noProof/>
        </w:rPr>
        <w:t xml:space="preserve">2012 </w:t>
      </w:r>
      <w:r w:rsidR="001F6342" w:rsidRPr="00836CB6">
        <w:rPr>
          <w:rFonts w:asciiTheme="minorHAnsi" w:hAnsiTheme="minorHAnsi"/>
          <w:noProof/>
        </w:rPr>
        <w:t>national average of 35%. This low share of funding for education</w:t>
      </w:r>
      <w:r w:rsidR="000B523C" w:rsidRPr="00836CB6">
        <w:rPr>
          <w:rFonts w:asciiTheme="minorHAnsi" w:hAnsiTheme="minorHAnsi"/>
          <w:noProof/>
        </w:rPr>
        <w:t xml:space="preserve"> in specific districts</w:t>
      </w:r>
      <w:r w:rsidR="001F6342" w:rsidRPr="00836CB6">
        <w:rPr>
          <w:rFonts w:asciiTheme="minorHAnsi" w:hAnsiTheme="minorHAnsi"/>
          <w:noProof/>
        </w:rPr>
        <w:t xml:space="preserve"> may threaten the sustainability of EP investments in the future.</w:t>
      </w:r>
    </w:p>
    <w:p w:rsidR="001F6342" w:rsidRPr="00836CB6" w:rsidRDefault="001F6342" w:rsidP="00836CB6">
      <w:pPr>
        <w:pStyle w:val="ListParagraph"/>
        <w:numPr>
          <w:ilvl w:val="0"/>
          <w:numId w:val="34"/>
        </w:numPr>
        <w:spacing w:after="120"/>
        <w:contextualSpacing w:val="0"/>
        <w:jc w:val="both"/>
        <w:rPr>
          <w:rFonts w:asciiTheme="minorHAnsi" w:hAnsiTheme="minorHAnsi"/>
        </w:rPr>
      </w:pPr>
      <w:r w:rsidRPr="00836CB6">
        <w:rPr>
          <w:rFonts w:asciiTheme="minorHAnsi" w:hAnsiTheme="minorHAnsi"/>
        </w:rPr>
        <w:t xml:space="preserve">One recurring concern is that some districts with the highest poverty rates are persistently allocating a significantly smaller share (less than 15%) of resources for education than the national average (35%). This low commitment from some of the poorest districts makes it harder for them to catch up on educational development. It also indicates which districts may have further scope to grow their education budget and cover the cost associated with PD and the maintenance of new school buildings as might be funded under the EP. </w:t>
      </w:r>
    </w:p>
    <w:p w:rsidR="001F6342" w:rsidRPr="00836CB6" w:rsidRDefault="001F6342" w:rsidP="00836CB6">
      <w:pPr>
        <w:pStyle w:val="ListParagraph"/>
        <w:numPr>
          <w:ilvl w:val="0"/>
          <w:numId w:val="34"/>
        </w:numPr>
        <w:spacing w:after="120"/>
        <w:contextualSpacing w:val="0"/>
        <w:jc w:val="both"/>
        <w:rPr>
          <w:rFonts w:asciiTheme="minorHAnsi" w:hAnsiTheme="minorHAnsi"/>
        </w:rPr>
      </w:pPr>
      <w:r w:rsidRPr="00836CB6">
        <w:rPr>
          <w:rFonts w:asciiTheme="minorHAnsi" w:hAnsiTheme="minorHAnsi"/>
        </w:rPr>
        <w:t>Papua and Maluku stand out as two provinces that spend the least for education as a proportion of total district funds. Papua in particular stands out because on average it experienced a decline in expenditure per student in 2012 compared to 2011. There is scope to increase education funding in these areas to cover the additional but modest recurrent costs associated with the EP investments.</w:t>
      </w:r>
    </w:p>
    <w:p w:rsidR="001F6342" w:rsidRPr="00836CB6" w:rsidRDefault="001F6342" w:rsidP="00836CB6">
      <w:pPr>
        <w:pStyle w:val="ListParagraph"/>
        <w:numPr>
          <w:ilvl w:val="0"/>
          <w:numId w:val="34"/>
        </w:numPr>
        <w:spacing w:after="120"/>
        <w:contextualSpacing w:val="0"/>
        <w:jc w:val="both"/>
        <w:rPr>
          <w:rFonts w:asciiTheme="minorHAnsi" w:hAnsiTheme="minorHAnsi"/>
        </w:rPr>
      </w:pPr>
      <w:r w:rsidRPr="00836CB6">
        <w:rPr>
          <w:rFonts w:asciiTheme="minorHAnsi" w:hAnsiTheme="minorHAnsi"/>
        </w:rPr>
        <w:t>Most EP districts are showing growth in per student allocations for education</w:t>
      </w:r>
      <w:r w:rsidR="00783936" w:rsidRPr="00836CB6">
        <w:rPr>
          <w:rFonts w:asciiTheme="minorHAnsi" w:hAnsiTheme="minorHAnsi"/>
        </w:rPr>
        <w:t xml:space="preserve">. </w:t>
      </w:r>
      <w:r w:rsidR="00836CB6" w:rsidRPr="00836CB6">
        <w:rPr>
          <w:rFonts w:asciiTheme="minorHAnsi" w:hAnsiTheme="minorHAnsi"/>
        </w:rPr>
        <w:t>This provides</w:t>
      </w:r>
      <w:r w:rsidRPr="00836CB6">
        <w:rPr>
          <w:rFonts w:asciiTheme="minorHAnsi" w:hAnsiTheme="minorHAnsi"/>
        </w:rPr>
        <w:t xml:space="preserve"> a good financial base for further improvements. However in 2012, nearly 100 districts (of which 59 were EP districts) contracted their education budget compared to the previous year.</w:t>
      </w:r>
      <w:r w:rsidR="004971BD">
        <w:rPr>
          <w:rFonts w:asciiTheme="minorHAnsi" w:hAnsiTheme="minorHAnsi"/>
        </w:rPr>
        <w:t xml:space="preserve"> </w:t>
      </w:r>
      <w:r w:rsidRPr="00836CB6">
        <w:rPr>
          <w:rFonts w:asciiTheme="minorHAnsi" w:hAnsiTheme="minorHAnsi"/>
        </w:rPr>
        <w:t xml:space="preserve">There will be good and sound reasons for this in many cases, but where it reflects a shifting priority away from education it may </w:t>
      </w:r>
      <w:r w:rsidR="004971BD" w:rsidRPr="00836CB6">
        <w:rPr>
          <w:rFonts w:asciiTheme="minorHAnsi" w:hAnsiTheme="minorHAnsi"/>
        </w:rPr>
        <w:t>jeopardize</w:t>
      </w:r>
      <w:r w:rsidRPr="00836CB6">
        <w:rPr>
          <w:rFonts w:asciiTheme="minorHAnsi" w:hAnsiTheme="minorHAnsi"/>
        </w:rPr>
        <w:t xml:space="preserve"> the ability of districts to meet future financial commitments to PD and building maintenance.</w:t>
      </w:r>
    </w:p>
    <w:p w:rsidR="001F6342" w:rsidRPr="00836CB6" w:rsidRDefault="001F6342" w:rsidP="00836CB6">
      <w:pPr>
        <w:pStyle w:val="ListParagraph"/>
        <w:numPr>
          <w:ilvl w:val="0"/>
          <w:numId w:val="34"/>
        </w:numPr>
        <w:spacing w:after="120"/>
        <w:contextualSpacing w:val="0"/>
        <w:jc w:val="both"/>
        <w:rPr>
          <w:rFonts w:asciiTheme="minorHAnsi" w:hAnsiTheme="minorHAnsi"/>
        </w:rPr>
      </w:pPr>
      <w:r w:rsidRPr="00836CB6">
        <w:rPr>
          <w:rFonts w:asciiTheme="minorHAnsi" w:hAnsiTheme="minorHAnsi"/>
        </w:rPr>
        <w:t xml:space="preserve">Growing BOS funds provide much needed discretionary funds to schools. The challenge for government will be to put in place the appropriate training, monitoring and support to enable the effective use of these funds as well as identifying the inevitable instances where these funds are not properly expended or adequately reported. </w:t>
      </w:r>
    </w:p>
    <w:p w:rsidR="001F6342" w:rsidRPr="00836CB6" w:rsidRDefault="001F6342" w:rsidP="00836CB6">
      <w:pPr>
        <w:spacing w:line="276" w:lineRule="auto"/>
        <w:jc w:val="both"/>
        <w:rPr>
          <w:rFonts w:asciiTheme="minorHAnsi" w:hAnsiTheme="minorHAnsi"/>
        </w:rPr>
        <w:sectPr w:rsidR="001F6342" w:rsidRPr="00836CB6" w:rsidSect="005419F4">
          <w:footnotePr>
            <w:numRestart w:val="eachSect"/>
          </w:footnotePr>
          <w:endnotePr>
            <w:numRestart w:val="eachSect"/>
          </w:endnotePr>
          <w:pgSz w:w="11909" w:h="16834" w:code="9"/>
          <w:pgMar w:top="357" w:right="1440" w:bottom="1304" w:left="1440" w:header="431" w:footer="425" w:gutter="0"/>
          <w:pgNumType w:fmt="lowerRoman"/>
          <w:cols w:space="720"/>
          <w:titlePg/>
          <w:docGrid w:linePitch="360"/>
        </w:sectPr>
      </w:pPr>
    </w:p>
    <w:p w:rsidR="00732091" w:rsidRPr="005A1995" w:rsidRDefault="0048789C" w:rsidP="005419F4">
      <w:pPr>
        <w:spacing w:after="240"/>
        <w:rPr>
          <w:rStyle w:val="IntenseEmphasis"/>
          <w:rFonts w:asciiTheme="minorHAnsi" w:hAnsiTheme="minorHAnsi"/>
          <w:i w:val="0"/>
          <w:color w:val="003880"/>
          <w:sz w:val="32"/>
        </w:rPr>
      </w:pPr>
      <w:r w:rsidRPr="005A1995">
        <w:rPr>
          <w:rStyle w:val="IntenseEmphasis"/>
          <w:rFonts w:asciiTheme="minorHAnsi" w:hAnsiTheme="minorHAnsi"/>
          <w:i w:val="0"/>
          <w:color w:val="003880"/>
          <w:sz w:val="32"/>
        </w:rPr>
        <w:lastRenderedPageBreak/>
        <w:t xml:space="preserve">Progress </w:t>
      </w:r>
      <w:r w:rsidR="0038463D" w:rsidRPr="005A1995">
        <w:rPr>
          <w:rStyle w:val="IntenseEmphasis"/>
          <w:rFonts w:asciiTheme="minorHAnsi" w:hAnsiTheme="minorHAnsi"/>
          <w:i w:val="0"/>
          <w:color w:val="003880"/>
          <w:sz w:val="32"/>
        </w:rPr>
        <w:t>against Key Indicators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280"/>
        <w:gridCol w:w="3088"/>
        <w:gridCol w:w="1081"/>
        <w:gridCol w:w="1698"/>
        <w:gridCol w:w="1082"/>
        <w:gridCol w:w="4941"/>
      </w:tblGrid>
      <w:tr w:rsidR="0038463D" w:rsidRPr="0038463D" w:rsidTr="005A1995">
        <w:trPr>
          <w:tblHeader/>
          <w:jc w:val="center"/>
        </w:trPr>
        <w:tc>
          <w:tcPr>
            <w:tcW w:w="2093" w:type="dxa"/>
            <w:tcBorders>
              <w:top w:val="single" w:sz="12" w:space="0" w:color="auto"/>
              <w:left w:val="single" w:sz="12" w:space="0" w:color="auto"/>
              <w:right w:val="single" w:sz="4" w:space="0" w:color="FFFFFF" w:themeColor="background1"/>
            </w:tcBorders>
            <w:shd w:val="clear" w:color="auto" w:fill="003880"/>
            <w:vAlign w:val="center"/>
          </w:tcPr>
          <w:p w:rsidR="007168AC" w:rsidRPr="0038463D" w:rsidRDefault="0038463D" w:rsidP="0038463D">
            <w:pPr>
              <w:spacing w:after="0"/>
              <w:jc w:val="center"/>
              <w:rPr>
                <w:rFonts w:asciiTheme="minorHAnsi" w:hAnsiTheme="minorHAnsi"/>
                <w:b/>
                <w:bCs/>
                <w:iCs/>
                <w:color w:val="FFFFFF" w:themeColor="background1"/>
                <w:sz w:val="20"/>
                <w:szCs w:val="20"/>
                <w:lang w:val="en-AU"/>
              </w:rPr>
            </w:pPr>
            <w:r w:rsidRPr="0038463D">
              <w:rPr>
                <w:rFonts w:asciiTheme="minorHAnsi" w:hAnsiTheme="minorHAnsi"/>
                <w:b/>
                <w:bCs/>
                <w:iCs/>
                <w:color w:val="FFFFFF" w:themeColor="background1"/>
                <w:sz w:val="20"/>
                <w:szCs w:val="20"/>
                <w:lang w:val="en-AU"/>
              </w:rPr>
              <w:t>INDICATOR</w:t>
            </w:r>
          </w:p>
        </w:tc>
        <w:tc>
          <w:tcPr>
            <w:tcW w:w="2835" w:type="dxa"/>
            <w:tcBorders>
              <w:top w:val="single" w:sz="12" w:space="0" w:color="auto"/>
              <w:left w:val="single" w:sz="4" w:space="0" w:color="FFFFFF" w:themeColor="background1"/>
              <w:right w:val="single" w:sz="4" w:space="0" w:color="FFFFFF" w:themeColor="background1"/>
            </w:tcBorders>
            <w:shd w:val="clear" w:color="auto" w:fill="003880"/>
            <w:vAlign w:val="center"/>
          </w:tcPr>
          <w:p w:rsidR="007168AC" w:rsidRPr="0038463D" w:rsidRDefault="0038463D" w:rsidP="0038463D">
            <w:pPr>
              <w:spacing w:after="0"/>
              <w:jc w:val="center"/>
              <w:rPr>
                <w:rFonts w:asciiTheme="minorHAnsi" w:hAnsiTheme="minorHAnsi"/>
                <w:b/>
                <w:bCs/>
                <w:iCs/>
                <w:color w:val="FFFFFF" w:themeColor="background1"/>
                <w:sz w:val="20"/>
                <w:szCs w:val="20"/>
                <w:lang w:val="en-AU"/>
              </w:rPr>
            </w:pPr>
            <w:r w:rsidRPr="0038463D">
              <w:rPr>
                <w:rFonts w:asciiTheme="minorHAnsi" w:hAnsiTheme="minorHAnsi"/>
                <w:b/>
                <w:bCs/>
                <w:iCs/>
                <w:color w:val="FFFFFF" w:themeColor="background1"/>
                <w:sz w:val="20"/>
                <w:szCs w:val="20"/>
                <w:lang w:val="en-AU"/>
              </w:rPr>
              <w:t>DESCRIPTION</w:t>
            </w:r>
          </w:p>
        </w:tc>
        <w:tc>
          <w:tcPr>
            <w:tcW w:w="992" w:type="dxa"/>
            <w:tcBorders>
              <w:top w:val="single" w:sz="12" w:space="0" w:color="auto"/>
              <w:left w:val="single" w:sz="4" w:space="0" w:color="FFFFFF" w:themeColor="background1"/>
              <w:right w:val="single" w:sz="4" w:space="0" w:color="FFFFFF" w:themeColor="background1"/>
            </w:tcBorders>
            <w:shd w:val="clear" w:color="auto" w:fill="003880"/>
            <w:vAlign w:val="center"/>
          </w:tcPr>
          <w:p w:rsidR="007168AC" w:rsidRPr="0038463D" w:rsidRDefault="0038463D" w:rsidP="0038463D">
            <w:pPr>
              <w:spacing w:after="0"/>
              <w:jc w:val="center"/>
              <w:rPr>
                <w:rFonts w:asciiTheme="minorHAnsi" w:hAnsiTheme="minorHAnsi"/>
                <w:b/>
                <w:bCs/>
                <w:iCs/>
                <w:color w:val="FFFFFF" w:themeColor="background1"/>
                <w:sz w:val="20"/>
                <w:szCs w:val="20"/>
                <w:lang w:val="en-AU"/>
              </w:rPr>
            </w:pPr>
            <w:r w:rsidRPr="0038463D">
              <w:rPr>
                <w:rFonts w:asciiTheme="minorHAnsi" w:hAnsiTheme="minorHAnsi"/>
                <w:b/>
                <w:bCs/>
                <w:iCs/>
                <w:color w:val="FFFFFF" w:themeColor="background1"/>
                <w:sz w:val="20"/>
                <w:szCs w:val="20"/>
                <w:lang w:val="en-AU"/>
              </w:rPr>
              <w:t>LEVEL</w:t>
            </w:r>
          </w:p>
        </w:tc>
        <w:tc>
          <w:tcPr>
            <w:tcW w:w="1559" w:type="dxa"/>
            <w:tcBorders>
              <w:top w:val="single" w:sz="12" w:space="0" w:color="auto"/>
              <w:left w:val="single" w:sz="4" w:space="0" w:color="FFFFFF" w:themeColor="background1"/>
              <w:right w:val="single" w:sz="4" w:space="0" w:color="FFFFFF" w:themeColor="background1"/>
            </w:tcBorders>
            <w:shd w:val="clear" w:color="auto" w:fill="003880"/>
            <w:vAlign w:val="center"/>
          </w:tcPr>
          <w:p w:rsidR="007168AC" w:rsidRPr="0038463D" w:rsidRDefault="0038463D" w:rsidP="0038463D">
            <w:pPr>
              <w:spacing w:after="0"/>
              <w:jc w:val="center"/>
              <w:rPr>
                <w:rFonts w:asciiTheme="minorHAnsi" w:hAnsiTheme="minorHAnsi"/>
                <w:b/>
                <w:bCs/>
                <w:iCs/>
                <w:color w:val="FFFFFF" w:themeColor="background1"/>
                <w:sz w:val="20"/>
                <w:szCs w:val="20"/>
                <w:lang w:val="en-AU"/>
              </w:rPr>
            </w:pPr>
            <w:r w:rsidRPr="0038463D">
              <w:rPr>
                <w:rFonts w:asciiTheme="minorHAnsi" w:hAnsiTheme="minorHAnsi"/>
                <w:b/>
                <w:bCs/>
                <w:iCs/>
                <w:color w:val="FFFFFF" w:themeColor="background1"/>
                <w:sz w:val="20"/>
                <w:szCs w:val="20"/>
                <w:lang w:val="en-AU"/>
              </w:rPr>
              <w:t>RELATED GOAL</w:t>
            </w:r>
          </w:p>
        </w:tc>
        <w:tc>
          <w:tcPr>
            <w:tcW w:w="993" w:type="dxa"/>
            <w:tcBorders>
              <w:top w:val="single" w:sz="12" w:space="0" w:color="auto"/>
              <w:left w:val="single" w:sz="4" w:space="0" w:color="FFFFFF" w:themeColor="background1"/>
              <w:right w:val="single" w:sz="4" w:space="0" w:color="FFFFFF" w:themeColor="background1"/>
            </w:tcBorders>
            <w:shd w:val="clear" w:color="auto" w:fill="003880"/>
            <w:vAlign w:val="center"/>
          </w:tcPr>
          <w:p w:rsidR="007168AC" w:rsidRPr="0038463D" w:rsidRDefault="0038463D" w:rsidP="0038463D">
            <w:pPr>
              <w:spacing w:after="0"/>
              <w:jc w:val="center"/>
              <w:rPr>
                <w:rFonts w:asciiTheme="minorHAnsi" w:hAnsiTheme="minorHAnsi"/>
                <w:b/>
                <w:bCs/>
                <w:iCs/>
                <w:color w:val="FFFFFF" w:themeColor="background1"/>
                <w:sz w:val="20"/>
                <w:szCs w:val="20"/>
                <w:lang w:val="en-AU"/>
              </w:rPr>
            </w:pPr>
            <w:r w:rsidRPr="0038463D">
              <w:rPr>
                <w:rFonts w:asciiTheme="minorHAnsi" w:hAnsiTheme="minorHAnsi"/>
                <w:b/>
                <w:bCs/>
                <w:iCs/>
                <w:color w:val="FFFFFF" w:themeColor="background1"/>
                <w:sz w:val="20"/>
                <w:szCs w:val="20"/>
                <w:lang w:val="en-AU"/>
              </w:rPr>
              <w:t>RESULT</w:t>
            </w:r>
          </w:p>
        </w:tc>
        <w:tc>
          <w:tcPr>
            <w:tcW w:w="4536" w:type="dxa"/>
            <w:tcBorders>
              <w:top w:val="single" w:sz="12" w:space="0" w:color="auto"/>
              <w:left w:val="single" w:sz="4" w:space="0" w:color="FFFFFF" w:themeColor="background1"/>
              <w:right w:val="single" w:sz="12" w:space="0" w:color="auto"/>
            </w:tcBorders>
            <w:shd w:val="clear" w:color="auto" w:fill="003880"/>
            <w:vAlign w:val="center"/>
          </w:tcPr>
          <w:p w:rsidR="007168AC" w:rsidRPr="0038463D" w:rsidRDefault="0038463D" w:rsidP="0038463D">
            <w:pPr>
              <w:spacing w:after="0"/>
              <w:jc w:val="center"/>
              <w:rPr>
                <w:rFonts w:asciiTheme="minorHAnsi" w:hAnsiTheme="minorHAnsi"/>
                <w:b/>
                <w:bCs/>
                <w:iCs/>
                <w:color w:val="FFFFFF" w:themeColor="background1"/>
                <w:sz w:val="20"/>
                <w:szCs w:val="20"/>
                <w:lang w:val="en-AU"/>
              </w:rPr>
            </w:pPr>
            <w:r w:rsidRPr="0038463D">
              <w:rPr>
                <w:rFonts w:asciiTheme="minorHAnsi" w:hAnsiTheme="minorHAnsi"/>
                <w:b/>
                <w:bCs/>
                <w:iCs/>
                <w:color w:val="FFFFFF" w:themeColor="background1"/>
                <w:sz w:val="20"/>
                <w:szCs w:val="20"/>
                <w:lang w:val="en-AU"/>
              </w:rPr>
              <w:t>COMMENT AND IMPLICATIONS</w:t>
            </w:r>
          </w:p>
        </w:tc>
      </w:tr>
      <w:tr w:rsidR="005A1995" w:rsidRPr="0038463D" w:rsidTr="005A1995">
        <w:trPr>
          <w:jc w:val="center"/>
        </w:trPr>
        <w:tc>
          <w:tcPr>
            <w:tcW w:w="2093" w:type="dxa"/>
            <w:tcBorders>
              <w:left w:val="single" w:sz="12" w:space="0" w:color="auto"/>
            </w:tcBorders>
            <w:vAlign w:val="center"/>
          </w:tcPr>
          <w:p w:rsidR="007168AC" w:rsidRPr="0038463D" w:rsidRDefault="007168AC" w:rsidP="0038463D">
            <w:pPr>
              <w:spacing w:after="0"/>
              <w:rPr>
                <w:rFonts w:asciiTheme="minorHAnsi" w:hAnsiTheme="minorHAnsi"/>
                <w:sz w:val="20"/>
                <w:szCs w:val="20"/>
                <w:lang w:val="en-AU"/>
              </w:rPr>
            </w:pPr>
            <w:r w:rsidRPr="0038463D">
              <w:rPr>
                <w:rFonts w:asciiTheme="minorHAnsi" w:hAnsiTheme="minorHAnsi"/>
                <w:sz w:val="20"/>
                <w:szCs w:val="20"/>
                <w:lang w:val="en-AU"/>
              </w:rPr>
              <w:t>KPI 1</w:t>
            </w:r>
          </w:p>
          <w:p w:rsidR="007168AC" w:rsidRPr="0038463D" w:rsidRDefault="007168AC" w:rsidP="0038463D">
            <w:pPr>
              <w:spacing w:after="0"/>
              <w:rPr>
                <w:rFonts w:asciiTheme="minorHAnsi" w:hAnsiTheme="minorHAnsi"/>
                <w:sz w:val="20"/>
                <w:szCs w:val="20"/>
                <w:lang w:val="en-AU"/>
              </w:rPr>
            </w:pPr>
            <w:r w:rsidRPr="0038463D">
              <w:rPr>
                <w:rFonts w:asciiTheme="minorHAnsi" w:hAnsiTheme="minorHAnsi"/>
                <w:sz w:val="20"/>
                <w:szCs w:val="20"/>
                <w:lang w:val="en-AU"/>
              </w:rPr>
              <w:t>Share of public expenditure</w:t>
            </w:r>
          </w:p>
        </w:tc>
        <w:tc>
          <w:tcPr>
            <w:tcW w:w="2835" w:type="dxa"/>
            <w:vAlign w:val="center"/>
          </w:tcPr>
          <w:p w:rsidR="007168AC" w:rsidRPr="0038463D" w:rsidRDefault="007168AC" w:rsidP="0038463D">
            <w:pPr>
              <w:spacing w:after="0"/>
              <w:rPr>
                <w:rFonts w:asciiTheme="minorHAnsi" w:hAnsiTheme="minorHAnsi"/>
                <w:sz w:val="20"/>
                <w:szCs w:val="20"/>
                <w:lang w:val="en-AU"/>
              </w:rPr>
            </w:pPr>
            <w:r w:rsidRPr="0038463D">
              <w:rPr>
                <w:rFonts w:asciiTheme="minorHAnsi" w:hAnsiTheme="minorHAnsi"/>
                <w:sz w:val="20"/>
                <w:szCs w:val="20"/>
                <w:lang w:val="en-AU"/>
              </w:rPr>
              <w:t>Public expenditure on education as percentage of total public expenditure</w:t>
            </w:r>
            <w:r w:rsidR="0038463D">
              <w:rPr>
                <w:rFonts w:asciiTheme="minorHAnsi" w:hAnsiTheme="minorHAnsi"/>
                <w:sz w:val="20"/>
                <w:szCs w:val="20"/>
                <w:lang w:val="en-AU"/>
              </w:rPr>
              <w:t xml:space="preserve"> </w:t>
            </w:r>
            <w:r w:rsidRPr="0038463D">
              <w:rPr>
                <w:rFonts w:asciiTheme="minorHAnsi" w:hAnsiTheme="minorHAnsi"/>
                <w:sz w:val="20"/>
                <w:szCs w:val="20"/>
                <w:lang w:val="en-AU"/>
              </w:rPr>
              <w:t>(covers MoEC and MoRA expenditure)</w:t>
            </w:r>
          </w:p>
        </w:tc>
        <w:tc>
          <w:tcPr>
            <w:tcW w:w="992" w:type="dxa"/>
            <w:vAlign w:val="center"/>
          </w:tcPr>
          <w:p w:rsidR="007168AC" w:rsidRPr="0038463D" w:rsidRDefault="007168AC" w:rsidP="0038463D">
            <w:pPr>
              <w:spacing w:after="0"/>
              <w:jc w:val="center"/>
              <w:rPr>
                <w:rFonts w:asciiTheme="minorHAnsi" w:hAnsiTheme="minorHAnsi"/>
                <w:sz w:val="20"/>
                <w:szCs w:val="20"/>
                <w:lang w:val="en-AU"/>
              </w:rPr>
            </w:pPr>
            <w:r w:rsidRPr="0038463D">
              <w:rPr>
                <w:rFonts w:asciiTheme="minorHAnsi" w:hAnsiTheme="minorHAnsi"/>
                <w:sz w:val="20"/>
                <w:szCs w:val="20"/>
                <w:lang w:val="en-AU"/>
              </w:rPr>
              <w:t>National</w:t>
            </w:r>
          </w:p>
        </w:tc>
        <w:tc>
          <w:tcPr>
            <w:tcW w:w="1559" w:type="dxa"/>
            <w:vAlign w:val="center"/>
          </w:tcPr>
          <w:p w:rsidR="007168AC" w:rsidRPr="0038463D" w:rsidRDefault="007168AC" w:rsidP="0038463D">
            <w:pPr>
              <w:spacing w:after="0"/>
              <w:jc w:val="center"/>
              <w:rPr>
                <w:rFonts w:asciiTheme="minorHAnsi" w:hAnsiTheme="minorHAnsi"/>
                <w:sz w:val="20"/>
                <w:szCs w:val="20"/>
                <w:lang w:val="en-AU"/>
              </w:rPr>
            </w:pPr>
            <w:r w:rsidRPr="0038463D">
              <w:rPr>
                <w:rFonts w:asciiTheme="minorHAnsi" w:hAnsiTheme="minorHAnsi"/>
                <w:sz w:val="20"/>
                <w:szCs w:val="20"/>
                <w:lang w:val="en-AU"/>
              </w:rPr>
              <w:t>Government commitment</w:t>
            </w:r>
          </w:p>
        </w:tc>
        <w:tc>
          <w:tcPr>
            <w:tcW w:w="993" w:type="dxa"/>
            <w:shd w:val="clear" w:color="auto" w:fill="92D050"/>
            <w:vAlign w:val="center"/>
          </w:tcPr>
          <w:p w:rsidR="007168AC" w:rsidRPr="0038463D" w:rsidRDefault="007168AC" w:rsidP="0038463D">
            <w:pPr>
              <w:spacing w:after="0"/>
              <w:jc w:val="center"/>
              <w:rPr>
                <w:rFonts w:asciiTheme="minorHAnsi" w:hAnsiTheme="minorHAnsi"/>
                <w:bCs/>
                <w:iCs/>
                <w:sz w:val="20"/>
                <w:szCs w:val="20"/>
                <w:lang w:val="en-AU"/>
              </w:rPr>
            </w:pPr>
            <w:r w:rsidRPr="0038463D">
              <w:rPr>
                <w:rFonts w:asciiTheme="minorHAnsi" w:hAnsiTheme="minorHAnsi"/>
                <w:bCs/>
                <w:iCs/>
                <w:sz w:val="20"/>
                <w:szCs w:val="20"/>
                <w:lang w:val="en-AU"/>
              </w:rPr>
              <w:t>Positive</w:t>
            </w:r>
          </w:p>
        </w:tc>
        <w:tc>
          <w:tcPr>
            <w:tcW w:w="4536" w:type="dxa"/>
            <w:tcBorders>
              <w:right w:val="single" w:sz="12" w:space="0" w:color="auto"/>
            </w:tcBorders>
            <w:vAlign w:val="center"/>
          </w:tcPr>
          <w:p w:rsidR="007168AC" w:rsidRPr="0038463D" w:rsidRDefault="007168AC" w:rsidP="0038463D">
            <w:pPr>
              <w:spacing w:after="0"/>
              <w:rPr>
                <w:rFonts w:asciiTheme="minorHAnsi" w:hAnsiTheme="minorHAnsi"/>
                <w:sz w:val="20"/>
                <w:szCs w:val="20"/>
                <w:lang w:val="en-AU"/>
              </w:rPr>
            </w:pPr>
            <w:r w:rsidRPr="0038463D">
              <w:rPr>
                <w:rFonts w:asciiTheme="minorHAnsi" w:hAnsiTheme="minorHAnsi"/>
                <w:b/>
                <w:sz w:val="20"/>
                <w:szCs w:val="20"/>
                <w:lang w:val="en-AU"/>
              </w:rPr>
              <w:t>Comment:</w:t>
            </w:r>
            <w:r w:rsidRPr="0038463D">
              <w:rPr>
                <w:rFonts w:asciiTheme="minorHAnsi" w:hAnsiTheme="minorHAnsi"/>
                <w:sz w:val="20"/>
                <w:szCs w:val="20"/>
                <w:lang w:val="en-AU"/>
              </w:rPr>
              <w:t xml:space="preserve"> Significant growth in allocations as proportion of national expenditure</w:t>
            </w:r>
            <w:r w:rsidR="00BB4059" w:rsidRPr="0038463D">
              <w:rPr>
                <w:rFonts w:asciiTheme="minorHAnsi" w:hAnsiTheme="minorHAnsi"/>
                <w:sz w:val="20"/>
                <w:szCs w:val="20"/>
                <w:lang w:val="en-AU"/>
              </w:rPr>
              <w:t>,</w:t>
            </w:r>
            <w:r w:rsidRPr="0038463D">
              <w:rPr>
                <w:rFonts w:asciiTheme="minorHAnsi" w:hAnsiTheme="minorHAnsi"/>
                <w:sz w:val="20"/>
                <w:szCs w:val="20"/>
                <w:lang w:val="en-AU"/>
              </w:rPr>
              <w:t xml:space="preserve"> </w:t>
            </w:r>
            <w:r w:rsidR="00484B6E" w:rsidRPr="0038463D">
              <w:rPr>
                <w:rFonts w:asciiTheme="minorHAnsi" w:hAnsiTheme="minorHAnsi"/>
                <w:sz w:val="20"/>
                <w:szCs w:val="20"/>
                <w:lang w:val="en-AU"/>
              </w:rPr>
              <w:t>from</w:t>
            </w:r>
            <w:r w:rsidR="00BB4059" w:rsidRPr="0038463D">
              <w:rPr>
                <w:rFonts w:asciiTheme="minorHAnsi" w:hAnsiTheme="minorHAnsi"/>
                <w:sz w:val="20"/>
                <w:szCs w:val="20"/>
                <w:lang w:val="en-AU"/>
              </w:rPr>
              <w:t xml:space="preserve"> 12%</w:t>
            </w:r>
            <w:r w:rsidR="00484B6E" w:rsidRPr="0038463D">
              <w:rPr>
                <w:rFonts w:asciiTheme="minorHAnsi" w:hAnsiTheme="minorHAnsi"/>
                <w:sz w:val="20"/>
                <w:szCs w:val="20"/>
                <w:lang w:val="en-AU"/>
              </w:rPr>
              <w:t xml:space="preserve"> </w:t>
            </w:r>
            <w:r w:rsidRPr="0038463D">
              <w:rPr>
                <w:rFonts w:asciiTheme="minorHAnsi" w:hAnsiTheme="minorHAnsi"/>
                <w:sz w:val="20"/>
                <w:szCs w:val="20"/>
                <w:lang w:val="en-AU"/>
              </w:rPr>
              <w:t>2001 (12%) to 20% by 2012.</w:t>
            </w:r>
            <w:r w:rsidR="004971BD">
              <w:rPr>
                <w:rFonts w:asciiTheme="minorHAnsi" w:hAnsiTheme="minorHAnsi"/>
                <w:sz w:val="20"/>
                <w:szCs w:val="20"/>
                <w:lang w:val="en-AU"/>
              </w:rPr>
              <w:t xml:space="preserve"> </w:t>
            </w:r>
          </w:p>
          <w:p w:rsidR="007168AC" w:rsidRPr="0038463D" w:rsidRDefault="007168AC" w:rsidP="0038463D">
            <w:pPr>
              <w:spacing w:after="0"/>
              <w:rPr>
                <w:rFonts w:asciiTheme="minorHAnsi" w:hAnsiTheme="minorHAnsi"/>
                <w:sz w:val="20"/>
                <w:szCs w:val="20"/>
                <w:lang w:val="en-AU"/>
              </w:rPr>
            </w:pPr>
            <w:r w:rsidRPr="0038463D">
              <w:rPr>
                <w:rFonts w:asciiTheme="minorHAnsi" w:hAnsiTheme="minorHAnsi"/>
                <w:b/>
                <w:sz w:val="20"/>
                <w:szCs w:val="20"/>
                <w:lang w:val="en-AU"/>
              </w:rPr>
              <w:t xml:space="preserve">Implications: </w:t>
            </w:r>
            <w:r w:rsidRPr="0038463D">
              <w:rPr>
                <w:rFonts w:asciiTheme="minorHAnsi" w:hAnsiTheme="minorHAnsi"/>
                <w:sz w:val="20"/>
                <w:szCs w:val="20"/>
                <w:lang w:val="en-AU"/>
              </w:rPr>
              <w:t>Stable growth in education financing is positive for further investment.</w:t>
            </w:r>
          </w:p>
        </w:tc>
      </w:tr>
      <w:tr w:rsidR="005A1995" w:rsidRPr="0038463D" w:rsidTr="005A1995">
        <w:trPr>
          <w:jc w:val="center"/>
        </w:trPr>
        <w:tc>
          <w:tcPr>
            <w:tcW w:w="2093" w:type="dxa"/>
            <w:tcBorders>
              <w:left w:val="single" w:sz="12" w:space="0" w:color="auto"/>
            </w:tcBorders>
            <w:vAlign w:val="center"/>
          </w:tcPr>
          <w:p w:rsidR="007168AC" w:rsidRPr="0038463D" w:rsidRDefault="007168AC" w:rsidP="0038463D">
            <w:pPr>
              <w:spacing w:after="0"/>
              <w:rPr>
                <w:rFonts w:asciiTheme="minorHAnsi" w:hAnsiTheme="minorHAnsi"/>
                <w:sz w:val="20"/>
                <w:szCs w:val="20"/>
                <w:lang w:val="en-AU"/>
              </w:rPr>
            </w:pPr>
            <w:r w:rsidRPr="0038463D">
              <w:rPr>
                <w:rFonts w:asciiTheme="minorHAnsi" w:hAnsiTheme="minorHAnsi"/>
                <w:sz w:val="20"/>
                <w:szCs w:val="20"/>
                <w:lang w:val="en-AU"/>
              </w:rPr>
              <w:t xml:space="preserve">KPI 2 </w:t>
            </w:r>
          </w:p>
          <w:p w:rsidR="007168AC" w:rsidRPr="0038463D" w:rsidRDefault="007168AC" w:rsidP="0038463D">
            <w:pPr>
              <w:spacing w:after="0"/>
              <w:rPr>
                <w:rFonts w:asciiTheme="minorHAnsi" w:hAnsiTheme="minorHAnsi"/>
                <w:sz w:val="20"/>
                <w:szCs w:val="20"/>
                <w:lang w:val="en-AU"/>
              </w:rPr>
            </w:pPr>
            <w:r w:rsidRPr="0038463D">
              <w:rPr>
                <w:rFonts w:asciiTheme="minorHAnsi" w:hAnsiTheme="minorHAnsi"/>
                <w:sz w:val="20"/>
                <w:szCs w:val="20"/>
                <w:lang w:val="en-AU"/>
              </w:rPr>
              <w:t>Share of GDP</w:t>
            </w:r>
          </w:p>
        </w:tc>
        <w:tc>
          <w:tcPr>
            <w:tcW w:w="2835" w:type="dxa"/>
            <w:vAlign w:val="center"/>
          </w:tcPr>
          <w:p w:rsidR="007168AC" w:rsidRPr="0038463D" w:rsidRDefault="007168AC" w:rsidP="0038463D">
            <w:pPr>
              <w:spacing w:after="0"/>
              <w:rPr>
                <w:rFonts w:asciiTheme="minorHAnsi" w:hAnsiTheme="minorHAnsi"/>
                <w:sz w:val="20"/>
                <w:szCs w:val="20"/>
                <w:lang w:val="en-AU"/>
              </w:rPr>
            </w:pPr>
            <w:r w:rsidRPr="0038463D">
              <w:rPr>
                <w:rFonts w:asciiTheme="minorHAnsi" w:hAnsiTheme="minorHAnsi"/>
                <w:sz w:val="20"/>
                <w:szCs w:val="20"/>
                <w:lang w:val="en-AU"/>
              </w:rPr>
              <w:t xml:space="preserve">Public expenditure on education as percentage of GDP </w:t>
            </w:r>
          </w:p>
        </w:tc>
        <w:tc>
          <w:tcPr>
            <w:tcW w:w="992" w:type="dxa"/>
            <w:vAlign w:val="center"/>
          </w:tcPr>
          <w:p w:rsidR="007168AC" w:rsidRPr="0038463D" w:rsidRDefault="007168AC" w:rsidP="0038463D">
            <w:pPr>
              <w:spacing w:after="0"/>
              <w:jc w:val="center"/>
              <w:rPr>
                <w:rFonts w:asciiTheme="minorHAnsi" w:hAnsiTheme="minorHAnsi"/>
                <w:sz w:val="20"/>
                <w:szCs w:val="20"/>
                <w:lang w:val="en-AU"/>
              </w:rPr>
            </w:pPr>
            <w:r w:rsidRPr="0038463D">
              <w:rPr>
                <w:rFonts w:asciiTheme="minorHAnsi" w:hAnsiTheme="minorHAnsi"/>
                <w:sz w:val="20"/>
                <w:szCs w:val="20"/>
                <w:lang w:val="en-AU"/>
              </w:rPr>
              <w:t>National</w:t>
            </w:r>
          </w:p>
          <w:p w:rsidR="007168AC" w:rsidRPr="0038463D" w:rsidRDefault="007168AC" w:rsidP="0038463D">
            <w:pPr>
              <w:spacing w:after="0"/>
              <w:jc w:val="center"/>
              <w:rPr>
                <w:rFonts w:asciiTheme="minorHAnsi" w:hAnsiTheme="minorHAnsi"/>
                <w:sz w:val="20"/>
                <w:szCs w:val="20"/>
                <w:lang w:val="en-AU"/>
              </w:rPr>
            </w:pPr>
          </w:p>
        </w:tc>
        <w:tc>
          <w:tcPr>
            <w:tcW w:w="1559" w:type="dxa"/>
            <w:vAlign w:val="center"/>
          </w:tcPr>
          <w:p w:rsidR="007168AC" w:rsidRPr="0038463D" w:rsidRDefault="007168AC" w:rsidP="0038463D">
            <w:pPr>
              <w:spacing w:after="0"/>
              <w:jc w:val="center"/>
              <w:rPr>
                <w:rFonts w:asciiTheme="minorHAnsi" w:hAnsiTheme="minorHAnsi"/>
                <w:sz w:val="20"/>
                <w:szCs w:val="20"/>
                <w:lang w:val="en-AU"/>
              </w:rPr>
            </w:pPr>
            <w:r w:rsidRPr="0038463D">
              <w:rPr>
                <w:rFonts w:asciiTheme="minorHAnsi" w:hAnsiTheme="minorHAnsi"/>
                <w:sz w:val="20"/>
                <w:szCs w:val="20"/>
                <w:lang w:val="en-AU"/>
              </w:rPr>
              <w:t>Government commitment</w:t>
            </w:r>
          </w:p>
        </w:tc>
        <w:tc>
          <w:tcPr>
            <w:tcW w:w="993" w:type="dxa"/>
            <w:shd w:val="clear" w:color="auto" w:fill="92D050"/>
            <w:vAlign w:val="center"/>
          </w:tcPr>
          <w:p w:rsidR="007168AC" w:rsidRPr="0038463D" w:rsidRDefault="007168AC" w:rsidP="0038463D">
            <w:pPr>
              <w:spacing w:after="0"/>
              <w:jc w:val="center"/>
              <w:rPr>
                <w:rFonts w:asciiTheme="minorHAnsi" w:hAnsiTheme="minorHAnsi"/>
                <w:bCs/>
                <w:iCs/>
                <w:sz w:val="20"/>
                <w:szCs w:val="20"/>
                <w:lang w:val="en-AU"/>
              </w:rPr>
            </w:pPr>
            <w:r w:rsidRPr="0038463D">
              <w:rPr>
                <w:rFonts w:asciiTheme="minorHAnsi" w:hAnsiTheme="minorHAnsi"/>
                <w:bCs/>
                <w:iCs/>
                <w:sz w:val="20"/>
                <w:szCs w:val="20"/>
                <w:lang w:val="en-AU"/>
              </w:rPr>
              <w:t>Positive</w:t>
            </w:r>
          </w:p>
        </w:tc>
        <w:tc>
          <w:tcPr>
            <w:tcW w:w="4536" w:type="dxa"/>
            <w:tcBorders>
              <w:right w:val="single" w:sz="12" w:space="0" w:color="auto"/>
            </w:tcBorders>
            <w:vAlign w:val="center"/>
          </w:tcPr>
          <w:p w:rsidR="007168AC" w:rsidRPr="0038463D" w:rsidRDefault="007168AC" w:rsidP="0038463D">
            <w:pPr>
              <w:spacing w:after="0"/>
              <w:rPr>
                <w:rFonts w:asciiTheme="minorHAnsi" w:hAnsiTheme="minorHAnsi"/>
                <w:sz w:val="20"/>
                <w:szCs w:val="20"/>
                <w:lang w:val="en-AU"/>
              </w:rPr>
            </w:pPr>
            <w:r w:rsidRPr="0038463D">
              <w:rPr>
                <w:rFonts w:asciiTheme="minorHAnsi" w:hAnsiTheme="minorHAnsi"/>
                <w:b/>
                <w:sz w:val="20"/>
                <w:szCs w:val="20"/>
                <w:lang w:val="en-AU"/>
              </w:rPr>
              <w:t>Comment:</w:t>
            </w:r>
            <w:r w:rsidRPr="0038463D">
              <w:rPr>
                <w:rFonts w:asciiTheme="minorHAnsi" w:hAnsiTheme="minorHAnsi"/>
                <w:sz w:val="20"/>
                <w:szCs w:val="20"/>
                <w:lang w:val="en-AU"/>
              </w:rPr>
              <w:t xml:space="preserve"> Education expenditure</w:t>
            </w:r>
            <w:r w:rsidR="002D0F83" w:rsidRPr="0038463D">
              <w:rPr>
                <w:rFonts w:asciiTheme="minorHAnsi" w:hAnsiTheme="minorHAnsi"/>
                <w:sz w:val="20"/>
                <w:szCs w:val="20"/>
                <w:lang w:val="en-AU"/>
              </w:rPr>
              <w:t>,</w:t>
            </w:r>
            <w:r w:rsidRPr="0038463D">
              <w:rPr>
                <w:rFonts w:asciiTheme="minorHAnsi" w:hAnsiTheme="minorHAnsi"/>
                <w:sz w:val="20"/>
                <w:szCs w:val="20"/>
                <w:lang w:val="en-AU"/>
              </w:rPr>
              <w:t xml:space="preserve"> as a proportion of GDP</w:t>
            </w:r>
            <w:r w:rsidR="002D0F83" w:rsidRPr="0038463D">
              <w:rPr>
                <w:rFonts w:asciiTheme="minorHAnsi" w:hAnsiTheme="minorHAnsi"/>
                <w:sz w:val="20"/>
                <w:szCs w:val="20"/>
                <w:lang w:val="en-AU"/>
              </w:rPr>
              <w:t>,</w:t>
            </w:r>
            <w:r w:rsidRPr="0038463D">
              <w:rPr>
                <w:rFonts w:asciiTheme="minorHAnsi" w:hAnsiTheme="minorHAnsi"/>
                <w:sz w:val="20"/>
                <w:szCs w:val="20"/>
                <w:lang w:val="en-AU"/>
              </w:rPr>
              <w:t xml:space="preserve"> increased from 3.3% in 2011 to 3.5% in 2012.</w:t>
            </w:r>
          </w:p>
        </w:tc>
      </w:tr>
      <w:tr w:rsidR="005A1995" w:rsidRPr="0038463D" w:rsidTr="005A1995">
        <w:trPr>
          <w:jc w:val="center"/>
        </w:trPr>
        <w:tc>
          <w:tcPr>
            <w:tcW w:w="2093" w:type="dxa"/>
            <w:tcBorders>
              <w:left w:val="single" w:sz="12" w:space="0" w:color="auto"/>
            </w:tcBorders>
            <w:vAlign w:val="center"/>
          </w:tcPr>
          <w:p w:rsidR="007168AC" w:rsidRPr="0038463D" w:rsidRDefault="007168AC" w:rsidP="0038463D">
            <w:pPr>
              <w:spacing w:after="0"/>
              <w:rPr>
                <w:rFonts w:asciiTheme="minorHAnsi" w:hAnsiTheme="minorHAnsi"/>
                <w:sz w:val="20"/>
                <w:szCs w:val="20"/>
                <w:lang w:val="en-AU"/>
              </w:rPr>
            </w:pPr>
            <w:r w:rsidRPr="0038463D">
              <w:rPr>
                <w:rFonts w:asciiTheme="minorHAnsi" w:hAnsiTheme="minorHAnsi"/>
                <w:sz w:val="20"/>
                <w:szCs w:val="20"/>
                <w:lang w:val="en-AU"/>
              </w:rPr>
              <w:t xml:space="preserve">KPI 3 </w:t>
            </w:r>
          </w:p>
          <w:p w:rsidR="007168AC" w:rsidRPr="0038463D" w:rsidRDefault="007168AC" w:rsidP="0038463D">
            <w:pPr>
              <w:spacing w:after="0"/>
              <w:rPr>
                <w:rFonts w:asciiTheme="minorHAnsi" w:hAnsiTheme="minorHAnsi"/>
                <w:sz w:val="20"/>
                <w:szCs w:val="20"/>
                <w:lang w:val="en-AU"/>
              </w:rPr>
            </w:pPr>
            <w:r w:rsidRPr="0038463D">
              <w:rPr>
                <w:rFonts w:asciiTheme="minorHAnsi" w:hAnsiTheme="minorHAnsi"/>
                <w:sz w:val="20"/>
                <w:szCs w:val="20"/>
                <w:lang w:val="en-AU"/>
              </w:rPr>
              <w:t>Share of non-salary resources</w:t>
            </w:r>
          </w:p>
        </w:tc>
        <w:tc>
          <w:tcPr>
            <w:tcW w:w="2835" w:type="dxa"/>
            <w:vAlign w:val="center"/>
          </w:tcPr>
          <w:p w:rsidR="007168AC" w:rsidRPr="0038463D" w:rsidRDefault="007168AC" w:rsidP="0038463D">
            <w:pPr>
              <w:spacing w:after="0"/>
              <w:rPr>
                <w:rFonts w:asciiTheme="minorHAnsi" w:hAnsiTheme="minorHAnsi"/>
                <w:sz w:val="20"/>
                <w:szCs w:val="20"/>
                <w:lang w:val="en-AU"/>
              </w:rPr>
            </w:pPr>
            <w:r w:rsidRPr="0038463D">
              <w:rPr>
                <w:rFonts w:asciiTheme="minorHAnsi" w:hAnsiTheme="minorHAnsi"/>
                <w:sz w:val="20"/>
                <w:szCs w:val="20"/>
                <w:lang w:val="en-AU"/>
              </w:rPr>
              <w:t>% share of education budget spending on non-salary costs.</w:t>
            </w:r>
          </w:p>
        </w:tc>
        <w:tc>
          <w:tcPr>
            <w:tcW w:w="992" w:type="dxa"/>
            <w:vAlign w:val="center"/>
          </w:tcPr>
          <w:p w:rsidR="007168AC" w:rsidRPr="0038463D" w:rsidRDefault="007168AC" w:rsidP="0038463D">
            <w:pPr>
              <w:spacing w:after="0"/>
              <w:jc w:val="center"/>
              <w:rPr>
                <w:rFonts w:asciiTheme="minorHAnsi" w:hAnsiTheme="minorHAnsi"/>
                <w:sz w:val="20"/>
                <w:szCs w:val="20"/>
                <w:lang w:val="en-AU"/>
              </w:rPr>
            </w:pPr>
            <w:r w:rsidRPr="0038463D">
              <w:rPr>
                <w:rFonts w:asciiTheme="minorHAnsi" w:hAnsiTheme="minorHAnsi"/>
                <w:sz w:val="20"/>
                <w:szCs w:val="20"/>
                <w:lang w:val="en-AU"/>
              </w:rPr>
              <w:t>National</w:t>
            </w:r>
          </w:p>
        </w:tc>
        <w:tc>
          <w:tcPr>
            <w:tcW w:w="1559" w:type="dxa"/>
            <w:vAlign w:val="center"/>
          </w:tcPr>
          <w:p w:rsidR="007168AC" w:rsidRPr="0038463D" w:rsidRDefault="007168AC" w:rsidP="0038463D">
            <w:pPr>
              <w:spacing w:after="0"/>
              <w:jc w:val="center"/>
              <w:rPr>
                <w:rFonts w:asciiTheme="minorHAnsi" w:hAnsiTheme="minorHAnsi"/>
                <w:sz w:val="20"/>
                <w:szCs w:val="20"/>
                <w:lang w:val="en-AU"/>
              </w:rPr>
            </w:pPr>
            <w:r w:rsidRPr="0038463D">
              <w:rPr>
                <w:rFonts w:asciiTheme="minorHAnsi" w:hAnsiTheme="minorHAnsi"/>
                <w:sz w:val="20"/>
                <w:szCs w:val="20"/>
                <w:lang w:val="en-AU"/>
              </w:rPr>
              <w:t>Quality</w:t>
            </w:r>
          </w:p>
        </w:tc>
        <w:tc>
          <w:tcPr>
            <w:tcW w:w="993" w:type="dxa"/>
            <w:shd w:val="clear" w:color="auto" w:fill="92D050"/>
            <w:vAlign w:val="center"/>
          </w:tcPr>
          <w:p w:rsidR="007168AC" w:rsidRPr="0038463D" w:rsidRDefault="007168AC" w:rsidP="0038463D">
            <w:pPr>
              <w:spacing w:after="0"/>
              <w:jc w:val="center"/>
              <w:rPr>
                <w:rFonts w:asciiTheme="minorHAnsi" w:hAnsiTheme="minorHAnsi"/>
                <w:bCs/>
                <w:iCs/>
                <w:sz w:val="20"/>
                <w:szCs w:val="20"/>
                <w:lang w:val="en-AU"/>
              </w:rPr>
            </w:pPr>
            <w:r w:rsidRPr="0038463D">
              <w:rPr>
                <w:rFonts w:asciiTheme="minorHAnsi" w:hAnsiTheme="minorHAnsi"/>
                <w:bCs/>
                <w:iCs/>
                <w:sz w:val="20"/>
                <w:szCs w:val="20"/>
                <w:lang w:val="en-AU"/>
              </w:rPr>
              <w:t>Positive</w:t>
            </w:r>
          </w:p>
        </w:tc>
        <w:tc>
          <w:tcPr>
            <w:tcW w:w="4536" w:type="dxa"/>
            <w:tcBorders>
              <w:right w:val="single" w:sz="12" w:space="0" w:color="auto"/>
            </w:tcBorders>
            <w:vAlign w:val="center"/>
          </w:tcPr>
          <w:p w:rsidR="007168AC" w:rsidRPr="0038463D" w:rsidRDefault="007168AC" w:rsidP="0038463D">
            <w:pPr>
              <w:spacing w:after="0"/>
              <w:rPr>
                <w:rFonts w:asciiTheme="minorHAnsi" w:hAnsiTheme="minorHAnsi"/>
                <w:sz w:val="20"/>
                <w:szCs w:val="20"/>
                <w:lang w:val="en-AU"/>
              </w:rPr>
            </w:pPr>
            <w:r w:rsidRPr="0038463D">
              <w:rPr>
                <w:rFonts w:asciiTheme="minorHAnsi" w:hAnsiTheme="minorHAnsi"/>
                <w:b/>
                <w:sz w:val="20"/>
                <w:szCs w:val="20"/>
                <w:lang w:val="en-AU"/>
              </w:rPr>
              <w:t>Comment:</w:t>
            </w:r>
            <w:r w:rsidRPr="0038463D">
              <w:rPr>
                <w:rFonts w:asciiTheme="minorHAnsi" w:hAnsiTheme="minorHAnsi"/>
                <w:sz w:val="20"/>
                <w:szCs w:val="20"/>
                <w:lang w:val="en-AU"/>
              </w:rPr>
              <w:t xml:space="preserve"> </w:t>
            </w:r>
            <w:r w:rsidR="00A81878">
              <w:rPr>
                <w:rFonts w:asciiTheme="minorHAnsi" w:hAnsiTheme="minorHAnsi"/>
                <w:sz w:val="20"/>
                <w:szCs w:val="20"/>
                <w:lang w:val="en-AU"/>
              </w:rPr>
              <w:t xml:space="preserve">No new data available for 2012. </w:t>
            </w:r>
            <w:r w:rsidRPr="0038463D">
              <w:rPr>
                <w:rFonts w:asciiTheme="minorHAnsi" w:hAnsiTheme="minorHAnsi"/>
                <w:sz w:val="20"/>
                <w:szCs w:val="20"/>
                <w:lang w:val="en-AU"/>
              </w:rPr>
              <w:t>Non-salary share of expenditures in 2011 increased to 25% of total district level expenditures</w:t>
            </w:r>
            <w:r w:rsidR="00827B97" w:rsidRPr="0038463D">
              <w:rPr>
                <w:rFonts w:asciiTheme="minorHAnsi" w:hAnsiTheme="minorHAnsi"/>
                <w:sz w:val="20"/>
                <w:szCs w:val="20"/>
                <w:lang w:val="en-AU"/>
              </w:rPr>
              <w:t xml:space="preserve"> (up from 13% in 2010)</w:t>
            </w:r>
            <w:r w:rsidRPr="0038463D">
              <w:rPr>
                <w:rFonts w:asciiTheme="minorHAnsi" w:hAnsiTheme="minorHAnsi"/>
                <w:sz w:val="20"/>
                <w:szCs w:val="20"/>
                <w:lang w:val="en-AU"/>
              </w:rPr>
              <w:t xml:space="preserve">. </w:t>
            </w:r>
          </w:p>
          <w:p w:rsidR="007168AC" w:rsidRPr="0038463D" w:rsidRDefault="007168AC" w:rsidP="0038463D">
            <w:pPr>
              <w:spacing w:after="0"/>
              <w:rPr>
                <w:rFonts w:asciiTheme="minorHAnsi" w:hAnsiTheme="minorHAnsi"/>
                <w:sz w:val="20"/>
                <w:szCs w:val="20"/>
                <w:lang w:val="en-AU"/>
              </w:rPr>
            </w:pPr>
            <w:r w:rsidRPr="0038463D">
              <w:rPr>
                <w:rFonts w:asciiTheme="minorHAnsi" w:hAnsiTheme="minorHAnsi"/>
                <w:b/>
                <w:sz w:val="20"/>
                <w:szCs w:val="20"/>
                <w:lang w:val="en-AU"/>
              </w:rPr>
              <w:t xml:space="preserve">Implications: </w:t>
            </w:r>
            <w:r w:rsidRPr="0038463D">
              <w:rPr>
                <w:rFonts w:asciiTheme="minorHAnsi" w:hAnsiTheme="minorHAnsi"/>
                <w:sz w:val="20"/>
                <w:szCs w:val="20"/>
                <w:lang w:val="en-AU"/>
              </w:rPr>
              <w:t>Growth in budget is not being solely consumed by salaries. New budget allocations were especially strong for capital items.</w:t>
            </w:r>
          </w:p>
        </w:tc>
      </w:tr>
      <w:tr w:rsidR="005A1995" w:rsidRPr="0038463D" w:rsidTr="005A1995">
        <w:trPr>
          <w:jc w:val="center"/>
        </w:trPr>
        <w:tc>
          <w:tcPr>
            <w:tcW w:w="2093" w:type="dxa"/>
            <w:tcBorders>
              <w:left w:val="single" w:sz="12" w:space="0" w:color="auto"/>
            </w:tcBorders>
            <w:vAlign w:val="center"/>
          </w:tcPr>
          <w:p w:rsidR="007168AC" w:rsidRPr="0038463D" w:rsidRDefault="007168AC" w:rsidP="0038463D">
            <w:pPr>
              <w:spacing w:after="0"/>
              <w:rPr>
                <w:rFonts w:asciiTheme="minorHAnsi" w:hAnsiTheme="minorHAnsi"/>
                <w:sz w:val="20"/>
                <w:szCs w:val="20"/>
                <w:lang w:val="en-AU"/>
              </w:rPr>
            </w:pPr>
            <w:r w:rsidRPr="0038463D">
              <w:rPr>
                <w:rFonts w:asciiTheme="minorHAnsi" w:hAnsiTheme="minorHAnsi"/>
                <w:sz w:val="20"/>
                <w:szCs w:val="20"/>
                <w:lang w:val="en-AU"/>
              </w:rPr>
              <w:t xml:space="preserve">KPI 4 </w:t>
            </w:r>
          </w:p>
          <w:p w:rsidR="007168AC" w:rsidRPr="0038463D" w:rsidRDefault="007168AC" w:rsidP="0038463D">
            <w:pPr>
              <w:spacing w:after="0"/>
              <w:rPr>
                <w:rFonts w:asciiTheme="minorHAnsi" w:hAnsiTheme="minorHAnsi"/>
                <w:sz w:val="20"/>
                <w:szCs w:val="20"/>
                <w:lang w:val="en-AU"/>
              </w:rPr>
            </w:pPr>
            <w:r w:rsidRPr="0038463D">
              <w:rPr>
                <w:rFonts w:asciiTheme="minorHAnsi" w:hAnsiTheme="minorHAnsi"/>
                <w:sz w:val="20"/>
                <w:szCs w:val="20"/>
                <w:lang w:val="en-AU"/>
              </w:rPr>
              <w:t xml:space="preserve">National commitment </w:t>
            </w:r>
            <w:r w:rsidR="002D0F83" w:rsidRPr="0038463D">
              <w:rPr>
                <w:rFonts w:asciiTheme="minorHAnsi" w:hAnsiTheme="minorHAnsi"/>
                <w:sz w:val="20"/>
                <w:szCs w:val="20"/>
                <w:lang w:val="en-AU"/>
              </w:rPr>
              <w:t xml:space="preserve">to </w:t>
            </w:r>
            <w:r w:rsidRPr="0038463D">
              <w:rPr>
                <w:rFonts w:asciiTheme="minorHAnsi" w:hAnsiTheme="minorHAnsi"/>
                <w:sz w:val="20"/>
                <w:szCs w:val="20"/>
                <w:lang w:val="en-AU"/>
              </w:rPr>
              <w:t>non-formal learning</w:t>
            </w:r>
          </w:p>
        </w:tc>
        <w:tc>
          <w:tcPr>
            <w:tcW w:w="2835" w:type="dxa"/>
            <w:vAlign w:val="center"/>
          </w:tcPr>
          <w:p w:rsidR="007168AC" w:rsidRPr="0038463D" w:rsidRDefault="007168AC" w:rsidP="0038463D">
            <w:pPr>
              <w:spacing w:after="0"/>
              <w:rPr>
                <w:rFonts w:asciiTheme="minorHAnsi" w:hAnsiTheme="minorHAnsi"/>
                <w:sz w:val="20"/>
                <w:szCs w:val="20"/>
                <w:lang w:val="en-AU"/>
              </w:rPr>
            </w:pPr>
            <w:r w:rsidRPr="0038463D">
              <w:rPr>
                <w:rFonts w:asciiTheme="minorHAnsi" w:hAnsiTheme="minorHAnsi"/>
                <w:sz w:val="20"/>
                <w:szCs w:val="20"/>
                <w:lang w:val="en-AU"/>
              </w:rPr>
              <w:t>Public expenditure on literacy and non-formal education (NFE)</w:t>
            </w:r>
            <w:r w:rsidR="004971BD">
              <w:rPr>
                <w:rFonts w:asciiTheme="minorHAnsi" w:hAnsiTheme="minorHAnsi"/>
                <w:sz w:val="20"/>
                <w:szCs w:val="20"/>
                <w:lang w:val="en-AU"/>
              </w:rPr>
              <w:t xml:space="preserve"> </w:t>
            </w:r>
            <w:r w:rsidRPr="0038463D">
              <w:rPr>
                <w:rFonts w:asciiTheme="minorHAnsi" w:hAnsiTheme="minorHAnsi"/>
                <w:sz w:val="20"/>
                <w:szCs w:val="20"/>
                <w:lang w:val="en-AU"/>
              </w:rPr>
              <w:t>as percentage of public expenditure on education</w:t>
            </w:r>
          </w:p>
        </w:tc>
        <w:tc>
          <w:tcPr>
            <w:tcW w:w="992" w:type="dxa"/>
            <w:vAlign w:val="center"/>
          </w:tcPr>
          <w:p w:rsidR="007168AC" w:rsidRPr="0038463D" w:rsidRDefault="007168AC" w:rsidP="0038463D">
            <w:pPr>
              <w:spacing w:after="0"/>
              <w:jc w:val="center"/>
              <w:rPr>
                <w:rFonts w:asciiTheme="minorHAnsi" w:hAnsiTheme="minorHAnsi"/>
                <w:sz w:val="20"/>
                <w:szCs w:val="20"/>
                <w:lang w:val="en-AU"/>
              </w:rPr>
            </w:pPr>
            <w:r w:rsidRPr="0038463D">
              <w:rPr>
                <w:rFonts w:asciiTheme="minorHAnsi" w:hAnsiTheme="minorHAnsi"/>
                <w:sz w:val="20"/>
                <w:szCs w:val="20"/>
                <w:lang w:val="en-AU"/>
              </w:rPr>
              <w:t>National</w:t>
            </w:r>
          </w:p>
        </w:tc>
        <w:tc>
          <w:tcPr>
            <w:tcW w:w="1559" w:type="dxa"/>
            <w:vAlign w:val="center"/>
          </w:tcPr>
          <w:p w:rsidR="007168AC" w:rsidRPr="0038463D" w:rsidRDefault="007168AC" w:rsidP="0038463D">
            <w:pPr>
              <w:spacing w:after="0"/>
              <w:jc w:val="center"/>
              <w:rPr>
                <w:rFonts w:asciiTheme="minorHAnsi" w:hAnsiTheme="minorHAnsi"/>
                <w:sz w:val="20"/>
                <w:szCs w:val="20"/>
                <w:lang w:val="en-AU"/>
              </w:rPr>
            </w:pPr>
            <w:r w:rsidRPr="0038463D">
              <w:rPr>
                <w:rFonts w:asciiTheme="minorHAnsi" w:hAnsiTheme="minorHAnsi"/>
                <w:sz w:val="20"/>
                <w:szCs w:val="20"/>
                <w:lang w:val="en-AU"/>
              </w:rPr>
              <w:t>Equity/access</w:t>
            </w:r>
          </w:p>
        </w:tc>
        <w:tc>
          <w:tcPr>
            <w:tcW w:w="993" w:type="dxa"/>
            <w:shd w:val="clear" w:color="auto" w:fill="FF0000"/>
            <w:vAlign w:val="center"/>
          </w:tcPr>
          <w:p w:rsidR="007168AC" w:rsidRPr="0038463D" w:rsidRDefault="007168AC" w:rsidP="0038463D">
            <w:pPr>
              <w:spacing w:after="0"/>
              <w:jc w:val="center"/>
              <w:rPr>
                <w:rFonts w:asciiTheme="minorHAnsi" w:hAnsiTheme="minorHAnsi"/>
                <w:sz w:val="20"/>
                <w:szCs w:val="20"/>
                <w:lang w:val="en-AU"/>
              </w:rPr>
            </w:pPr>
            <w:r w:rsidRPr="0038463D">
              <w:rPr>
                <w:rFonts w:asciiTheme="minorHAnsi" w:hAnsiTheme="minorHAnsi"/>
                <w:sz w:val="20"/>
                <w:szCs w:val="20"/>
                <w:lang w:val="en-AU"/>
              </w:rPr>
              <w:t>Negative</w:t>
            </w:r>
          </w:p>
        </w:tc>
        <w:tc>
          <w:tcPr>
            <w:tcW w:w="4536" w:type="dxa"/>
            <w:tcBorders>
              <w:right w:val="single" w:sz="12" w:space="0" w:color="auto"/>
            </w:tcBorders>
            <w:vAlign w:val="center"/>
          </w:tcPr>
          <w:p w:rsidR="007168AC" w:rsidRPr="0038463D" w:rsidRDefault="007168AC" w:rsidP="0038463D">
            <w:pPr>
              <w:spacing w:after="0"/>
              <w:rPr>
                <w:rFonts w:asciiTheme="minorHAnsi" w:hAnsiTheme="minorHAnsi"/>
                <w:sz w:val="20"/>
                <w:szCs w:val="20"/>
                <w:lang w:val="en-AU"/>
              </w:rPr>
            </w:pPr>
            <w:r w:rsidRPr="0038463D">
              <w:rPr>
                <w:rFonts w:asciiTheme="minorHAnsi" w:hAnsiTheme="minorHAnsi"/>
                <w:b/>
                <w:sz w:val="20"/>
                <w:szCs w:val="20"/>
                <w:lang w:val="en-AU"/>
              </w:rPr>
              <w:t>Comment:</w:t>
            </w:r>
            <w:r w:rsidRPr="0038463D">
              <w:rPr>
                <w:rFonts w:asciiTheme="minorHAnsi" w:hAnsiTheme="minorHAnsi"/>
                <w:sz w:val="20"/>
                <w:szCs w:val="20"/>
                <w:lang w:val="en-AU"/>
              </w:rPr>
              <w:t xml:space="preserve"> </w:t>
            </w:r>
            <w:r w:rsidR="00A81878">
              <w:rPr>
                <w:rFonts w:asciiTheme="minorHAnsi" w:hAnsiTheme="minorHAnsi"/>
                <w:sz w:val="20"/>
                <w:szCs w:val="20"/>
                <w:lang w:val="en-AU"/>
              </w:rPr>
              <w:t xml:space="preserve">No new data available for 2012. </w:t>
            </w:r>
            <w:r w:rsidRPr="0038463D">
              <w:rPr>
                <w:rFonts w:asciiTheme="minorHAnsi" w:hAnsiTheme="minorHAnsi"/>
                <w:sz w:val="20"/>
                <w:szCs w:val="20"/>
                <w:lang w:val="en-AU"/>
              </w:rPr>
              <w:t xml:space="preserve">NFE expenditure is approximately 1% of total expenditure for education. </w:t>
            </w:r>
          </w:p>
          <w:p w:rsidR="007168AC" w:rsidRPr="0038463D" w:rsidRDefault="007168AC" w:rsidP="0038463D">
            <w:pPr>
              <w:spacing w:after="0"/>
              <w:rPr>
                <w:rFonts w:asciiTheme="minorHAnsi" w:hAnsiTheme="minorHAnsi"/>
                <w:sz w:val="20"/>
                <w:szCs w:val="20"/>
                <w:lang w:val="en-AU"/>
              </w:rPr>
            </w:pPr>
            <w:r w:rsidRPr="0038463D">
              <w:rPr>
                <w:rFonts w:asciiTheme="minorHAnsi" w:hAnsiTheme="minorHAnsi"/>
                <w:b/>
                <w:sz w:val="20"/>
                <w:szCs w:val="20"/>
                <w:lang w:val="en-AU"/>
              </w:rPr>
              <w:t xml:space="preserve">Implications: </w:t>
            </w:r>
            <w:r w:rsidRPr="0038463D">
              <w:rPr>
                <w:rFonts w:asciiTheme="minorHAnsi" w:hAnsiTheme="minorHAnsi"/>
                <w:sz w:val="20"/>
                <w:szCs w:val="20"/>
                <w:lang w:val="en-AU"/>
              </w:rPr>
              <w:t>Key advantage of NFE is its cost-effectiveness; increased levels of investment are needed to maximise possible economic and social returns.</w:t>
            </w:r>
          </w:p>
        </w:tc>
      </w:tr>
      <w:tr w:rsidR="005A1995" w:rsidRPr="0038463D" w:rsidTr="005A1995">
        <w:trPr>
          <w:jc w:val="center"/>
        </w:trPr>
        <w:tc>
          <w:tcPr>
            <w:tcW w:w="2093" w:type="dxa"/>
            <w:tcBorders>
              <w:left w:val="single" w:sz="12" w:space="0" w:color="auto"/>
            </w:tcBorders>
            <w:vAlign w:val="center"/>
          </w:tcPr>
          <w:p w:rsidR="007168AC" w:rsidRPr="0038463D" w:rsidRDefault="007168AC" w:rsidP="0038463D">
            <w:pPr>
              <w:spacing w:after="0"/>
              <w:rPr>
                <w:rFonts w:asciiTheme="minorHAnsi" w:hAnsiTheme="minorHAnsi"/>
                <w:sz w:val="20"/>
                <w:szCs w:val="20"/>
                <w:lang w:val="en-AU"/>
              </w:rPr>
            </w:pPr>
            <w:r w:rsidRPr="0038463D">
              <w:rPr>
                <w:rFonts w:asciiTheme="minorHAnsi" w:hAnsiTheme="minorHAnsi"/>
                <w:sz w:val="20"/>
                <w:szCs w:val="20"/>
                <w:lang w:val="en-AU"/>
              </w:rPr>
              <w:t xml:space="preserve">KPI 5 </w:t>
            </w:r>
          </w:p>
          <w:p w:rsidR="007168AC" w:rsidRPr="0038463D" w:rsidRDefault="007168AC" w:rsidP="0038463D">
            <w:pPr>
              <w:spacing w:after="0"/>
              <w:rPr>
                <w:rFonts w:asciiTheme="minorHAnsi" w:hAnsiTheme="minorHAnsi"/>
                <w:sz w:val="20"/>
                <w:szCs w:val="20"/>
                <w:lang w:val="en-AU"/>
              </w:rPr>
            </w:pPr>
            <w:r w:rsidRPr="0038463D">
              <w:rPr>
                <w:rFonts w:asciiTheme="minorHAnsi" w:hAnsiTheme="minorHAnsi"/>
                <w:sz w:val="20"/>
                <w:szCs w:val="20"/>
                <w:lang w:val="en-AU"/>
              </w:rPr>
              <w:t>Commitment to basic education relative to national wealth</w:t>
            </w:r>
          </w:p>
        </w:tc>
        <w:tc>
          <w:tcPr>
            <w:tcW w:w="2835" w:type="dxa"/>
            <w:vAlign w:val="center"/>
          </w:tcPr>
          <w:p w:rsidR="007168AC" w:rsidRPr="0038463D" w:rsidRDefault="007168AC" w:rsidP="0038463D">
            <w:pPr>
              <w:spacing w:after="0"/>
              <w:rPr>
                <w:rFonts w:asciiTheme="minorHAnsi" w:hAnsiTheme="minorHAnsi"/>
                <w:sz w:val="20"/>
                <w:szCs w:val="20"/>
                <w:lang w:val="en-AU"/>
              </w:rPr>
            </w:pPr>
            <w:r w:rsidRPr="0038463D">
              <w:rPr>
                <w:rFonts w:asciiTheme="minorHAnsi" w:hAnsiTheme="minorHAnsi"/>
                <w:sz w:val="20"/>
                <w:szCs w:val="20"/>
                <w:lang w:val="en-AU"/>
              </w:rPr>
              <w:t>Public recurrent expenditure on basic education as percentage of all public education expenditure</w:t>
            </w:r>
          </w:p>
        </w:tc>
        <w:tc>
          <w:tcPr>
            <w:tcW w:w="992" w:type="dxa"/>
            <w:vAlign w:val="center"/>
          </w:tcPr>
          <w:p w:rsidR="007168AC" w:rsidRPr="0038463D" w:rsidRDefault="007168AC" w:rsidP="0038463D">
            <w:pPr>
              <w:spacing w:after="0"/>
              <w:jc w:val="center"/>
              <w:rPr>
                <w:rFonts w:asciiTheme="minorHAnsi" w:hAnsiTheme="minorHAnsi"/>
                <w:sz w:val="20"/>
                <w:szCs w:val="20"/>
                <w:lang w:val="en-AU"/>
              </w:rPr>
            </w:pPr>
            <w:r w:rsidRPr="0038463D">
              <w:rPr>
                <w:rFonts w:asciiTheme="minorHAnsi" w:hAnsiTheme="minorHAnsi"/>
                <w:sz w:val="20"/>
                <w:szCs w:val="20"/>
                <w:lang w:val="en-AU"/>
              </w:rPr>
              <w:t>National</w:t>
            </w:r>
          </w:p>
        </w:tc>
        <w:tc>
          <w:tcPr>
            <w:tcW w:w="1559" w:type="dxa"/>
            <w:vAlign w:val="center"/>
          </w:tcPr>
          <w:p w:rsidR="007168AC" w:rsidRPr="0038463D" w:rsidRDefault="007168AC" w:rsidP="0038463D">
            <w:pPr>
              <w:spacing w:after="0"/>
              <w:jc w:val="center"/>
              <w:rPr>
                <w:rFonts w:asciiTheme="minorHAnsi" w:hAnsiTheme="minorHAnsi"/>
                <w:sz w:val="20"/>
                <w:szCs w:val="20"/>
                <w:lang w:val="en-AU"/>
              </w:rPr>
            </w:pPr>
            <w:r w:rsidRPr="0038463D">
              <w:rPr>
                <w:rFonts w:asciiTheme="minorHAnsi" w:hAnsiTheme="minorHAnsi"/>
                <w:sz w:val="20"/>
                <w:szCs w:val="20"/>
                <w:lang w:val="en-AU"/>
              </w:rPr>
              <w:t>Equity/access</w:t>
            </w:r>
          </w:p>
        </w:tc>
        <w:tc>
          <w:tcPr>
            <w:tcW w:w="993" w:type="dxa"/>
            <w:shd w:val="clear" w:color="auto" w:fill="92D050"/>
            <w:vAlign w:val="center"/>
          </w:tcPr>
          <w:p w:rsidR="007168AC" w:rsidRPr="0038463D" w:rsidRDefault="007168AC" w:rsidP="0038463D">
            <w:pPr>
              <w:spacing w:after="0"/>
              <w:jc w:val="center"/>
              <w:rPr>
                <w:rFonts w:asciiTheme="minorHAnsi" w:hAnsiTheme="minorHAnsi"/>
                <w:sz w:val="20"/>
                <w:szCs w:val="20"/>
                <w:lang w:val="en-AU"/>
              </w:rPr>
            </w:pPr>
            <w:r w:rsidRPr="0038463D">
              <w:rPr>
                <w:rFonts w:asciiTheme="minorHAnsi" w:hAnsiTheme="minorHAnsi"/>
                <w:sz w:val="20"/>
                <w:szCs w:val="20"/>
                <w:lang w:val="en-AU"/>
              </w:rPr>
              <w:t>Positive</w:t>
            </w:r>
          </w:p>
        </w:tc>
        <w:tc>
          <w:tcPr>
            <w:tcW w:w="4536" w:type="dxa"/>
            <w:tcBorders>
              <w:right w:val="single" w:sz="12" w:space="0" w:color="auto"/>
            </w:tcBorders>
            <w:vAlign w:val="center"/>
          </w:tcPr>
          <w:p w:rsidR="007168AC" w:rsidRPr="0038463D" w:rsidRDefault="007168AC" w:rsidP="0038463D">
            <w:pPr>
              <w:spacing w:after="0"/>
              <w:rPr>
                <w:rFonts w:asciiTheme="minorHAnsi" w:hAnsiTheme="minorHAnsi"/>
                <w:sz w:val="20"/>
                <w:szCs w:val="20"/>
                <w:lang w:val="en-AU"/>
              </w:rPr>
            </w:pPr>
            <w:r w:rsidRPr="0038463D">
              <w:rPr>
                <w:rFonts w:asciiTheme="minorHAnsi" w:hAnsiTheme="minorHAnsi"/>
                <w:b/>
                <w:sz w:val="20"/>
                <w:szCs w:val="20"/>
                <w:lang w:val="en-AU"/>
              </w:rPr>
              <w:t>Comment:</w:t>
            </w:r>
            <w:r w:rsidR="00A81878">
              <w:rPr>
                <w:rFonts w:asciiTheme="minorHAnsi" w:hAnsiTheme="minorHAnsi"/>
                <w:b/>
                <w:sz w:val="20"/>
                <w:szCs w:val="20"/>
                <w:lang w:val="en-AU"/>
              </w:rPr>
              <w:t xml:space="preserve"> </w:t>
            </w:r>
            <w:r w:rsidR="00A81878" w:rsidRPr="00A81878">
              <w:rPr>
                <w:rFonts w:asciiTheme="minorHAnsi" w:hAnsiTheme="minorHAnsi"/>
                <w:sz w:val="20"/>
                <w:szCs w:val="20"/>
                <w:lang w:val="en-AU"/>
              </w:rPr>
              <w:t>Report has updated data to most recent year available.</w:t>
            </w:r>
            <w:r w:rsidRPr="00A81878">
              <w:rPr>
                <w:rFonts w:asciiTheme="minorHAnsi" w:hAnsiTheme="minorHAnsi"/>
                <w:sz w:val="20"/>
                <w:szCs w:val="20"/>
                <w:lang w:val="en-AU"/>
              </w:rPr>
              <w:t xml:space="preserve"> I</w:t>
            </w:r>
            <w:r w:rsidRPr="0038463D">
              <w:rPr>
                <w:rFonts w:asciiTheme="minorHAnsi" w:hAnsiTheme="minorHAnsi"/>
                <w:sz w:val="20"/>
                <w:szCs w:val="20"/>
                <w:lang w:val="en-AU"/>
              </w:rPr>
              <w:t xml:space="preserve">n 2009 basic education accounted for approximately 56% of education expenditure. </w:t>
            </w:r>
            <w:r w:rsidR="002D0F83" w:rsidRPr="0038463D">
              <w:rPr>
                <w:rFonts w:asciiTheme="minorHAnsi" w:hAnsiTheme="minorHAnsi"/>
                <w:sz w:val="20"/>
                <w:szCs w:val="20"/>
                <w:lang w:val="en-AU"/>
              </w:rPr>
              <w:t>By contrast, l</w:t>
            </w:r>
            <w:r w:rsidRPr="0038463D">
              <w:rPr>
                <w:rFonts w:asciiTheme="minorHAnsi" w:hAnsiTheme="minorHAnsi"/>
                <w:sz w:val="20"/>
                <w:szCs w:val="20"/>
                <w:lang w:val="en-AU"/>
              </w:rPr>
              <w:t xml:space="preserve">ess than 20% of MORA education expenditure </w:t>
            </w:r>
            <w:r w:rsidR="002D0F83" w:rsidRPr="0038463D">
              <w:rPr>
                <w:rFonts w:asciiTheme="minorHAnsi" w:hAnsiTheme="minorHAnsi"/>
                <w:sz w:val="20"/>
                <w:szCs w:val="20"/>
                <w:lang w:val="en-AU"/>
              </w:rPr>
              <w:t>was</w:t>
            </w:r>
            <w:r w:rsidRPr="0038463D">
              <w:rPr>
                <w:rFonts w:asciiTheme="minorHAnsi" w:hAnsiTheme="minorHAnsi"/>
                <w:sz w:val="20"/>
                <w:szCs w:val="20"/>
                <w:lang w:val="en-AU"/>
              </w:rPr>
              <w:t xml:space="preserve"> on basic education.</w:t>
            </w:r>
          </w:p>
          <w:p w:rsidR="007168AC" w:rsidRPr="0038463D" w:rsidRDefault="007168AC" w:rsidP="00A81878">
            <w:pPr>
              <w:spacing w:after="0"/>
              <w:rPr>
                <w:rFonts w:asciiTheme="minorHAnsi" w:hAnsiTheme="minorHAnsi"/>
                <w:sz w:val="20"/>
                <w:szCs w:val="20"/>
                <w:lang w:val="en-AU"/>
              </w:rPr>
            </w:pPr>
            <w:r w:rsidRPr="0038463D">
              <w:rPr>
                <w:rFonts w:asciiTheme="minorHAnsi" w:hAnsiTheme="minorHAnsi"/>
                <w:b/>
                <w:sz w:val="20"/>
                <w:szCs w:val="20"/>
                <w:lang w:val="en-AU"/>
              </w:rPr>
              <w:t xml:space="preserve">Implications: </w:t>
            </w:r>
            <w:r w:rsidRPr="0038463D">
              <w:rPr>
                <w:rFonts w:asciiTheme="minorHAnsi" w:hAnsiTheme="minorHAnsi"/>
                <w:sz w:val="20"/>
                <w:szCs w:val="20"/>
                <w:lang w:val="en-AU"/>
              </w:rPr>
              <w:t xml:space="preserve">It is unclear what has been driving the fluctuations in </w:t>
            </w:r>
            <w:r w:rsidR="002D0F83" w:rsidRPr="0038463D">
              <w:rPr>
                <w:rFonts w:asciiTheme="minorHAnsi" w:hAnsiTheme="minorHAnsi"/>
                <w:sz w:val="20"/>
                <w:szCs w:val="20"/>
                <w:lang w:val="en-AU"/>
              </w:rPr>
              <w:t xml:space="preserve">the </w:t>
            </w:r>
            <w:r w:rsidRPr="0038463D">
              <w:rPr>
                <w:rFonts w:asciiTheme="minorHAnsi" w:hAnsiTheme="minorHAnsi"/>
                <w:sz w:val="20"/>
                <w:szCs w:val="20"/>
                <w:lang w:val="en-AU"/>
              </w:rPr>
              <w:t>basic education share of MoRA expenditures</w:t>
            </w:r>
            <w:r w:rsidR="00A81878">
              <w:rPr>
                <w:rFonts w:asciiTheme="minorHAnsi" w:hAnsiTheme="minorHAnsi"/>
                <w:sz w:val="20"/>
                <w:szCs w:val="20"/>
                <w:lang w:val="en-AU"/>
              </w:rPr>
              <w:t>, so difficult to assess implications.</w:t>
            </w:r>
          </w:p>
        </w:tc>
      </w:tr>
      <w:tr w:rsidR="005A1995" w:rsidRPr="0038463D" w:rsidTr="005A1995">
        <w:trPr>
          <w:jc w:val="center"/>
        </w:trPr>
        <w:tc>
          <w:tcPr>
            <w:tcW w:w="2093" w:type="dxa"/>
            <w:tcBorders>
              <w:left w:val="single" w:sz="12" w:space="0" w:color="auto"/>
            </w:tcBorders>
            <w:vAlign w:val="center"/>
          </w:tcPr>
          <w:p w:rsidR="007168AC" w:rsidRPr="0038463D" w:rsidRDefault="007168AC" w:rsidP="0038463D">
            <w:pPr>
              <w:spacing w:after="0"/>
              <w:rPr>
                <w:rFonts w:asciiTheme="minorHAnsi" w:hAnsiTheme="minorHAnsi"/>
                <w:sz w:val="20"/>
                <w:szCs w:val="20"/>
                <w:lang w:val="en-AU"/>
              </w:rPr>
            </w:pPr>
            <w:r w:rsidRPr="0038463D">
              <w:rPr>
                <w:rFonts w:asciiTheme="minorHAnsi" w:hAnsiTheme="minorHAnsi"/>
                <w:sz w:val="20"/>
                <w:szCs w:val="20"/>
                <w:lang w:val="en-AU"/>
              </w:rPr>
              <w:t xml:space="preserve">KPI 6 </w:t>
            </w:r>
          </w:p>
          <w:p w:rsidR="007168AC" w:rsidRPr="0038463D" w:rsidRDefault="007168AC" w:rsidP="0038463D">
            <w:pPr>
              <w:spacing w:after="0"/>
              <w:rPr>
                <w:rFonts w:asciiTheme="minorHAnsi" w:hAnsiTheme="minorHAnsi"/>
                <w:sz w:val="20"/>
                <w:szCs w:val="20"/>
                <w:lang w:val="en-AU"/>
              </w:rPr>
            </w:pPr>
            <w:r w:rsidRPr="0038463D">
              <w:rPr>
                <w:rFonts w:asciiTheme="minorHAnsi" w:hAnsiTheme="minorHAnsi"/>
                <w:sz w:val="20"/>
                <w:szCs w:val="20"/>
                <w:lang w:val="en-AU"/>
              </w:rPr>
              <w:lastRenderedPageBreak/>
              <w:t>District commitment to education</w:t>
            </w:r>
          </w:p>
        </w:tc>
        <w:tc>
          <w:tcPr>
            <w:tcW w:w="2835" w:type="dxa"/>
            <w:vAlign w:val="center"/>
          </w:tcPr>
          <w:p w:rsidR="007168AC" w:rsidRPr="0038463D" w:rsidRDefault="007168AC" w:rsidP="0038463D">
            <w:pPr>
              <w:spacing w:after="0"/>
              <w:rPr>
                <w:rFonts w:asciiTheme="minorHAnsi" w:hAnsiTheme="minorHAnsi"/>
                <w:sz w:val="20"/>
                <w:szCs w:val="20"/>
                <w:lang w:val="en-AU"/>
              </w:rPr>
            </w:pPr>
            <w:r w:rsidRPr="0038463D">
              <w:rPr>
                <w:rFonts w:asciiTheme="minorHAnsi" w:hAnsiTheme="minorHAnsi"/>
                <w:sz w:val="20"/>
                <w:szCs w:val="20"/>
                <w:lang w:val="en-AU"/>
              </w:rPr>
              <w:lastRenderedPageBreak/>
              <w:t xml:space="preserve">Education as % of total public </w:t>
            </w:r>
            <w:r w:rsidRPr="0038463D">
              <w:rPr>
                <w:rFonts w:asciiTheme="minorHAnsi" w:hAnsiTheme="minorHAnsi"/>
                <w:sz w:val="20"/>
                <w:szCs w:val="20"/>
                <w:lang w:val="en-AU"/>
              </w:rPr>
              <w:lastRenderedPageBreak/>
              <w:t>expenditures</w:t>
            </w:r>
          </w:p>
        </w:tc>
        <w:tc>
          <w:tcPr>
            <w:tcW w:w="992" w:type="dxa"/>
            <w:vAlign w:val="center"/>
          </w:tcPr>
          <w:p w:rsidR="007168AC" w:rsidRPr="0038463D" w:rsidRDefault="007168AC" w:rsidP="0038463D">
            <w:pPr>
              <w:spacing w:after="0"/>
              <w:jc w:val="center"/>
              <w:rPr>
                <w:rFonts w:asciiTheme="minorHAnsi" w:hAnsiTheme="minorHAnsi"/>
                <w:sz w:val="20"/>
                <w:szCs w:val="20"/>
                <w:lang w:val="en-AU"/>
              </w:rPr>
            </w:pPr>
            <w:r w:rsidRPr="0038463D">
              <w:rPr>
                <w:rFonts w:asciiTheme="minorHAnsi" w:hAnsiTheme="minorHAnsi"/>
                <w:sz w:val="20"/>
                <w:szCs w:val="20"/>
                <w:lang w:val="en-AU"/>
              </w:rPr>
              <w:lastRenderedPageBreak/>
              <w:t>District</w:t>
            </w:r>
          </w:p>
          <w:p w:rsidR="007168AC" w:rsidRPr="0038463D" w:rsidRDefault="007168AC" w:rsidP="0038463D">
            <w:pPr>
              <w:spacing w:after="0"/>
              <w:jc w:val="center"/>
              <w:rPr>
                <w:rFonts w:asciiTheme="minorHAnsi" w:hAnsiTheme="minorHAnsi"/>
                <w:sz w:val="20"/>
                <w:szCs w:val="20"/>
                <w:lang w:val="en-AU"/>
              </w:rPr>
            </w:pPr>
          </w:p>
        </w:tc>
        <w:tc>
          <w:tcPr>
            <w:tcW w:w="1559" w:type="dxa"/>
            <w:vAlign w:val="center"/>
          </w:tcPr>
          <w:p w:rsidR="007168AC" w:rsidRPr="0038463D" w:rsidRDefault="007168AC" w:rsidP="0038463D">
            <w:pPr>
              <w:spacing w:after="0"/>
              <w:jc w:val="center"/>
              <w:rPr>
                <w:rFonts w:asciiTheme="minorHAnsi" w:hAnsiTheme="minorHAnsi"/>
                <w:sz w:val="20"/>
                <w:szCs w:val="20"/>
                <w:lang w:val="en-AU"/>
              </w:rPr>
            </w:pPr>
            <w:r w:rsidRPr="0038463D">
              <w:rPr>
                <w:rFonts w:asciiTheme="minorHAnsi" w:hAnsiTheme="minorHAnsi"/>
                <w:sz w:val="20"/>
                <w:szCs w:val="20"/>
                <w:lang w:val="en-AU"/>
              </w:rPr>
              <w:lastRenderedPageBreak/>
              <w:t xml:space="preserve">Government </w:t>
            </w:r>
            <w:r w:rsidRPr="0038463D">
              <w:rPr>
                <w:rFonts w:asciiTheme="minorHAnsi" w:hAnsiTheme="minorHAnsi"/>
                <w:sz w:val="20"/>
                <w:szCs w:val="20"/>
                <w:lang w:val="en-AU"/>
              </w:rPr>
              <w:lastRenderedPageBreak/>
              <w:t>commitment</w:t>
            </w:r>
          </w:p>
          <w:p w:rsidR="007168AC" w:rsidRPr="0038463D" w:rsidRDefault="007168AC" w:rsidP="0038463D">
            <w:pPr>
              <w:spacing w:after="0"/>
              <w:jc w:val="center"/>
              <w:rPr>
                <w:rFonts w:asciiTheme="minorHAnsi" w:hAnsiTheme="minorHAnsi"/>
                <w:sz w:val="20"/>
                <w:szCs w:val="20"/>
                <w:lang w:val="en-AU"/>
              </w:rPr>
            </w:pPr>
            <w:r w:rsidRPr="0038463D">
              <w:rPr>
                <w:rFonts w:asciiTheme="minorHAnsi" w:hAnsiTheme="minorHAnsi"/>
                <w:sz w:val="20"/>
                <w:szCs w:val="20"/>
                <w:lang w:val="en-AU"/>
              </w:rPr>
              <w:t>Equity/access</w:t>
            </w:r>
          </w:p>
        </w:tc>
        <w:tc>
          <w:tcPr>
            <w:tcW w:w="993" w:type="dxa"/>
            <w:shd w:val="clear" w:color="auto" w:fill="FFC000"/>
            <w:vAlign w:val="center"/>
          </w:tcPr>
          <w:p w:rsidR="007168AC" w:rsidRPr="0038463D" w:rsidRDefault="007168AC" w:rsidP="0038463D">
            <w:pPr>
              <w:spacing w:after="0"/>
              <w:jc w:val="center"/>
              <w:rPr>
                <w:rFonts w:asciiTheme="minorHAnsi" w:hAnsiTheme="minorHAnsi"/>
                <w:sz w:val="20"/>
                <w:szCs w:val="20"/>
                <w:lang w:val="en-AU"/>
              </w:rPr>
            </w:pPr>
            <w:r w:rsidRPr="0038463D">
              <w:rPr>
                <w:rFonts w:asciiTheme="minorHAnsi" w:hAnsiTheme="minorHAnsi"/>
                <w:sz w:val="20"/>
                <w:szCs w:val="20"/>
                <w:lang w:val="en-AU"/>
              </w:rPr>
              <w:lastRenderedPageBreak/>
              <w:t>Neutral</w:t>
            </w:r>
          </w:p>
        </w:tc>
        <w:tc>
          <w:tcPr>
            <w:tcW w:w="4536" w:type="dxa"/>
            <w:tcBorders>
              <w:right w:val="single" w:sz="12" w:space="0" w:color="auto"/>
            </w:tcBorders>
            <w:vAlign w:val="center"/>
          </w:tcPr>
          <w:p w:rsidR="007168AC" w:rsidRPr="0038463D" w:rsidRDefault="007168AC" w:rsidP="0038463D">
            <w:pPr>
              <w:spacing w:after="0"/>
              <w:rPr>
                <w:rFonts w:asciiTheme="minorHAnsi" w:hAnsiTheme="minorHAnsi"/>
                <w:sz w:val="20"/>
                <w:szCs w:val="20"/>
                <w:lang w:val="en-AU"/>
              </w:rPr>
            </w:pPr>
            <w:r w:rsidRPr="0038463D">
              <w:rPr>
                <w:rFonts w:asciiTheme="minorHAnsi" w:hAnsiTheme="minorHAnsi"/>
                <w:b/>
                <w:sz w:val="20"/>
                <w:szCs w:val="20"/>
                <w:lang w:val="en-AU"/>
              </w:rPr>
              <w:t>Comment:</w:t>
            </w:r>
            <w:r w:rsidRPr="0038463D">
              <w:rPr>
                <w:rFonts w:asciiTheme="minorHAnsi" w:hAnsiTheme="minorHAnsi"/>
                <w:sz w:val="20"/>
                <w:szCs w:val="20"/>
                <w:lang w:val="en-AU"/>
              </w:rPr>
              <w:t xml:space="preserve"> The strong increase in the education share of </w:t>
            </w:r>
            <w:r w:rsidRPr="0038463D">
              <w:rPr>
                <w:rFonts w:asciiTheme="minorHAnsi" w:hAnsiTheme="minorHAnsi"/>
                <w:sz w:val="20"/>
                <w:szCs w:val="20"/>
                <w:lang w:val="en-AU"/>
              </w:rPr>
              <w:lastRenderedPageBreak/>
              <w:t xml:space="preserve">district budgets </w:t>
            </w:r>
            <w:r w:rsidR="002D0F83" w:rsidRPr="0038463D">
              <w:rPr>
                <w:rFonts w:asciiTheme="minorHAnsi" w:hAnsiTheme="minorHAnsi"/>
                <w:sz w:val="20"/>
                <w:szCs w:val="20"/>
                <w:lang w:val="en-AU"/>
              </w:rPr>
              <w:t xml:space="preserve">in 2011 </w:t>
            </w:r>
            <w:r w:rsidRPr="0038463D">
              <w:rPr>
                <w:rFonts w:asciiTheme="minorHAnsi" w:hAnsiTheme="minorHAnsi"/>
                <w:sz w:val="20"/>
                <w:szCs w:val="20"/>
                <w:lang w:val="en-AU"/>
              </w:rPr>
              <w:t>was reversed in 2012</w:t>
            </w:r>
            <w:r w:rsidR="002D0F83" w:rsidRPr="0038463D">
              <w:rPr>
                <w:rFonts w:asciiTheme="minorHAnsi" w:hAnsiTheme="minorHAnsi"/>
                <w:sz w:val="20"/>
                <w:szCs w:val="20"/>
                <w:lang w:val="en-AU"/>
              </w:rPr>
              <w:t>,</w:t>
            </w:r>
            <w:r w:rsidRPr="0038463D">
              <w:rPr>
                <w:rFonts w:asciiTheme="minorHAnsi" w:hAnsiTheme="minorHAnsi"/>
                <w:sz w:val="20"/>
                <w:szCs w:val="20"/>
                <w:lang w:val="en-AU"/>
              </w:rPr>
              <w:t xml:space="preserve"> with </w:t>
            </w:r>
            <w:r w:rsidR="002D0F83" w:rsidRPr="0038463D">
              <w:rPr>
                <w:rFonts w:asciiTheme="minorHAnsi" w:hAnsiTheme="minorHAnsi"/>
                <w:sz w:val="20"/>
                <w:szCs w:val="20"/>
                <w:lang w:val="en-AU"/>
              </w:rPr>
              <w:t xml:space="preserve">the </w:t>
            </w:r>
            <w:r w:rsidRPr="0038463D">
              <w:rPr>
                <w:rFonts w:asciiTheme="minorHAnsi" w:hAnsiTheme="minorHAnsi"/>
                <w:sz w:val="20"/>
                <w:szCs w:val="20"/>
                <w:lang w:val="en-AU"/>
              </w:rPr>
              <w:t>education share dropping just over 1% from 36.7%.</w:t>
            </w:r>
          </w:p>
          <w:p w:rsidR="007168AC" w:rsidRPr="0038463D" w:rsidRDefault="007168AC" w:rsidP="0038463D">
            <w:pPr>
              <w:spacing w:after="0"/>
              <w:rPr>
                <w:rFonts w:asciiTheme="minorHAnsi" w:hAnsiTheme="minorHAnsi"/>
                <w:sz w:val="20"/>
                <w:szCs w:val="20"/>
                <w:lang w:val="en-AU"/>
              </w:rPr>
            </w:pPr>
            <w:r w:rsidRPr="0038463D">
              <w:rPr>
                <w:rFonts w:asciiTheme="minorHAnsi" w:hAnsiTheme="minorHAnsi"/>
                <w:b/>
                <w:sz w:val="20"/>
                <w:szCs w:val="20"/>
                <w:lang w:val="en-AU"/>
              </w:rPr>
              <w:t>Implications</w:t>
            </w:r>
            <w:r w:rsidRPr="0038463D">
              <w:rPr>
                <w:rFonts w:asciiTheme="minorHAnsi" w:hAnsiTheme="minorHAnsi"/>
                <w:sz w:val="20"/>
                <w:szCs w:val="20"/>
                <w:lang w:val="en-AU"/>
              </w:rPr>
              <w:t xml:space="preserve">: Some districts showing negative growth </w:t>
            </w:r>
            <w:r w:rsidR="002D0F83" w:rsidRPr="0038463D">
              <w:rPr>
                <w:rFonts w:asciiTheme="minorHAnsi" w:hAnsiTheme="minorHAnsi"/>
                <w:sz w:val="20"/>
                <w:szCs w:val="20"/>
                <w:lang w:val="en-AU"/>
              </w:rPr>
              <w:t xml:space="preserve">should </w:t>
            </w:r>
            <w:r w:rsidRPr="0038463D">
              <w:rPr>
                <w:rFonts w:asciiTheme="minorHAnsi" w:hAnsiTheme="minorHAnsi"/>
                <w:sz w:val="20"/>
                <w:szCs w:val="20"/>
                <w:lang w:val="en-AU"/>
              </w:rPr>
              <w:t>be monitored</w:t>
            </w:r>
          </w:p>
        </w:tc>
      </w:tr>
      <w:tr w:rsidR="005A1995" w:rsidRPr="0038463D" w:rsidTr="005A1995">
        <w:trPr>
          <w:jc w:val="center"/>
        </w:trPr>
        <w:tc>
          <w:tcPr>
            <w:tcW w:w="2093" w:type="dxa"/>
            <w:tcBorders>
              <w:left w:val="single" w:sz="12" w:space="0" w:color="auto"/>
            </w:tcBorders>
            <w:vAlign w:val="center"/>
          </w:tcPr>
          <w:p w:rsidR="007168AC" w:rsidRPr="0038463D" w:rsidRDefault="007168AC" w:rsidP="0038463D">
            <w:pPr>
              <w:spacing w:after="0"/>
              <w:rPr>
                <w:rFonts w:asciiTheme="minorHAnsi" w:hAnsiTheme="minorHAnsi"/>
                <w:sz w:val="20"/>
                <w:szCs w:val="20"/>
                <w:lang w:val="en-AU"/>
              </w:rPr>
            </w:pPr>
            <w:r w:rsidRPr="0038463D">
              <w:rPr>
                <w:rFonts w:asciiTheme="minorHAnsi" w:hAnsiTheme="minorHAnsi"/>
                <w:sz w:val="20"/>
                <w:szCs w:val="20"/>
                <w:lang w:val="en-AU"/>
              </w:rPr>
              <w:lastRenderedPageBreak/>
              <w:t xml:space="preserve">KPI 7 </w:t>
            </w:r>
          </w:p>
          <w:p w:rsidR="007168AC" w:rsidRPr="0038463D" w:rsidRDefault="007168AC" w:rsidP="0038463D">
            <w:pPr>
              <w:spacing w:after="0"/>
              <w:rPr>
                <w:rFonts w:asciiTheme="minorHAnsi" w:hAnsiTheme="minorHAnsi"/>
                <w:sz w:val="20"/>
                <w:szCs w:val="20"/>
                <w:lang w:val="en-AU"/>
              </w:rPr>
            </w:pPr>
            <w:r w:rsidRPr="0038463D">
              <w:rPr>
                <w:rFonts w:asciiTheme="minorHAnsi" w:hAnsiTheme="minorHAnsi"/>
                <w:sz w:val="20"/>
                <w:szCs w:val="20"/>
                <w:lang w:val="en-AU"/>
              </w:rPr>
              <w:t xml:space="preserve">Annual growth in spending </w:t>
            </w:r>
            <w:r w:rsidR="004645AE" w:rsidRPr="0038463D">
              <w:rPr>
                <w:rFonts w:asciiTheme="minorHAnsi" w:hAnsiTheme="minorHAnsi"/>
                <w:sz w:val="20"/>
                <w:szCs w:val="20"/>
                <w:lang w:val="en-AU"/>
              </w:rPr>
              <w:t xml:space="preserve">in </w:t>
            </w:r>
            <w:r w:rsidRPr="0038463D">
              <w:rPr>
                <w:rFonts w:asciiTheme="minorHAnsi" w:hAnsiTheme="minorHAnsi"/>
                <w:sz w:val="20"/>
                <w:szCs w:val="20"/>
                <w:lang w:val="en-AU"/>
              </w:rPr>
              <w:t>the poorest districts</w:t>
            </w:r>
          </w:p>
        </w:tc>
        <w:tc>
          <w:tcPr>
            <w:tcW w:w="2835" w:type="dxa"/>
            <w:vAlign w:val="center"/>
          </w:tcPr>
          <w:p w:rsidR="007168AC" w:rsidRPr="0038463D" w:rsidRDefault="007168AC" w:rsidP="0038463D">
            <w:pPr>
              <w:spacing w:after="0"/>
              <w:rPr>
                <w:rFonts w:asciiTheme="minorHAnsi" w:hAnsiTheme="minorHAnsi"/>
                <w:sz w:val="20"/>
                <w:szCs w:val="20"/>
                <w:lang w:val="en-AU"/>
              </w:rPr>
            </w:pPr>
            <w:r w:rsidRPr="0038463D">
              <w:rPr>
                <w:rFonts w:asciiTheme="minorHAnsi" w:hAnsiTheme="minorHAnsi"/>
                <w:sz w:val="20"/>
                <w:szCs w:val="20"/>
                <w:lang w:val="en-AU"/>
              </w:rPr>
              <w:t>Annual % change in public expenditures for education in lowest quintile districts compared to national % change in public expenditure for education</w:t>
            </w:r>
          </w:p>
        </w:tc>
        <w:tc>
          <w:tcPr>
            <w:tcW w:w="992" w:type="dxa"/>
            <w:vAlign w:val="center"/>
          </w:tcPr>
          <w:p w:rsidR="007168AC" w:rsidRPr="0038463D" w:rsidRDefault="007168AC" w:rsidP="0038463D">
            <w:pPr>
              <w:spacing w:after="0"/>
              <w:jc w:val="center"/>
              <w:rPr>
                <w:rFonts w:asciiTheme="minorHAnsi" w:hAnsiTheme="minorHAnsi"/>
                <w:sz w:val="20"/>
                <w:szCs w:val="20"/>
                <w:lang w:val="en-AU"/>
              </w:rPr>
            </w:pPr>
            <w:r w:rsidRPr="0038463D">
              <w:rPr>
                <w:rFonts w:asciiTheme="minorHAnsi" w:hAnsiTheme="minorHAnsi"/>
                <w:sz w:val="20"/>
                <w:szCs w:val="20"/>
                <w:lang w:val="en-AU"/>
              </w:rPr>
              <w:t>District</w:t>
            </w:r>
          </w:p>
          <w:p w:rsidR="007168AC" w:rsidRPr="0038463D" w:rsidRDefault="007168AC" w:rsidP="0038463D">
            <w:pPr>
              <w:spacing w:after="0"/>
              <w:jc w:val="center"/>
              <w:rPr>
                <w:rFonts w:asciiTheme="minorHAnsi" w:hAnsiTheme="minorHAnsi"/>
                <w:sz w:val="20"/>
                <w:szCs w:val="20"/>
                <w:lang w:val="en-AU"/>
              </w:rPr>
            </w:pPr>
          </w:p>
        </w:tc>
        <w:tc>
          <w:tcPr>
            <w:tcW w:w="1559" w:type="dxa"/>
            <w:vAlign w:val="center"/>
          </w:tcPr>
          <w:p w:rsidR="007168AC" w:rsidRPr="0038463D" w:rsidRDefault="007168AC" w:rsidP="0038463D">
            <w:pPr>
              <w:spacing w:after="0"/>
              <w:jc w:val="center"/>
              <w:rPr>
                <w:rFonts w:asciiTheme="minorHAnsi" w:hAnsiTheme="minorHAnsi"/>
                <w:sz w:val="20"/>
                <w:szCs w:val="20"/>
                <w:lang w:val="en-AU"/>
              </w:rPr>
            </w:pPr>
            <w:r w:rsidRPr="0038463D">
              <w:rPr>
                <w:rFonts w:asciiTheme="minorHAnsi" w:hAnsiTheme="minorHAnsi"/>
                <w:sz w:val="20"/>
                <w:szCs w:val="20"/>
                <w:lang w:val="en-AU"/>
              </w:rPr>
              <w:t>Equity/access</w:t>
            </w:r>
          </w:p>
        </w:tc>
        <w:tc>
          <w:tcPr>
            <w:tcW w:w="993" w:type="dxa"/>
            <w:shd w:val="clear" w:color="auto" w:fill="FF0000"/>
            <w:vAlign w:val="center"/>
          </w:tcPr>
          <w:p w:rsidR="007168AC" w:rsidRPr="0038463D" w:rsidRDefault="007168AC" w:rsidP="0038463D">
            <w:pPr>
              <w:spacing w:after="0"/>
              <w:jc w:val="center"/>
              <w:rPr>
                <w:rFonts w:asciiTheme="minorHAnsi" w:hAnsiTheme="minorHAnsi"/>
                <w:sz w:val="20"/>
                <w:szCs w:val="20"/>
                <w:lang w:val="en-AU"/>
              </w:rPr>
            </w:pPr>
            <w:r w:rsidRPr="0038463D">
              <w:rPr>
                <w:rFonts w:asciiTheme="minorHAnsi" w:hAnsiTheme="minorHAnsi"/>
                <w:sz w:val="20"/>
                <w:szCs w:val="20"/>
                <w:lang w:val="en-AU"/>
              </w:rPr>
              <w:t>Negative</w:t>
            </w:r>
          </w:p>
        </w:tc>
        <w:tc>
          <w:tcPr>
            <w:tcW w:w="4536" w:type="dxa"/>
            <w:tcBorders>
              <w:right w:val="single" w:sz="12" w:space="0" w:color="auto"/>
            </w:tcBorders>
            <w:vAlign w:val="center"/>
          </w:tcPr>
          <w:p w:rsidR="007168AC" w:rsidRPr="0038463D" w:rsidRDefault="007168AC" w:rsidP="0038463D">
            <w:pPr>
              <w:spacing w:after="0"/>
              <w:rPr>
                <w:rFonts w:asciiTheme="minorHAnsi" w:hAnsiTheme="minorHAnsi"/>
                <w:sz w:val="20"/>
                <w:szCs w:val="20"/>
                <w:lang w:val="en-AU"/>
              </w:rPr>
            </w:pPr>
            <w:r w:rsidRPr="0038463D">
              <w:rPr>
                <w:rFonts w:asciiTheme="minorHAnsi" w:hAnsiTheme="minorHAnsi"/>
                <w:b/>
                <w:sz w:val="20"/>
                <w:szCs w:val="20"/>
                <w:lang w:val="en-AU"/>
              </w:rPr>
              <w:t>Comment:</w:t>
            </w:r>
            <w:r w:rsidRPr="0038463D">
              <w:rPr>
                <w:rFonts w:asciiTheme="minorHAnsi" w:hAnsiTheme="minorHAnsi"/>
                <w:sz w:val="20"/>
                <w:szCs w:val="20"/>
                <w:lang w:val="en-AU"/>
              </w:rPr>
              <w:t xml:space="preserve"> In 2012, 31 of the poorest districts experienced a contraction in their nominal education expenditure (before accounting for inflation).</w:t>
            </w:r>
          </w:p>
          <w:p w:rsidR="007168AC" w:rsidRPr="0038463D" w:rsidRDefault="007168AC" w:rsidP="0038463D">
            <w:pPr>
              <w:spacing w:after="0"/>
              <w:rPr>
                <w:rFonts w:asciiTheme="minorHAnsi" w:hAnsiTheme="minorHAnsi"/>
                <w:sz w:val="20"/>
                <w:szCs w:val="20"/>
                <w:lang w:val="en-AU"/>
              </w:rPr>
            </w:pPr>
            <w:r w:rsidRPr="0038463D">
              <w:rPr>
                <w:rFonts w:asciiTheme="minorHAnsi" w:hAnsiTheme="minorHAnsi"/>
                <w:b/>
                <w:sz w:val="20"/>
                <w:szCs w:val="20"/>
                <w:lang w:val="en-AU"/>
              </w:rPr>
              <w:t xml:space="preserve">Implications: </w:t>
            </w:r>
            <w:r w:rsidRPr="0038463D">
              <w:rPr>
                <w:rFonts w:asciiTheme="minorHAnsi" w:hAnsiTheme="minorHAnsi"/>
                <w:sz w:val="20"/>
                <w:szCs w:val="20"/>
                <w:lang w:val="en-AU"/>
              </w:rPr>
              <w:t>Nearly one third of poorest quintile districts (100) reduced their annual budget allocation for education in 2012</w:t>
            </w:r>
          </w:p>
          <w:p w:rsidR="007168AC" w:rsidRPr="0038463D" w:rsidRDefault="007168AC" w:rsidP="0038463D">
            <w:pPr>
              <w:spacing w:after="0"/>
              <w:rPr>
                <w:rFonts w:asciiTheme="minorHAnsi" w:hAnsiTheme="minorHAnsi"/>
                <w:sz w:val="20"/>
                <w:szCs w:val="20"/>
                <w:lang w:val="en-AU"/>
              </w:rPr>
            </w:pPr>
          </w:p>
        </w:tc>
      </w:tr>
      <w:tr w:rsidR="005A1995" w:rsidRPr="0038463D" w:rsidTr="005A1995">
        <w:trPr>
          <w:jc w:val="center"/>
        </w:trPr>
        <w:tc>
          <w:tcPr>
            <w:tcW w:w="2093" w:type="dxa"/>
            <w:tcBorders>
              <w:left w:val="single" w:sz="12" w:space="0" w:color="auto"/>
            </w:tcBorders>
            <w:vAlign w:val="center"/>
          </w:tcPr>
          <w:p w:rsidR="007168AC" w:rsidRPr="0038463D" w:rsidRDefault="007168AC" w:rsidP="0038463D">
            <w:pPr>
              <w:spacing w:after="0"/>
              <w:rPr>
                <w:rFonts w:asciiTheme="minorHAnsi" w:hAnsiTheme="minorHAnsi"/>
                <w:sz w:val="20"/>
                <w:szCs w:val="20"/>
                <w:lang w:val="en-AU"/>
              </w:rPr>
            </w:pPr>
            <w:r w:rsidRPr="0038463D">
              <w:rPr>
                <w:rFonts w:asciiTheme="minorHAnsi" w:hAnsiTheme="minorHAnsi"/>
                <w:sz w:val="20"/>
                <w:szCs w:val="20"/>
                <w:lang w:val="en-AU"/>
              </w:rPr>
              <w:t xml:space="preserve">KPI 8 </w:t>
            </w:r>
          </w:p>
          <w:p w:rsidR="007168AC" w:rsidRPr="0038463D" w:rsidRDefault="007168AC" w:rsidP="0038463D">
            <w:pPr>
              <w:spacing w:after="0"/>
              <w:rPr>
                <w:rFonts w:asciiTheme="minorHAnsi" w:hAnsiTheme="minorHAnsi"/>
                <w:sz w:val="20"/>
                <w:szCs w:val="20"/>
                <w:lang w:val="en-AU"/>
              </w:rPr>
            </w:pPr>
            <w:r w:rsidRPr="0038463D">
              <w:rPr>
                <w:rFonts w:asciiTheme="minorHAnsi" w:hAnsiTheme="minorHAnsi"/>
                <w:sz w:val="20"/>
                <w:szCs w:val="20"/>
                <w:lang w:val="en-AU"/>
              </w:rPr>
              <w:t xml:space="preserve">Average district expenditure per student </w:t>
            </w:r>
          </w:p>
        </w:tc>
        <w:tc>
          <w:tcPr>
            <w:tcW w:w="2835" w:type="dxa"/>
            <w:vAlign w:val="center"/>
          </w:tcPr>
          <w:p w:rsidR="007168AC" w:rsidRPr="0038463D" w:rsidRDefault="007168AC" w:rsidP="0038463D">
            <w:pPr>
              <w:spacing w:after="0"/>
              <w:rPr>
                <w:rFonts w:asciiTheme="minorHAnsi" w:hAnsiTheme="minorHAnsi"/>
                <w:sz w:val="20"/>
                <w:szCs w:val="20"/>
                <w:lang w:val="en-AU"/>
              </w:rPr>
            </w:pPr>
            <w:r w:rsidRPr="0038463D">
              <w:rPr>
                <w:rFonts w:asciiTheme="minorHAnsi" w:hAnsiTheme="minorHAnsi"/>
                <w:sz w:val="20"/>
                <w:szCs w:val="20"/>
                <w:lang w:val="en-AU"/>
              </w:rPr>
              <w:t>Public expenditure from APBD divided by total number of school students</w:t>
            </w:r>
          </w:p>
        </w:tc>
        <w:tc>
          <w:tcPr>
            <w:tcW w:w="992" w:type="dxa"/>
            <w:vAlign w:val="center"/>
          </w:tcPr>
          <w:p w:rsidR="007168AC" w:rsidRPr="0038463D" w:rsidRDefault="007168AC" w:rsidP="0038463D">
            <w:pPr>
              <w:spacing w:after="0"/>
              <w:jc w:val="center"/>
              <w:rPr>
                <w:rFonts w:asciiTheme="minorHAnsi" w:hAnsiTheme="minorHAnsi"/>
                <w:sz w:val="20"/>
                <w:szCs w:val="20"/>
                <w:lang w:val="en-AU"/>
              </w:rPr>
            </w:pPr>
            <w:r w:rsidRPr="0038463D">
              <w:rPr>
                <w:rFonts w:asciiTheme="minorHAnsi" w:hAnsiTheme="minorHAnsi"/>
                <w:sz w:val="20"/>
                <w:szCs w:val="20"/>
                <w:lang w:val="en-AU"/>
              </w:rPr>
              <w:t>District</w:t>
            </w:r>
          </w:p>
        </w:tc>
        <w:tc>
          <w:tcPr>
            <w:tcW w:w="1559" w:type="dxa"/>
            <w:vAlign w:val="center"/>
          </w:tcPr>
          <w:p w:rsidR="007168AC" w:rsidRPr="0038463D" w:rsidRDefault="007168AC" w:rsidP="0038463D">
            <w:pPr>
              <w:spacing w:after="0"/>
              <w:jc w:val="center"/>
              <w:rPr>
                <w:rFonts w:asciiTheme="minorHAnsi" w:hAnsiTheme="minorHAnsi"/>
                <w:sz w:val="20"/>
                <w:szCs w:val="20"/>
                <w:lang w:val="en-AU"/>
              </w:rPr>
            </w:pPr>
            <w:r w:rsidRPr="0038463D">
              <w:rPr>
                <w:rFonts w:asciiTheme="minorHAnsi" w:hAnsiTheme="minorHAnsi"/>
                <w:sz w:val="20"/>
                <w:szCs w:val="20"/>
                <w:lang w:val="en-AU"/>
              </w:rPr>
              <w:t>Government commitment</w:t>
            </w:r>
          </w:p>
          <w:p w:rsidR="007168AC" w:rsidRPr="0038463D" w:rsidRDefault="007168AC" w:rsidP="0038463D">
            <w:pPr>
              <w:spacing w:after="0"/>
              <w:jc w:val="center"/>
              <w:rPr>
                <w:rFonts w:asciiTheme="minorHAnsi" w:hAnsiTheme="minorHAnsi"/>
                <w:sz w:val="20"/>
                <w:szCs w:val="20"/>
                <w:lang w:val="en-AU"/>
              </w:rPr>
            </w:pPr>
            <w:r w:rsidRPr="0038463D">
              <w:rPr>
                <w:rFonts w:asciiTheme="minorHAnsi" w:hAnsiTheme="minorHAnsi"/>
                <w:sz w:val="20"/>
                <w:szCs w:val="20"/>
                <w:lang w:val="en-AU"/>
              </w:rPr>
              <w:t>Quality</w:t>
            </w:r>
          </w:p>
        </w:tc>
        <w:tc>
          <w:tcPr>
            <w:tcW w:w="993" w:type="dxa"/>
            <w:shd w:val="clear" w:color="auto" w:fill="92D050"/>
            <w:vAlign w:val="center"/>
          </w:tcPr>
          <w:p w:rsidR="007168AC" w:rsidRPr="0038463D" w:rsidRDefault="007168AC" w:rsidP="0038463D">
            <w:pPr>
              <w:spacing w:after="0"/>
              <w:jc w:val="center"/>
              <w:rPr>
                <w:rFonts w:asciiTheme="minorHAnsi" w:hAnsiTheme="minorHAnsi"/>
                <w:sz w:val="20"/>
                <w:szCs w:val="20"/>
                <w:lang w:val="en-AU"/>
              </w:rPr>
            </w:pPr>
            <w:r w:rsidRPr="0038463D">
              <w:rPr>
                <w:rFonts w:asciiTheme="minorHAnsi" w:hAnsiTheme="minorHAnsi"/>
                <w:sz w:val="20"/>
                <w:szCs w:val="20"/>
                <w:lang w:val="en-AU"/>
              </w:rPr>
              <w:t>Positive</w:t>
            </w:r>
          </w:p>
        </w:tc>
        <w:tc>
          <w:tcPr>
            <w:tcW w:w="4536" w:type="dxa"/>
            <w:tcBorders>
              <w:right w:val="single" w:sz="12" w:space="0" w:color="auto"/>
            </w:tcBorders>
            <w:vAlign w:val="center"/>
          </w:tcPr>
          <w:p w:rsidR="007168AC" w:rsidRPr="0038463D" w:rsidRDefault="007168AC" w:rsidP="0038463D">
            <w:pPr>
              <w:spacing w:after="0"/>
              <w:rPr>
                <w:rFonts w:asciiTheme="minorHAnsi" w:hAnsiTheme="minorHAnsi"/>
                <w:sz w:val="20"/>
                <w:szCs w:val="20"/>
                <w:lang w:val="en-AU"/>
              </w:rPr>
            </w:pPr>
            <w:r w:rsidRPr="0038463D">
              <w:rPr>
                <w:rFonts w:asciiTheme="minorHAnsi" w:hAnsiTheme="minorHAnsi"/>
                <w:b/>
                <w:sz w:val="20"/>
                <w:szCs w:val="20"/>
                <w:lang w:val="en-AU"/>
              </w:rPr>
              <w:t>Comment:</w:t>
            </w:r>
            <w:r w:rsidRPr="0038463D">
              <w:rPr>
                <w:rFonts w:asciiTheme="minorHAnsi" w:hAnsiTheme="minorHAnsi"/>
                <w:sz w:val="20"/>
                <w:szCs w:val="20"/>
                <w:lang w:val="en-AU"/>
              </w:rPr>
              <w:t xml:space="preserve"> Average expenditure per student across the country grew</w:t>
            </w:r>
            <w:r w:rsidR="004645AE" w:rsidRPr="0038463D">
              <w:rPr>
                <w:rFonts w:asciiTheme="minorHAnsi" w:hAnsiTheme="minorHAnsi"/>
                <w:sz w:val="20"/>
                <w:szCs w:val="20"/>
                <w:lang w:val="en-AU"/>
              </w:rPr>
              <w:t xml:space="preserve"> in 2012</w:t>
            </w:r>
            <w:r w:rsidRPr="0038463D">
              <w:rPr>
                <w:rFonts w:asciiTheme="minorHAnsi" w:hAnsiTheme="minorHAnsi"/>
                <w:sz w:val="20"/>
                <w:szCs w:val="20"/>
                <w:lang w:val="en-AU"/>
              </w:rPr>
              <w:t xml:space="preserve"> but not as strongly as for 2011. </w:t>
            </w:r>
          </w:p>
          <w:p w:rsidR="007168AC" w:rsidRPr="0038463D" w:rsidRDefault="007168AC" w:rsidP="0038463D">
            <w:pPr>
              <w:spacing w:after="0"/>
              <w:rPr>
                <w:rFonts w:asciiTheme="minorHAnsi" w:hAnsiTheme="minorHAnsi"/>
                <w:sz w:val="20"/>
                <w:szCs w:val="20"/>
                <w:lang w:val="en-AU"/>
              </w:rPr>
            </w:pPr>
            <w:r w:rsidRPr="0038463D">
              <w:rPr>
                <w:rFonts w:asciiTheme="minorHAnsi" w:hAnsiTheme="minorHAnsi"/>
                <w:b/>
                <w:sz w:val="20"/>
                <w:szCs w:val="20"/>
                <w:lang w:val="en-AU"/>
              </w:rPr>
              <w:t>Implications</w:t>
            </w:r>
            <w:r w:rsidRPr="0038463D">
              <w:rPr>
                <w:rFonts w:asciiTheme="minorHAnsi" w:hAnsiTheme="minorHAnsi"/>
                <w:sz w:val="20"/>
                <w:szCs w:val="20"/>
                <w:lang w:val="en-AU"/>
              </w:rPr>
              <w:t xml:space="preserve">: Some districts showing negative growth </w:t>
            </w:r>
            <w:r w:rsidR="004645AE" w:rsidRPr="0038463D">
              <w:rPr>
                <w:rFonts w:asciiTheme="minorHAnsi" w:hAnsiTheme="minorHAnsi"/>
                <w:sz w:val="20"/>
                <w:szCs w:val="20"/>
                <w:lang w:val="en-AU"/>
              </w:rPr>
              <w:t xml:space="preserve">should </w:t>
            </w:r>
            <w:r w:rsidRPr="0038463D">
              <w:rPr>
                <w:rFonts w:asciiTheme="minorHAnsi" w:hAnsiTheme="minorHAnsi"/>
                <w:sz w:val="20"/>
                <w:szCs w:val="20"/>
                <w:lang w:val="en-AU"/>
              </w:rPr>
              <w:t>be monitored</w:t>
            </w:r>
          </w:p>
        </w:tc>
      </w:tr>
      <w:tr w:rsidR="005A1995" w:rsidRPr="0038463D" w:rsidTr="005A1995">
        <w:trPr>
          <w:jc w:val="center"/>
        </w:trPr>
        <w:tc>
          <w:tcPr>
            <w:tcW w:w="2093" w:type="dxa"/>
            <w:tcBorders>
              <w:left w:val="single" w:sz="12" w:space="0" w:color="auto"/>
            </w:tcBorders>
            <w:vAlign w:val="center"/>
          </w:tcPr>
          <w:p w:rsidR="007168AC" w:rsidRPr="0038463D" w:rsidRDefault="007168AC" w:rsidP="0038463D">
            <w:pPr>
              <w:spacing w:after="0"/>
              <w:rPr>
                <w:rFonts w:asciiTheme="minorHAnsi" w:hAnsiTheme="minorHAnsi"/>
                <w:sz w:val="20"/>
                <w:szCs w:val="20"/>
                <w:lang w:val="en-AU"/>
              </w:rPr>
            </w:pPr>
            <w:r w:rsidRPr="0038463D">
              <w:rPr>
                <w:rFonts w:asciiTheme="minorHAnsi" w:hAnsiTheme="minorHAnsi"/>
                <w:sz w:val="20"/>
                <w:szCs w:val="20"/>
                <w:lang w:val="en-AU"/>
              </w:rPr>
              <w:t xml:space="preserve">KPI 9 </w:t>
            </w:r>
          </w:p>
          <w:p w:rsidR="007168AC" w:rsidRPr="0038463D" w:rsidRDefault="007168AC" w:rsidP="0038463D">
            <w:pPr>
              <w:spacing w:after="0"/>
              <w:rPr>
                <w:rFonts w:asciiTheme="minorHAnsi" w:hAnsiTheme="minorHAnsi"/>
                <w:sz w:val="20"/>
                <w:szCs w:val="20"/>
                <w:lang w:val="en-AU"/>
              </w:rPr>
            </w:pPr>
            <w:r w:rsidRPr="0038463D">
              <w:rPr>
                <w:rFonts w:asciiTheme="minorHAnsi" w:hAnsiTheme="minorHAnsi"/>
                <w:sz w:val="20"/>
                <w:szCs w:val="20"/>
                <w:lang w:val="en-AU"/>
              </w:rPr>
              <w:t>Actual education expenditure as % of planned expenditure</w:t>
            </w:r>
          </w:p>
        </w:tc>
        <w:tc>
          <w:tcPr>
            <w:tcW w:w="2835" w:type="dxa"/>
            <w:vAlign w:val="center"/>
          </w:tcPr>
          <w:p w:rsidR="007168AC" w:rsidRPr="0038463D" w:rsidRDefault="007168AC" w:rsidP="0038463D">
            <w:pPr>
              <w:spacing w:after="0"/>
              <w:rPr>
                <w:rFonts w:asciiTheme="minorHAnsi" w:hAnsiTheme="minorHAnsi"/>
                <w:sz w:val="20"/>
                <w:szCs w:val="20"/>
                <w:lang w:val="en-AU"/>
              </w:rPr>
            </w:pPr>
            <w:r w:rsidRPr="0038463D">
              <w:rPr>
                <w:rFonts w:asciiTheme="minorHAnsi" w:hAnsiTheme="minorHAnsi"/>
                <w:sz w:val="20"/>
                <w:szCs w:val="20"/>
                <w:lang w:val="en-AU"/>
              </w:rPr>
              <w:t>Realised APBD for education as % of planned APBD for education</w:t>
            </w:r>
          </w:p>
        </w:tc>
        <w:tc>
          <w:tcPr>
            <w:tcW w:w="992" w:type="dxa"/>
            <w:vAlign w:val="center"/>
          </w:tcPr>
          <w:p w:rsidR="007168AC" w:rsidRPr="0038463D" w:rsidRDefault="007168AC" w:rsidP="0038463D">
            <w:pPr>
              <w:spacing w:after="0"/>
              <w:jc w:val="center"/>
              <w:rPr>
                <w:rFonts w:asciiTheme="minorHAnsi" w:hAnsiTheme="minorHAnsi"/>
                <w:sz w:val="20"/>
                <w:szCs w:val="20"/>
                <w:lang w:val="en-AU"/>
              </w:rPr>
            </w:pPr>
            <w:r w:rsidRPr="0038463D">
              <w:rPr>
                <w:rFonts w:asciiTheme="minorHAnsi" w:hAnsiTheme="minorHAnsi"/>
                <w:sz w:val="20"/>
                <w:szCs w:val="20"/>
                <w:lang w:val="en-AU"/>
              </w:rPr>
              <w:t>District</w:t>
            </w:r>
          </w:p>
        </w:tc>
        <w:tc>
          <w:tcPr>
            <w:tcW w:w="1559" w:type="dxa"/>
            <w:vAlign w:val="center"/>
          </w:tcPr>
          <w:p w:rsidR="007168AC" w:rsidRPr="0038463D" w:rsidRDefault="007168AC" w:rsidP="0038463D">
            <w:pPr>
              <w:spacing w:after="0"/>
              <w:jc w:val="center"/>
              <w:rPr>
                <w:rFonts w:asciiTheme="minorHAnsi" w:hAnsiTheme="minorHAnsi"/>
                <w:sz w:val="20"/>
                <w:szCs w:val="20"/>
                <w:lang w:val="en-AU"/>
              </w:rPr>
            </w:pPr>
            <w:r w:rsidRPr="0038463D">
              <w:rPr>
                <w:rFonts w:asciiTheme="minorHAnsi" w:hAnsiTheme="minorHAnsi"/>
                <w:sz w:val="20"/>
                <w:szCs w:val="20"/>
                <w:lang w:val="en-AU"/>
              </w:rPr>
              <w:t>Government commitment</w:t>
            </w:r>
          </w:p>
        </w:tc>
        <w:tc>
          <w:tcPr>
            <w:tcW w:w="993" w:type="dxa"/>
            <w:shd w:val="clear" w:color="auto" w:fill="92D050"/>
            <w:vAlign w:val="center"/>
          </w:tcPr>
          <w:p w:rsidR="007168AC" w:rsidRPr="0038463D" w:rsidRDefault="007168AC" w:rsidP="0038463D">
            <w:pPr>
              <w:spacing w:after="0"/>
              <w:jc w:val="center"/>
              <w:rPr>
                <w:rFonts w:asciiTheme="minorHAnsi" w:hAnsiTheme="minorHAnsi"/>
                <w:sz w:val="20"/>
                <w:szCs w:val="20"/>
                <w:lang w:val="en-AU"/>
              </w:rPr>
            </w:pPr>
            <w:r w:rsidRPr="0038463D">
              <w:rPr>
                <w:rFonts w:asciiTheme="minorHAnsi" w:hAnsiTheme="minorHAnsi"/>
                <w:sz w:val="20"/>
                <w:szCs w:val="20"/>
                <w:lang w:val="en-AU"/>
              </w:rPr>
              <w:t>Positive</w:t>
            </w:r>
          </w:p>
        </w:tc>
        <w:tc>
          <w:tcPr>
            <w:tcW w:w="4536" w:type="dxa"/>
            <w:tcBorders>
              <w:right w:val="single" w:sz="12" w:space="0" w:color="auto"/>
            </w:tcBorders>
            <w:vAlign w:val="center"/>
          </w:tcPr>
          <w:p w:rsidR="007168AC" w:rsidRPr="0038463D" w:rsidRDefault="007168AC" w:rsidP="0038463D">
            <w:pPr>
              <w:tabs>
                <w:tab w:val="right" w:pos="5171"/>
              </w:tabs>
              <w:spacing w:after="0"/>
              <w:rPr>
                <w:rFonts w:asciiTheme="minorHAnsi" w:hAnsiTheme="minorHAnsi"/>
                <w:sz w:val="20"/>
                <w:szCs w:val="20"/>
                <w:lang w:val="en-AU"/>
              </w:rPr>
            </w:pPr>
            <w:r w:rsidRPr="0038463D">
              <w:rPr>
                <w:rFonts w:asciiTheme="minorHAnsi" w:hAnsiTheme="minorHAnsi"/>
                <w:b/>
                <w:sz w:val="20"/>
                <w:szCs w:val="20"/>
                <w:lang w:val="en-AU"/>
              </w:rPr>
              <w:t>Comment:</w:t>
            </w:r>
            <w:r w:rsidR="00A81878">
              <w:rPr>
                <w:rFonts w:asciiTheme="minorHAnsi" w:hAnsiTheme="minorHAnsi"/>
                <w:sz w:val="20"/>
                <w:szCs w:val="20"/>
                <w:lang w:val="en-AU"/>
              </w:rPr>
              <w:t xml:space="preserve"> No new data available for 2012. </w:t>
            </w:r>
            <w:r w:rsidRPr="0038463D">
              <w:rPr>
                <w:rFonts w:asciiTheme="minorHAnsi" w:hAnsiTheme="minorHAnsi"/>
                <w:sz w:val="20"/>
                <w:szCs w:val="20"/>
                <w:lang w:val="en-AU"/>
              </w:rPr>
              <w:t xml:space="preserve"> Districts in 2007</w:t>
            </w:r>
            <w:r w:rsidR="004645AE" w:rsidRPr="0038463D">
              <w:rPr>
                <w:rFonts w:asciiTheme="minorHAnsi" w:hAnsiTheme="minorHAnsi"/>
                <w:sz w:val="20"/>
                <w:szCs w:val="20"/>
                <w:lang w:val="en-AU"/>
              </w:rPr>
              <w:t xml:space="preserve"> (the last year for which </w:t>
            </w:r>
            <w:r w:rsidR="00827B97" w:rsidRPr="0038463D">
              <w:rPr>
                <w:rFonts w:asciiTheme="minorHAnsi" w:hAnsiTheme="minorHAnsi"/>
                <w:sz w:val="20"/>
                <w:szCs w:val="20"/>
                <w:lang w:val="en-AU"/>
              </w:rPr>
              <w:t xml:space="preserve">verified </w:t>
            </w:r>
            <w:r w:rsidR="004645AE" w:rsidRPr="0038463D">
              <w:rPr>
                <w:rFonts w:asciiTheme="minorHAnsi" w:hAnsiTheme="minorHAnsi"/>
                <w:sz w:val="20"/>
                <w:szCs w:val="20"/>
                <w:lang w:val="en-AU"/>
              </w:rPr>
              <w:t>data are available)</w:t>
            </w:r>
            <w:r w:rsidRPr="0038463D">
              <w:rPr>
                <w:rFonts w:asciiTheme="minorHAnsi" w:hAnsiTheme="minorHAnsi"/>
                <w:sz w:val="20"/>
                <w:szCs w:val="20"/>
                <w:lang w:val="en-AU"/>
              </w:rPr>
              <w:t xml:space="preserve"> managed to spend nearly 100% of their planned budget. This was a significant improvement on 2006 where only 91% of funds were spent nationally.</w:t>
            </w:r>
          </w:p>
          <w:p w:rsidR="007168AC" w:rsidRPr="0038463D" w:rsidRDefault="007168AC" w:rsidP="0038463D">
            <w:pPr>
              <w:tabs>
                <w:tab w:val="right" w:pos="5171"/>
              </w:tabs>
              <w:spacing w:after="0"/>
              <w:rPr>
                <w:rFonts w:asciiTheme="minorHAnsi" w:hAnsiTheme="minorHAnsi"/>
                <w:sz w:val="20"/>
                <w:szCs w:val="20"/>
                <w:lang w:val="en-AU"/>
              </w:rPr>
            </w:pPr>
            <w:r w:rsidRPr="0038463D">
              <w:rPr>
                <w:rFonts w:asciiTheme="minorHAnsi" w:hAnsiTheme="minorHAnsi"/>
                <w:b/>
                <w:sz w:val="20"/>
                <w:szCs w:val="20"/>
                <w:lang w:val="en-AU"/>
              </w:rPr>
              <w:t>Implications</w:t>
            </w:r>
            <w:r w:rsidRPr="0038463D">
              <w:rPr>
                <w:rFonts w:asciiTheme="minorHAnsi" w:hAnsiTheme="minorHAnsi"/>
                <w:sz w:val="20"/>
                <w:szCs w:val="20"/>
                <w:lang w:val="en-AU"/>
              </w:rPr>
              <w:t xml:space="preserve">: Updated data </w:t>
            </w:r>
            <w:r w:rsidR="004645AE" w:rsidRPr="0038463D">
              <w:rPr>
                <w:rFonts w:asciiTheme="minorHAnsi" w:hAnsiTheme="minorHAnsi"/>
                <w:sz w:val="20"/>
                <w:szCs w:val="20"/>
                <w:lang w:val="en-AU"/>
              </w:rPr>
              <w:t xml:space="preserve">are </w:t>
            </w:r>
            <w:r w:rsidRPr="0038463D">
              <w:rPr>
                <w:rFonts w:asciiTheme="minorHAnsi" w:hAnsiTheme="minorHAnsi"/>
                <w:sz w:val="20"/>
                <w:szCs w:val="20"/>
                <w:lang w:val="en-AU"/>
              </w:rPr>
              <w:t>required to reach conclusions about possible changes in expenditure patterns</w:t>
            </w:r>
          </w:p>
        </w:tc>
      </w:tr>
      <w:tr w:rsidR="005A1995" w:rsidRPr="0038463D" w:rsidTr="005A1995">
        <w:trPr>
          <w:jc w:val="center"/>
        </w:trPr>
        <w:tc>
          <w:tcPr>
            <w:tcW w:w="2093" w:type="dxa"/>
            <w:tcBorders>
              <w:left w:val="single" w:sz="12" w:space="0" w:color="auto"/>
              <w:bottom w:val="single" w:sz="12" w:space="0" w:color="auto"/>
            </w:tcBorders>
            <w:vAlign w:val="center"/>
          </w:tcPr>
          <w:p w:rsidR="007168AC" w:rsidRPr="0038463D" w:rsidRDefault="007168AC" w:rsidP="0038463D">
            <w:pPr>
              <w:spacing w:after="0"/>
              <w:rPr>
                <w:rFonts w:asciiTheme="minorHAnsi" w:hAnsiTheme="minorHAnsi"/>
                <w:sz w:val="20"/>
                <w:szCs w:val="20"/>
                <w:lang w:val="en-AU"/>
              </w:rPr>
            </w:pPr>
            <w:r w:rsidRPr="0038463D">
              <w:rPr>
                <w:rFonts w:asciiTheme="minorHAnsi" w:hAnsiTheme="minorHAnsi"/>
                <w:sz w:val="20"/>
                <w:szCs w:val="20"/>
                <w:lang w:val="en-AU"/>
              </w:rPr>
              <w:t xml:space="preserve">SPI 1 </w:t>
            </w:r>
          </w:p>
          <w:p w:rsidR="007168AC" w:rsidRPr="0038463D" w:rsidRDefault="007168AC" w:rsidP="0038463D">
            <w:pPr>
              <w:spacing w:after="0"/>
              <w:rPr>
                <w:rFonts w:asciiTheme="minorHAnsi" w:hAnsiTheme="minorHAnsi"/>
                <w:sz w:val="20"/>
                <w:szCs w:val="20"/>
                <w:lang w:val="en-AU"/>
              </w:rPr>
            </w:pPr>
            <w:r w:rsidRPr="0038463D">
              <w:rPr>
                <w:rFonts w:asciiTheme="minorHAnsi" w:hAnsiTheme="minorHAnsi"/>
                <w:sz w:val="20"/>
                <w:szCs w:val="20"/>
                <w:lang w:val="en-AU"/>
              </w:rPr>
              <w:t>Discretionary school funds as % of total district</w:t>
            </w:r>
            <w:r w:rsidR="004971BD">
              <w:rPr>
                <w:rFonts w:asciiTheme="minorHAnsi" w:hAnsiTheme="minorHAnsi"/>
                <w:sz w:val="20"/>
                <w:szCs w:val="20"/>
                <w:lang w:val="en-AU"/>
              </w:rPr>
              <w:t xml:space="preserve"> </w:t>
            </w:r>
            <w:r w:rsidRPr="0038463D">
              <w:rPr>
                <w:rFonts w:asciiTheme="minorHAnsi" w:hAnsiTheme="minorHAnsi"/>
                <w:sz w:val="20"/>
                <w:szCs w:val="20"/>
                <w:lang w:val="en-AU"/>
              </w:rPr>
              <w:t>school expenditure</w:t>
            </w:r>
          </w:p>
        </w:tc>
        <w:tc>
          <w:tcPr>
            <w:tcW w:w="2835" w:type="dxa"/>
            <w:tcBorders>
              <w:bottom w:val="single" w:sz="12" w:space="0" w:color="auto"/>
            </w:tcBorders>
            <w:vAlign w:val="center"/>
          </w:tcPr>
          <w:p w:rsidR="007168AC" w:rsidRPr="0038463D" w:rsidRDefault="007168AC" w:rsidP="0038463D">
            <w:pPr>
              <w:spacing w:after="0"/>
              <w:rPr>
                <w:rFonts w:asciiTheme="minorHAnsi" w:hAnsiTheme="minorHAnsi"/>
                <w:sz w:val="20"/>
                <w:szCs w:val="20"/>
                <w:lang w:val="en-AU"/>
              </w:rPr>
            </w:pPr>
            <w:r w:rsidRPr="0038463D">
              <w:rPr>
                <w:rFonts w:asciiTheme="minorHAnsi" w:hAnsiTheme="minorHAnsi"/>
                <w:sz w:val="20"/>
                <w:szCs w:val="20"/>
                <w:lang w:val="en-AU"/>
              </w:rPr>
              <w:t>Estimated BOS expenditure as % of total school expenditure</w:t>
            </w:r>
          </w:p>
        </w:tc>
        <w:tc>
          <w:tcPr>
            <w:tcW w:w="992" w:type="dxa"/>
            <w:tcBorders>
              <w:bottom w:val="single" w:sz="12" w:space="0" w:color="auto"/>
            </w:tcBorders>
            <w:vAlign w:val="center"/>
          </w:tcPr>
          <w:p w:rsidR="007168AC" w:rsidRPr="0038463D" w:rsidRDefault="007168AC" w:rsidP="0038463D">
            <w:pPr>
              <w:spacing w:after="0"/>
              <w:jc w:val="center"/>
              <w:rPr>
                <w:rFonts w:asciiTheme="minorHAnsi" w:hAnsiTheme="minorHAnsi"/>
                <w:sz w:val="20"/>
                <w:szCs w:val="20"/>
                <w:lang w:val="en-AU"/>
              </w:rPr>
            </w:pPr>
            <w:r w:rsidRPr="0038463D">
              <w:rPr>
                <w:rFonts w:asciiTheme="minorHAnsi" w:hAnsiTheme="minorHAnsi"/>
                <w:sz w:val="20"/>
                <w:szCs w:val="20"/>
                <w:lang w:val="en-AU"/>
              </w:rPr>
              <w:t>District</w:t>
            </w:r>
          </w:p>
        </w:tc>
        <w:tc>
          <w:tcPr>
            <w:tcW w:w="1559" w:type="dxa"/>
            <w:tcBorders>
              <w:bottom w:val="single" w:sz="12" w:space="0" w:color="auto"/>
            </w:tcBorders>
            <w:vAlign w:val="center"/>
          </w:tcPr>
          <w:p w:rsidR="007168AC" w:rsidRPr="0038463D" w:rsidRDefault="007168AC" w:rsidP="0038463D">
            <w:pPr>
              <w:spacing w:after="0"/>
              <w:jc w:val="center"/>
              <w:rPr>
                <w:rFonts w:asciiTheme="minorHAnsi" w:hAnsiTheme="minorHAnsi"/>
                <w:sz w:val="20"/>
                <w:szCs w:val="20"/>
                <w:lang w:val="en-AU"/>
              </w:rPr>
            </w:pPr>
            <w:r w:rsidRPr="0038463D">
              <w:rPr>
                <w:rFonts w:asciiTheme="minorHAnsi" w:hAnsiTheme="minorHAnsi"/>
                <w:sz w:val="20"/>
                <w:szCs w:val="20"/>
                <w:lang w:val="en-AU"/>
              </w:rPr>
              <w:t>Quality</w:t>
            </w:r>
          </w:p>
        </w:tc>
        <w:tc>
          <w:tcPr>
            <w:tcW w:w="993" w:type="dxa"/>
            <w:tcBorders>
              <w:bottom w:val="single" w:sz="12" w:space="0" w:color="auto"/>
            </w:tcBorders>
            <w:shd w:val="clear" w:color="auto" w:fill="92D050"/>
            <w:vAlign w:val="center"/>
          </w:tcPr>
          <w:p w:rsidR="007168AC" w:rsidRPr="0038463D" w:rsidRDefault="007168AC" w:rsidP="0038463D">
            <w:pPr>
              <w:spacing w:after="0"/>
              <w:jc w:val="center"/>
              <w:rPr>
                <w:rFonts w:asciiTheme="minorHAnsi" w:hAnsiTheme="minorHAnsi"/>
                <w:sz w:val="20"/>
                <w:szCs w:val="20"/>
                <w:lang w:val="en-AU"/>
              </w:rPr>
            </w:pPr>
            <w:r w:rsidRPr="0038463D">
              <w:rPr>
                <w:rFonts w:asciiTheme="minorHAnsi" w:hAnsiTheme="minorHAnsi"/>
                <w:sz w:val="20"/>
                <w:szCs w:val="20"/>
                <w:lang w:val="en-AU"/>
              </w:rPr>
              <w:t>Positive</w:t>
            </w:r>
          </w:p>
        </w:tc>
        <w:tc>
          <w:tcPr>
            <w:tcW w:w="4536" w:type="dxa"/>
            <w:tcBorders>
              <w:bottom w:val="single" w:sz="12" w:space="0" w:color="auto"/>
              <w:right w:val="single" w:sz="12" w:space="0" w:color="auto"/>
            </w:tcBorders>
            <w:vAlign w:val="center"/>
          </w:tcPr>
          <w:p w:rsidR="007168AC" w:rsidRPr="0038463D" w:rsidRDefault="007168AC" w:rsidP="0038463D">
            <w:pPr>
              <w:tabs>
                <w:tab w:val="right" w:pos="5171"/>
              </w:tabs>
              <w:spacing w:after="0"/>
              <w:rPr>
                <w:rFonts w:asciiTheme="minorHAnsi" w:hAnsiTheme="minorHAnsi"/>
                <w:sz w:val="20"/>
                <w:szCs w:val="20"/>
                <w:lang w:val="en-AU"/>
              </w:rPr>
            </w:pPr>
            <w:r w:rsidRPr="0038463D">
              <w:rPr>
                <w:rFonts w:asciiTheme="minorHAnsi" w:hAnsiTheme="minorHAnsi"/>
                <w:b/>
                <w:sz w:val="20"/>
                <w:szCs w:val="20"/>
                <w:lang w:val="en-AU"/>
              </w:rPr>
              <w:t>Comment:</w:t>
            </w:r>
            <w:r w:rsidRPr="0038463D">
              <w:rPr>
                <w:rFonts w:asciiTheme="minorHAnsi" w:hAnsiTheme="minorHAnsi"/>
                <w:sz w:val="20"/>
                <w:szCs w:val="20"/>
                <w:lang w:val="en-AU"/>
              </w:rPr>
              <w:t xml:space="preserve"> In 2012, the BOS grants increased as a proportion of the district education budget as a result of slower growth in the district education budget, and an increase in the value of the BOS grants themselves. </w:t>
            </w:r>
          </w:p>
          <w:p w:rsidR="007168AC" w:rsidRPr="0038463D" w:rsidRDefault="007168AC" w:rsidP="0038463D">
            <w:pPr>
              <w:tabs>
                <w:tab w:val="right" w:pos="5171"/>
              </w:tabs>
              <w:spacing w:after="0"/>
              <w:rPr>
                <w:rFonts w:asciiTheme="minorHAnsi" w:hAnsiTheme="minorHAnsi"/>
                <w:sz w:val="20"/>
                <w:szCs w:val="20"/>
                <w:lang w:val="en-AU"/>
              </w:rPr>
            </w:pPr>
            <w:r w:rsidRPr="0038463D">
              <w:rPr>
                <w:rFonts w:asciiTheme="minorHAnsi" w:hAnsiTheme="minorHAnsi"/>
                <w:b/>
                <w:sz w:val="20"/>
                <w:szCs w:val="20"/>
                <w:lang w:val="en-AU"/>
              </w:rPr>
              <w:t xml:space="preserve">Implications: </w:t>
            </w:r>
            <w:r w:rsidRPr="0038463D">
              <w:rPr>
                <w:rFonts w:asciiTheme="minorHAnsi" w:hAnsiTheme="minorHAnsi"/>
                <w:sz w:val="20"/>
                <w:szCs w:val="20"/>
                <w:lang w:val="en-AU"/>
              </w:rPr>
              <w:t>Principals and school committees have greater than ever funds for discretionary spending at school level</w:t>
            </w:r>
            <w:r w:rsidRPr="0038463D">
              <w:rPr>
                <w:rFonts w:asciiTheme="minorHAnsi" w:hAnsiTheme="minorHAnsi"/>
                <w:b/>
                <w:sz w:val="20"/>
                <w:szCs w:val="20"/>
                <w:lang w:val="en-AU"/>
              </w:rPr>
              <w:t xml:space="preserve"> </w:t>
            </w:r>
          </w:p>
        </w:tc>
      </w:tr>
    </w:tbl>
    <w:p w:rsidR="005419F4" w:rsidRDefault="005419F4" w:rsidP="005419F4">
      <w:pPr>
        <w:spacing w:after="240"/>
        <w:rPr>
          <w:rStyle w:val="IntenseEmphasis"/>
          <w:rFonts w:asciiTheme="minorHAnsi" w:hAnsiTheme="minorHAnsi"/>
          <w:i w:val="0"/>
          <w:color w:val="003880"/>
          <w:sz w:val="32"/>
        </w:rPr>
      </w:pPr>
    </w:p>
    <w:p w:rsidR="00732091" w:rsidRPr="005A1995" w:rsidRDefault="00A477E2" w:rsidP="005419F4">
      <w:pPr>
        <w:spacing w:after="240"/>
        <w:rPr>
          <w:rStyle w:val="IntenseEmphasis"/>
          <w:rFonts w:asciiTheme="minorHAnsi" w:hAnsiTheme="minorHAnsi"/>
          <w:i w:val="0"/>
          <w:color w:val="003880"/>
          <w:sz w:val="32"/>
        </w:rPr>
      </w:pPr>
      <w:r>
        <w:rPr>
          <w:rStyle w:val="IntenseEmphasis"/>
          <w:rFonts w:asciiTheme="minorHAnsi" w:hAnsiTheme="minorHAnsi"/>
          <w:i w:val="0"/>
          <w:color w:val="003880"/>
          <w:sz w:val="32"/>
        </w:rPr>
        <w:lastRenderedPageBreak/>
        <w:t xml:space="preserve">Risk Areas for </w:t>
      </w:r>
      <w:r w:rsidR="00EB345F" w:rsidRPr="005A1995">
        <w:rPr>
          <w:rStyle w:val="IntenseEmphasis"/>
          <w:rFonts w:asciiTheme="minorHAnsi" w:hAnsiTheme="minorHAnsi"/>
          <w:i w:val="0"/>
          <w:color w:val="003880"/>
          <w:sz w:val="32"/>
        </w:rPr>
        <w:t>the Education Partnership</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759"/>
        <w:gridCol w:w="5589"/>
        <w:gridCol w:w="7822"/>
      </w:tblGrid>
      <w:tr w:rsidR="00B450D8" w:rsidRPr="0038463D" w:rsidTr="00D73DAA">
        <w:trPr>
          <w:jc w:val="center"/>
        </w:trPr>
        <w:tc>
          <w:tcPr>
            <w:tcW w:w="674" w:type="dxa"/>
            <w:tcBorders>
              <w:top w:val="single" w:sz="12" w:space="0" w:color="auto"/>
              <w:left w:val="single" w:sz="12" w:space="0" w:color="auto"/>
              <w:bottom w:val="single" w:sz="4" w:space="0" w:color="auto"/>
              <w:right w:val="single" w:sz="4" w:space="0" w:color="FFFFFF" w:themeColor="background1"/>
            </w:tcBorders>
            <w:shd w:val="clear" w:color="auto" w:fill="003880"/>
            <w:vAlign w:val="center"/>
          </w:tcPr>
          <w:p w:rsidR="00B450D8" w:rsidRPr="0038463D" w:rsidRDefault="0038463D" w:rsidP="0038463D">
            <w:pPr>
              <w:spacing w:after="0"/>
              <w:jc w:val="center"/>
              <w:rPr>
                <w:rFonts w:asciiTheme="minorHAnsi" w:hAnsiTheme="minorHAnsi" w:cstheme="minorHAnsi"/>
                <w:b/>
                <w:sz w:val="20"/>
                <w:szCs w:val="20"/>
              </w:rPr>
            </w:pPr>
            <w:r w:rsidRPr="0038463D">
              <w:rPr>
                <w:rFonts w:asciiTheme="minorHAnsi" w:hAnsiTheme="minorHAnsi" w:cstheme="minorHAnsi"/>
                <w:b/>
                <w:sz w:val="20"/>
                <w:szCs w:val="20"/>
              </w:rPr>
              <w:t>#</w:t>
            </w:r>
          </w:p>
        </w:tc>
        <w:tc>
          <w:tcPr>
            <w:tcW w:w="4963" w:type="dxa"/>
            <w:tcBorders>
              <w:top w:val="single" w:sz="12" w:space="0" w:color="auto"/>
              <w:left w:val="single" w:sz="4" w:space="0" w:color="FFFFFF" w:themeColor="background1"/>
              <w:bottom w:val="single" w:sz="4" w:space="0" w:color="auto"/>
              <w:right w:val="single" w:sz="4" w:space="0" w:color="FFFFFF" w:themeColor="background1"/>
            </w:tcBorders>
            <w:shd w:val="clear" w:color="auto" w:fill="003880"/>
            <w:vAlign w:val="center"/>
          </w:tcPr>
          <w:p w:rsidR="00B450D8" w:rsidRPr="0038463D" w:rsidRDefault="0038463D" w:rsidP="0038463D">
            <w:pPr>
              <w:spacing w:after="0"/>
              <w:jc w:val="center"/>
              <w:rPr>
                <w:rFonts w:asciiTheme="minorHAnsi" w:hAnsiTheme="minorHAnsi" w:cstheme="minorHAnsi"/>
                <w:b/>
                <w:sz w:val="20"/>
                <w:szCs w:val="20"/>
              </w:rPr>
            </w:pPr>
            <w:r w:rsidRPr="0038463D">
              <w:rPr>
                <w:rFonts w:asciiTheme="minorHAnsi" w:hAnsiTheme="minorHAnsi" w:cstheme="minorHAnsi"/>
                <w:b/>
                <w:sz w:val="20"/>
                <w:szCs w:val="20"/>
              </w:rPr>
              <w:t>FINDING</w:t>
            </w:r>
          </w:p>
        </w:tc>
        <w:tc>
          <w:tcPr>
            <w:tcW w:w="6945" w:type="dxa"/>
            <w:tcBorders>
              <w:top w:val="single" w:sz="12" w:space="0" w:color="auto"/>
              <w:left w:val="single" w:sz="4" w:space="0" w:color="FFFFFF" w:themeColor="background1"/>
              <w:bottom w:val="single" w:sz="4" w:space="0" w:color="auto"/>
              <w:right w:val="single" w:sz="12" w:space="0" w:color="auto"/>
            </w:tcBorders>
            <w:shd w:val="clear" w:color="auto" w:fill="003880"/>
            <w:vAlign w:val="center"/>
          </w:tcPr>
          <w:p w:rsidR="00B450D8" w:rsidRPr="0038463D" w:rsidRDefault="0038463D" w:rsidP="0038463D">
            <w:pPr>
              <w:spacing w:after="0"/>
              <w:jc w:val="center"/>
              <w:rPr>
                <w:rFonts w:asciiTheme="minorHAnsi" w:hAnsiTheme="minorHAnsi" w:cstheme="minorHAnsi"/>
                <w:b/>
                <w:sz w:val="20"/>
                <w:szCs w:val="20"/>
              </w:rPr>
            </w:pPr>
            <w:r w:rsidRPr="0038463D">
              <w:rPr>
                <w:rFonts w:asciiTheme="minorHAnsi" w:hAnsiTheme="minorHAnsi" w:cstheme="minorHAnsi"/>
                <w:b/>
                <w:sz w:val="20"/>
                <w:szCs w:val="20"/>
              </w:rPr>
              <w:t>POSSIBLE CONSEQUENCES FOR THE EP</w:t>
            </w:r>
          </w:p>
        </w:tc>
      </w:tr>
      <w:tr w:rsidR="00B450D8" w:rsidRPr="0038463D" w:rsidTr="00D73DAA">
        <w:trPr>
          <w:jc w:val="center"/>
        </w:trPr>
        <w:tc>
          <w:tcPr>
            <w:tcW w:w="674" w:type="dxa"/>
            <w:tcBorders>
              <w:left w:val="single" w:sz="12" w:space="0" w:color="auto"/>
            </w:tcBorders>
            <w:shd w:val="clear" w:color="auto" w:fill="auto"/>
            <w:vAlign w:val="center"/>
          </w:tcPr>
          <w:p w:rsidR="00B450D8" w:rsidRPr="0038463D" w:rsidRDefault="00B450D8" w:rsidP="0038463D">
            <w:pPr>
              <w:spacing w:after="0"/>
              <w:jc w:val="center"/>
              <w:rPr>
                <w:rFonts w:asciiTheme="minorHAnsi" w:hAnsiTheme="minorHAnsi"/>
                <w:sz w:val="20"/>
                <w:szCs w:val="20"/>
                <w:lang w:val="en-AU"/>
              </w:rPr>
            </w:pPr>
            <w:r w:rsidRPr="0038463D">
              <w:rPr>
                <w:rFonts w:asciiTheme="minorHAnsi" w:hAnsiTheme="minorHAnsi"/>
                <w:sz w:val="20"/>
                <w:szCs w:val="20"/>
                <w:lang w:val="en-AU"/>
              </w:rPr>
              <w:t>RA1</w:t>
            </w:r>
          </w:p>
        </w:tc>
        <w:tc>
          <w:tcPr>
            <w:tcW w:w="4963" w:type="dxa"/>
            <w:shd w:val="clear" w:color="auto" w:fill="auto"/>
            <w:vAlign w:val="center"/>
          </w:tcPr>
          <w:p w:rsidR="00B450D8" w:rsidRPr="0038463D" w:rsidRDefault="00B450D8" w:rsidP="0038463D">
            <w:pPr>
              <w:spacing w:after="0"/>
              <w:rPr>
                <w:rFonts w:asciiTheme="minorHAnsi" w:hAnsiTheme="minorHAnsi"/>
                <w:b/>
                <w:sz w:val="20"/>
                <w:szCs w:val="20"/>
                <w:lang w:val="en-AU"/>
              </w:rPr>
            </w:pPr>
            <w:r w:rsidRPr="0038463D">
              <w:rPr>
                <w:sz w:val="20"/>
                <w:szCs w:val="20"/>
                <w:lang w:val="en-AU"/>
              </w:rPr>
              <w:t xml:space="preserve">Some EP districts (including some with the highest poverty rates) are persistently allocating a very low share of their resources </w:t>
            </w:r>
            <w:r w:rsidR="000D2534" w:rsidRPr="0038463D">
              <w:rPr>
                <w:sz w:val="20"/>
                <w:szCs w:val="20"/>
                <w:lang w:val="en-AU"/>
              </w:rPr>
              <w:t xml:space="preserve">to </w:t>
            </w:r>
            <w:r w:rsidRPr="0038463D">
              <w:rPr>
                <w:sz w:val="20"/>
                <w:szCs w:val="20"/>
                <w:lang w:val="en-AU"/>
              </w:rPr>
              <w:t>education.</w:t>
            </w:r>
          </w:p>
        </w:tc>
        <w:tc>
          <w:tcPr>
            <w:tcW w:w="6945" w:type="dxa"/>
            <w:tcBorders>
              <w:right w:val="single" w:sz="12" w:space="0" w:color="auto"/>
            </w:tcBorders>
            <w:shd w:val="clear" w:color="auto" w:fill="auto"/>
            <w:vAlign w:val="center"/>
          </w:tcPr>
          <w:p w:rsidR="00B450D8" w:rsidRPr="0038463D" w:rsidRDefault="00B450D8" w:rsidP="0038463D">
            <w:pPr>
              <w:spacing w:after="0"/>
              <w:rPr>
                <w:rFonts w:asciiTheme="minorHAnsi" w:hAnsiTheme="minorHAnsi"/>
                <w:sz w:val="20"/>
                <w:szCs w:val="20"/>
                <w:lang w:val="en-AU"/>
              </w:rPr>
            </w:pPr>
            <w:r w:rsidRPr="0038463D">
              <w:rPr>
                <w:sz w:val="20"/>
                <w:szCs w:val="20"/>
                <w:lang w:val="en-AU"/>
              </w:rPr>
              <w:t xml:space="preserve">This low commitment may threaten </w:t>
            </w:r>
            <w:r w:rsidR="000D2534" w:rsidRPr="0038463D">
              <w:rPr>
                <w:sz w:val="20"/>
                <w:szCs w:val="20"/>
                <w:lang w:val="en-AU"/>
              </w:rPr>
              <w:t xml:space="preserve">districts’ </w:t>
            </w:r>
            <w:r w:rsidRPr="0038463D">
              <w:rPr>
                <w:sz w:val="20"/>
                <w:szCs w:val="20"/>
                <w:lang w:val="en-AU"/>
              </w:rPr>
              <w:t>ability to sustain recurrent</w:t>
            </w:r>
            <w:r w:rsidR="00827B97" w:rsidRPr="0038463D">
              <w:rPr>
                <w:sz w:val="20"/>
                <w:szCs w:val="20"/>
                <w:lang w:val="en-AU"/>
              </w:rPr>
              <w:t xml:space="preserve"> </w:t>
            </w:r>
            <w:r w:rsidR="0038463D" w:rsidRPr="0038463D">
              <w:rPr>
                <w:sz w:val="20"/>
                <w:szCs w:val="20"/>
                <w:lang w:val="en-AU"/>
              </w:rPr>
              <w:t>expenditures associated</w:t>
            </w:r>
            <w:r w:rsidRPr="0038463D">
              <w:rPr>
                <w:sz w:val="20"/>
                <w:szCs w:val="20"/>
                <w:lang w:val="en-AU"/>
              </w:rPr>
              <w:t xml:space="preserve"> with EP investments.</w:t>
            </w:r>
          </w:p>
        </w:tc>
      </w:tr>
      <w:tr w:rsidR="00B450D8" w:rsidRPr="0038463D" w:rsidTr="00D73DAA">
        <w:trPr>
          <w:jc w:val="center"/>
        </w:trPr>
        <w:tc>
          <w:tcPr>
            <w:tcW w:w="674" w:type="dxa"/>
            <w:tcBorders>
              <w:left w:val="single" w:sz="12" w:space="0" w:color="auto"/>
            </w:tcBorders>
            <w:shd w:val="clear" w:color="auto" w:fill="auto"/>
            <w:vAlign w:val="center"/>
          </w:tcPr>
          <w:p w:rsidR="00B450D8" w:rsidRPr="0038463D" w:rsidRDefault="00B450D8" w:rsidP="0038463D">
            <w:pPr>
              <w:spacing w:after="0"/>
              <w:jc w:val="center"/>
              <w:rPr>
                <w:rFonts w:asciiTheme="minorHAnsi" w:hAnsiTheme="minorHAnsi"/>
                <w:sz w:val="20"/>
                <w:szCs w:val="20"/>
                <w:lang w:val="en-AU"/>
              </w:rPr>
            </w:pPr>
            <w:r w:rsidRPr="0038463D">
              <w:rPr>
                <w:rFonts w:asciiTheme="minorHAnsi" w:hAnsiTheme="minorHAnsi"/>
                <w:sz w:val="20"/>
                <w:szCs w:val="20"/>
                <w:lang w:val="en-AU"/>
              </w:rPr>
              <w:t>RA2</w:t>
            </w:r>
          </w:p>
        </w:tc>
        <w:tc>
          <w:tcPr>
            <w:tcW w:w="4963" w:type="dxa"/>
            <w:shd w:val="clear" w:color="auto" w:fill="auto"/>
            <w:vAlign w:val="center"/>
          </w:tcPr>
          <w:p w:rsidR="00B450D8" w:rsidRPr="0038463D" w:rsidRDefault="00B450D8" w:rsidP="0038463D">
            <w:pPr>
              <w:spacing w:after="0"/>
              <w:rPr>
                <w:sz w:val="20"/>
                <w:szCs w:val="20"/>
                <w:lang w:val="en-AU"/>
              </w:rPr>
            </w:pPr>
            <w:r w:rsidRPr="0038463D">
              <w:rPr>
                <w:sz w:val="20"/>
                <w:szCs w:val="20"/>
                <w:lang w:val="en-AU"/>
              </w:rPr>
              <w:t>Papua (and to a lesser extent Maluku) have many districts performing badly on numerous financing indicators.</w:t>
            </w:r>
          </w:p>
        </w:tc>
        <w:tc>
          <w:tcPr>
            <w:tcW w:w="6945" w:type="dxa"/>
            <w:tcBorders>
              <w:right w:val="single" w:sz="12" w:space="0" w:color="auto"/>
            </w:tcBorders>
            <w:shd w:val="clear" w:color="auto" w:fill="auto"/>
            <w:vAlign w:val="center"/>
          </w:tcPr>
          <w:p w:rsidR="00B450D8" w:rsidRPr="0038463D" w:rsidRDefault="00B450D8" w:rsidP="0038463D">
            <w:pPr>
              <w:spacing w:after="0"/>
              <w:rPr>
                <w:rFonts w:asciiTheme="minorHAnsi" w:hAnsiTheme="minorHAnsi"/>
                <w:sz w:val="20"/>
                <w:szCs w:val="20"/>
                <w:lang w:val="en-AU"/>
              </w:rPr>
            </w:pPr>
            <w:r w:rsidRPr="0038463D">
              <w:rPr>
                <w:sz w:val="20"/>
                <w:szCs w:val="20"/>
                <w:lang w:val="en-AU"/>
              </w:rPr>
              <w:t>EP investments in these two provinces run the risk of losing effectiveness if they are not supported by district financial commitment</w:t>
            </w:r>
            <w:r w:rsidR="000D2534" w:rsidRPr="0038463D">
              <w:rPr>
                <w:sz w:val="20"/>
                <w:szCs w:val="20"/>
                <w:lang w:val="en-AU"/>
              </w:rPr>
              <w:t>.</w:t>
            </w:r>
          </w:p>
        </w:tc>
      </w:tr>
      <w:tr w:rsidR="00B450D8" w:rsidRPr="0038463D" w:rsidTr="00D73DAA">
        <w:trPr>
          <w:jc w:val="center"/>
        </w:trPr>
        <w:tc>
          <w:tcPr>
            <w:tcW w:w="674" w:type="dxa"/>
            <w:tcBorders>
              <w:left w:val="single" w:sz="12" w:space="0" w:color="auto"/>
              <w:bottom w:val="single" w:sz="12" w:space="0" w:color="auto"/>
            </w:tcBorders>
            <w:shd w:val="clear" w:color="auto" w:fill="auto"/>
            <w:vAlign w:val="center"/>
          </w:tcPr>
          <w:p w:rsidR="00B450D8" w:rsidRPr="0038463D" w:rsidRDefault="00B450D8" w:rsidP="0038463D">
            <w:pPr>
              <w:spacing w:after="0"/>
              <w:jc w:val="center"/>
              <w:rPr>
                <w:rFonts w:asciiTheme="minorHAnsi" w:hAnsiTheme="minorHAnsi"/>
                <w:sz w:val="20"/>
                <w:szCs w:val="20"/>
                <w:lang w:val="en-AU"/>
              </w:rPr>
            </w:pPr>
            <w:r w:rsidRPr="0038463D">
              <w:rPr>
                <w:rFonts w:asciiTheme="minorHAnsi" w:hAnsiTheme="minorHAnsi"/>
                <w:sz w:val="20"/>
                <w:szCs w:val="20"/>
                <w:lang w:val="en-AU"/>
              </w:rPr>
              <w:t>RA3</w:t>
            </w:r>
          </w:p>
        </w:tc>
        <w:tc>
          <w:tcPr>
            <w:tcW w:w="4963" w:type="dxa"/>
            <w:tcBorders>
              <w:bottom w:val="single" w:sz="12" w:space="0" w:color="auto"/>
            </w:tcBorders>
            <w:shd w:val="clear" w:color="auto" w:fill="auto"/>
            <w:vAlign w:val="center"/>
          </w:tcPr>
          <w:p w:rsidR="00B450D8" w:rsidRPr="0038463D" w:rsidRDefault="00B450D8" w:rsidP="0038463D">
            <w:pPr>
              <w:spacing w:after="0"/>
              <w:rPr>
                <w:sz w:val="20"/>
                <w:szCs w:val="20"/>
                <w:lang w:val="en-AU"/>
              </w:rPr>
            </w:pPr>
            <w:r w:rsidRPr="0038463D">
              <w:rPr>
                <w:sz w:val="20"/>
                <w:szCs w:val="20"/>
                <w:lang w:val="en-AU"/>
              </w:rPr>
              <w:t>In 2012, 59 EP districts contracted their education budget compared to the previous year.</w:t>
            </w:r>
            <w:r w:rsidR="004971BD">
              <w:rPr>
                <w:sz w:val="20"/>
                <w:szCs w:val="20"/>
                <w:lang w:val="en-AU"/>
              </w:rPr>
              <w:t xml:space="preserve"> </w:t>
            </w:r>
            <w:r w:rsidRPr="0038463D">
              <w:rPr>
                <w:sz w:val="20"/>
                <w:szCs w:val="20"/>
                <w:lang w:val="en-AU"/>
              </w:rPr>
              <w:t>This may continue into the future.</w:t>
            </w:r>
          </w:p>
        </w:tc>
        <w:tc>
          <w:tcPr>
            <w:tcW w:w="6945" w:type="dxa"/>
            <w:tcBorders>
              <w:bottom w:val="single" w:sz="12" w:space="0" w:color="auto"/>
              <w:right w:val="single" w:sz="12" w:space="0" w:color="auto"/>
            </w:tcBorders>
            <w:shd w:val="clear" w:color="auto" w:fill="auto"/>
            <w:vAlign w:val="center"/>
          </w:tcPr>
          <w:p w:rsidR="00B450D8" w:rsidRPr="0038463D" w:rsidRDefault="00B450D8" w:rsidP="00A477E2">
            <w:pPr>
              <w:spacing w:after="0"/>
              <w:rPr>
                <w:rFonts w:asciiTheme="minorHAnsi" w:hAnsiTheme="minorHAnsi"/>
                <w:sz w:val="20"/>
                <w:szCs w:val="20"/>
                <w:lang w:val="en-AU"/>
              </w:rPr>
            </w:pPr>
            <w:r w:rsidRPr="0038463D">
              <w:rPr>
                <w:sz w:val="20"/>
                <w:szCs w:val="20"/>
                <w:lang w:val="en-AU"/>
              </w:rPr>
              <w:t xml:space="preserve">Where this reflects a shifting priority away from education it may jeopardise the ability of districts to meet future financial commitments to </w:t>
            </w:r>
            <w:r w:rsidR="00A477E2">
              <w:rPr>
                <w:sz w:val="20"/>
                <w:szCs w:val="20"/>
                <w:lang w:val="en-AU"/>
              </w:rPr>
              <w:t>professional development</w:t>
            </w:r>
            <w:r w:rsidRPr="0038463D">
              <w:rPr>
                <w:sz w:val="20"/>
                <w:szCs w:val="20"/>
                <w:lang w:val="en-AU"/>
              </w:rPr>
              <w:t xml:space="preserve"> and building maintenance.</w:t>
            </w:r>
          </w:p>
        </w:tc>
      </w:tr>
    </w:tbl>
    <w:p w:rsidR="00B450D8" w:rsidRDefault="00B450D8" w:rsidP="00045CAA">
      <w:pPr>
        <w:rPr>
          <w:rStyle w:val="IntenseEmphasis"/>
        </w:rPr>
      </w:pPr>
    </w:p>
    <w:p w:rsidR="00045CAA" w:rsidRPr="005A1995" w:rsidRDefault="00EB345F" w:rsidP="00D73DAA">
      <w:pPr>
        <w:spacing w:after="240"/>
        <w:rPr>
          <w:rStyle w:val="IntenseEmphasis"/>
          <w:rFonts w:asciiTheme="minorHAnsi" w:hAnsiTheme="minorHAnsi"/>
          <w:i w:val="0"/>
          <w:color w:val="003880"/>
          <w:sz w:val="32"/>
        </w:rPr>
      </w:pPr>
      <w:r w:rsidRPr="005A1995">
        <w:rPr>
          <w:rStyle w:val="IntenseEmphasis"/>
          <w:rFonts w:asciiTheme="minorHAnsi" w:hAnsiTheme="minorHAnsi"/>
          <w:i w:val="0"/>
          <w:color w:val="003880"/>
          <w:sz w:val="32"/>
        </w:rPr>
        <w:t xml:space="preserve">Suggested </w:t>
      </w:r>
      <w:r w:rsidR="0038463D" w:rsidRPr="005A1995">
        <w:rPr>
          <w:rStyle w:val="IntenseEmphasis"/>
          <w:rFonts w:asciiTheme="minorHAnsi" w:hAnsiTheme="minorHAnsi"/>
          <w:i w:val="0"/>
          <w:color w:val="003880"/>
          <w:sz w:val="32"/>
        </w:rPr>
        <w:t>Next Steps</w:t>
      </w:r>
    </w:p>
    <w:tbl>
      <w:tblPr>
        <w:tblStyle w:val="TableGrid3"/>
        <w:tblW w:w="5000" w:type="pct"/>
        <w:jc w:val="center"/>
        <w:tblCellMar>
          <w:top w:w="57" w:type="dxa"/>
          <w:bottom w:w="57" w:type="dxa"/>
        </w:tblCellMar>
        <w:tblLook w:val="04A0" w:firstRow="1" w:lastRow="0" w:firstColumn="1" w:lastColumn="0" w:noHBand="0" w:noVBand="1"/>
      </w:tblPr>
      <w:tblGrid>
        <w:gridCol w:w="9219"/>
        <w:gridCol w:w="4951"/>
      </w:tblGrid>
      <w:tr w:rsidR="00864378" w:rsidRPr="0038463D" w:rsidTr="00D73DAA">
        <w:trPr>
          <w:tblHeader/>
          <w:jc w:val="center"/>
        </w:trPr>
        <w:tc>
          <w:tcPr>
            <w:tcW w:w="3253" w:type="pct"/>
            <w:tcBorders>
              <w:top w:val="single" w:sz="12" w:space="0" w:color="auto"/>
              <w:left w:val="single" w:sz="12" w:space="0" w:color="auto"/>
              <w:bottom w:val="single" w:sz="4" w:space="0" w:color="auto"/>
              <w:right w:val="single" w:sz="4" w:space="0" w:color="FFFFFF" w:themeColor="background1"/>
            </w:tcBorders>
            <w:shd w:val="clear" w:color="auto" w:fill="003880"/>
            <w:vAlign w:val="center"/>
          </w:tcPr>
          <w:p w:rsidR="00864378" w:rsidRPr="0038463D" w:rsidRDefault="005A1995" w:rsidP="00A477E2">
            <w:pPr>
              <w:spacing w:after="0"/>
              <w:jc w:val="center"/>
              <w:rPr>
                <w:rFonts w:asciiTheme="minorHAnsi" w:hAnsiTheme="minorHAnsi" w:cstheme="minorHAnsi"/>
                <w:b/>
                <w:color w:val="FFFFFF" w:themeColor="background1"/>
                <w:sz w:val="20"/>
                <w:szCs w:val="19"/>
                <w:lang w:val="en-US"/>
              </w:rPr>
            </w:pPr>
            <w:r w:rsidRPr="0038463D">
              <w:rPr>
                <w:rFonts w:asciiTheme="minorHAnsi" w:hAnsiTheme="minorHAnsi" w:cstheme="minorHAnsi"/>
                <w:b/>
                <w:color w:val="FFFFFF" w:themeColor="background1"/>
                <w:sz w:val="20"/>
                <w:szCs w:val="19"/>
                <w:lang w:val="en-US"/>
              </w:rPr>
              <w:t>NEXT STEPS (AND LEVEL OF URGENCY)</w:t>
            </w:r>
          </w:p>
        </w:tc>
        <w:tc>
          <w:tcPr>
            <w:tcW w:w="1747" w:type="pct"/>
            <w:tcBorders>
              <w:top w:val="single" w:sz="12" w:space="0" w:color="auto"/>
              <w:left w:val="single" w:sz="4" w:space="0" w:color="FFFFFF" w:themeColor="background1"/>
              <w:bottom w:val="single" w:sz="4" w:space="0" w:color="auto"/>
              <w:right w:val="single" w:sz="12" w:space="0" w:color="auto"/>
            </w:tcBorders>
            <w:shd w:val="clear" w:color="auto" w:fill="003880"/>
            <w:vAlign w:val="center"/>
          </w:tcPr>
          <w:p w:rsidR="00864378" w:rsidRPr="0038463D" w:rsidRDefault="005A1995" w:rsidP="005A1995">
            <w:pPr>
              <w:spacing w:after="0"/>
              <w:jc w:val="center"/>
              <w:rPr>
                <w:rFonts w:asciiTheme="minorHAnsi" w:hAnsiTheme="minorHAnsi" w:cstheme="minorHAnsi"/>
                <w:b/>
                <w:color w:val="FFFFFF" w:themeColor="background1"/>
                <w:sz w:val="20"/>
                <w:szCs w:val="19"/>
                <w:lang w:val="en-US"/>
              </w:rPr>
            </w:pPr>
            <w:r w:rsidRPr="0038463D">
              <w:rPr>
                <w:rFonts w:asciiTheme="minorHAnsi" w:hAnsiTheme="minorHAnsi" w:cstheme="minorHAnsi"/>
                <w:b/>
                <w:color w:val="FFFFFF" w:themeColor="background1"/>
                <w:sz w:val="20"/>
                <w:szCs w:val="19"/>
                <w:lang w:val="en-US"/>
              </w:rPr>
              <w:t>PRIME RESPONSIBILITY</w:t>
            </w:r>
          </w:p>
        </w:tc>
      </w:tr>
      <w:tr w:rsidR="00864378" w:rsidRPr="0038463D" w:rsidTr="00D73DAA">
        <w:trPr>
          <w:jc w:val="center"/>
        </w:trPr>
        <w:tc>
          <w:tcPr>
            <w:tcW w:w="3253" w:type="pct"/>
            <w:tcBorders>
              <w:left w:val="single" w:sz="12" w:space="0" w:color="auto"/>
            </w:tcBorders>
            <w:shd w:val="clear" w:color="auto" w:fill="FFC000"/>
            <w:vAlign w:val="center"/>
          </w:tcPr>
          <w:p w:rsidR="00864378" w:rsidRPr="0038463D" w:rsidRDefault="00864378" w:rsidP="005A1995">
            <w:pPr>
              <w:spacing w:after="0"/>
              <w:rPr>
                <w:rFonts w:eastAsia="Times New Roman" w:cs="Calibri"/>
                <w:sz w:val="20"/>
                <w:szCs w:val="19"/>
                <w:lang w:val="en-AU"/>
              </w:rPr>
            </w:pPr>
            <w:r w:rsidRPr="0038463D">
              <w:rPr>
                <w:sz w:val="20"/>
                <w:szCs w:val="19"/>
                <w:lang w:val="en-AU"/>
              </w:rPr>
              <w:t>NS1: EP districts which have very small share of total district budget allocated for education</w:t>
            </w:r>
            <w:r w:rsidR="003A1B0A" w:rsidRPr="0038463D">
              <w:rPr>
                <w:sz w:val="20"/>
                <w:szCs w:val="19"/>
                <w:lang w:val="en-AU"/>
              </w:rPr>
              <w:t xml:space="preserve"> </w:t>
            </w:r>
            <w:r w:rsidRPr="0038463D">
              <w:rPr>
                <w:sz w:val="20"/>
                <w:szCs w:val="19"/>
                <w:lang w:val="en-AU"/>
              </w:rPr>
              <w:t>should be monitored and engaged in a</w:t>
            </w:r>
            <w:r w:rsidR="003A1B0A" w:rsidRPr="0038463D">
              <w:rPr>
                <w:sz w:val="20"/>
                <w:szCs w:val="19"/>
                <w:lang w:val="en-AU"/>
              </w:rPr>
              <w:t xml:space="preserve"> </w:t>
            </w:r>
            <w:r w:rsidRPr="0038463D">
              <w:rPr>
                <w:sz w:val="20"/>
                <w:szCs w:val="19"/>
                <w:lang w:val="en-AU"/>
              </w:rPr>
              <w:t>dialogue to understand current allocations and future plans</w:t>
            </w:r>
            <w:r w:rsidR="00F66549">
              <w:rPr>
                <w:sz w:val="20"/>
                <w:szCs w:val="19"/>
                <w:lang w:val="en-AU"/>
              </w:rPr>
              <w:t xml:space="preserve"> (**)</w:t>
            </w:r>
            <w:r w:rsidRPr="0038463D">
              <w:rPr>
                <w:sz w:val="20"/>
                <w:szCs w:val="19"/>
                <w:lang w:val="en-AU"/>
              </w:rPr>
              <w:t>.</w:t>
            </w:r>
          </w:p>
        </w:tc>
        <w:tc>
          <w:tcPr>
            <w:tcW w:w="1747" w:type="pct"/>
            <w:tcBorders>
              <w:right w:val="single" w:sz="12" w:space="0" w:color="auto"/>
            </w:tcBorders>
            <w:vAlign w:val="center"/>
          </w:tcPr>
          <w:p w:rsidR="00864378" w:rsidRPr="0038463D" w:rsidRDefault="00864378" w:rsidP="005A1995">
            <w:pPr>
              <w:spacing w:after="0"/>
              <w:jc w:val="center"/>
              <w:rPr>
                <w:sz w:val="20"/>
                <w:szCs w:val="19"/>
                <w:lang w:val="en-AU"/>
              </w:rPr>
            </w:pPr>
            <w:r w:rsidRPr="0038463D">
              <w:rPr>
                <w:sz w:val="20"/>
                <w:szCs w:val="19"/>
                <w:lang w:val="en-AU"/>
              </w:rPr>
              <w:t>POM, with DFAT’s approval</w:t>
            </w:r>
          </w:p>
        </w:tc>
      </w:tr>
      <w:tr w:rsidR="00864378" w:rsidRPr="0038463D" w:rsidTr="00D73DAA">
        <w:trPr>
          <w:jc w:val="center"/>
        </w:trPr>
        <w:tc>
          <w:tcPr>
            <w:tcW w:w="3253" w:type="pct"/>
            <w:tcBorders>
              <w:left w:val="single" w:sz="12" w:space="0" w:color="auto"/>
              <w:bottom w:val="single" w:sz="4" w:space="0" w:color="auto"/>
            </w:tcBorders>
            <w:shd w:val="clear" w:color="auto" w:fill="FFC000"/>
            <w:vAlign w:val="center"/>
          </w:tcPr>
          <w:p w:rsidR="00864378" w:rsidRPr="0038463D" w:rsidRDefault="00864378" w:rsidP="005A1995">
            <w:pPr>
              <w:spacing w:after="0"/>
              <w:rPr>
                <w:sz w:val="20"/>
                <w:szCs w:val="19"/>
                <w:lang w:val="en-AU"/>
              </w:rPr>
            </w:pPr>
            <w:r w:rsidRPr="0038463D">
              <w:rPr>
                <w:sz w:val="20"/>
                <w:szCs w:val="19"/>
                <w:lang w:val="en-AU"/>
              </w:rPr>
              <w:t>NS2: Focus diagnostic and policy response efforts on the Papua and Maluku island groups to understand the factors driving (i) low education share of district budgets, (ii) the average decline in budget allocations in 2012 compared to 2011</w:t>
            </w:r>
            <w:r w:rsidR="00F66549">
              <w:rPr>
                <w:sz w:val="20"/>
                <w:szCs w:val="19"/>
                <w:lang w:val="en-AU"/>
              </w:rPr>
              <w:t xml:space="preserve"> (**)</w:t>
            </w:r>
            <w:r w:rsidRPr="0038463D">
              <w:rPr>
                <w:sz w:val="20"/>
                <w:szCs w:val="19"/>
                <w:lang w:val="en-AU"/>
              </w:rPr>
              <w:t>.</w:t>
            </w:r>
          </w:p>
        </w:tc>
        <w:tc>
          <w:tcPr>
            <w:tcW w:w="1747" w:type="pct"/>
            <w:tcBorders>
              <w:right w:val="single" w:sz="12" w:space="0" w:color="auto"/>
            </w:tcBorders>
            <w:vAlign w:val="center"/>
          </w:tcPr>
          <w:p w:rsidR="00864378" w:rsidRPr="0038463D" w:rsidRDefault="00864378" w:rsidP="005A1995">
            <w:pPr>
              <w:spacing w:after="0"/>
              <w:jc w:val="center"/>
              <w:rPr>
                <w:rFonts w:ascii="Gill Sans MT" w:eastAsia="Times New Roman" w:hAnsi="Gill Sans MT" w:cs="Calibri"/>
                <w:sz w:val="20"/>
                <w:szCs w:val="19"/>
                <w:lang w:val="en-AU"/>
              </w:rPr>
            </w:pPr>
            <w:r w:rsidRPr="0038463D">
              <w:rPr>
                <w:sz w:val="20"/>
                <w:szCs w:val="19"/>
                <w:lang w:val="en-AU"/>
              </w:rPr>
              <w:t>DFAT</w:t>
            </w:r>
            <w:r w:rsidR="00514E63" w:rsidRPr="0038463D">
              <w:rPr>
                <w:sz w:val="20"/>
                <w:szCs w:val="19"/>
                <w:lang w:val="en-AU"/>
              </w:rPr>
              <w:t xml:space="preserve"> (with POM, where appropriate)</w:t>
            </w:r>
          </w:p>
        </w:tc>
      </w:tr>
      <w:tr w:rsidR="00864378" w:rsidRPr="0038463D" w:rsidTr="00D73DAA">
        <w:trPr>
          <w:jc w:val="center"/>
        </w:trPr>
        <w:tc>
          <w:tcPr>
            <w:tcW w:w="3253" w:type="pct"/>
            <w:tcBorders>
              <w:left w:val="single" w:sz="12" w:space="0" w:color="auto"/>
              <w:bottom w:val="single" w:sz="4" w:space="0" w:color="auto"/>
            </w:tcBorders>
            <w:shd w:val="clear" w:color="auto" w:fill="FFC000"/>
            <w:vAlign w:val="center"/>
          </w:tcPr>
          <w:p w:rsidR="00864378" w:rsidRPr="0038463D" w:rsidRDefault="00864378" w:rsidP="005A1995">
            <w:pPr>
              <w:spacing w:after="0"/>
              <w:rPr>
                <w:rFonts w:ascii="Gill Sans MT" w:eastAsia="Times New Roman" w:hAnsi="Gill Sans MT" w:cs="Calibri"/>
                <w:sz w:val="20"/>
                <w:szCs w:val="19"/>
                <w:lang w:val="en-AU"/>
              </w:rPr>
            </w:pPr>
            <w:r w:rsidRPr="0038463D">
              <w:rPr>
                <w:sz w:val="20"/>
                <w:szCs w:val="19"/>
                <w:lang w:val="en-AU"/>
              </w:rPr>
              <w:t xml:space="preserve">NS3: Engage in dialogue </w:t>
            </w:r>
            <w:r w:rsidR="00D93364" w:rsidRPr="0038463D">
              <w:rPr>
                <w:sz w:val="20"/>
                <w:szCs w:val="19"/>
                <w:lang w:val="en-AU"/>
              </w:rPr>
              <w:t xml:space="preserve">with a sample </w:t>
            </w:r>
            <w:r w:rsidR="005A1995" w:rsidRPr="0038463D">
              <w:rPr>
                <w:sz w:val="20"/>
                <w:szCs w:val="19"/>
                <w:lang w:val="en-AU"/>
              </w:rPr>
              <w:t>of EP</w:t>
            </w:r>
            <w:r w:rsidRPr="0038463D">
              <w:rPr>
                <w:sz w:val="20"/>
                <w:szCs w:val="19"/>
                <w:lang w:val="en-AU"/>
              </w:rPr>
              <w:t xml:space="preserve"> districts that reduced their 2012 education budget allocations compared to 2011. Detailed diagnostics on (i) poorest EP districts that had an annual reduction in their 2012 Budget, and (ii) districts with annual drop greater than 10%. Diagnoses to understand reasons for drop and monitor change in allocations in 2013 and 2014 district budgets</w:t>
            </w:r>
            <w:r w:rsidR="00F66549">
              <w:rPr>
                <w:sz w:val="20"/>
                <w:szCs w:val="19"/>
                <w:lang w:val="en-AU"/>
              </w:rPr>
              <w:t xml:space="preserve"> (**)</w:t>
            </w:r>
            <w:r w:rsidRPr="0038463D">
              <w:rPr>
                <w:sz w:val="20"/>
                <w:szCs w:val="19"/>
                <w:lang w:val="en-AU"/>
              </w:rPr>
              <w:t>.</w:t>
            </w:r>
          </w:p>
        </w:tc>
        <w:tc>
          <w:tcPr>
            <w:tcW w:w="1747" w:type="pct"/>
            <w:tcBorders>
              <w:right w:val="single" w:sz="12" w:space="0" w:color="auto"/>
            </w:tcBorders>
            <w:vAlign w:val="center"/>
          </w:tcPr>
          <w:p w:rsidR="00864378" w:rsidRPr="0038463D" w:rsidRDefault="00D93364" w:rsidP="005A1995">
            <w:pPr>
              <w:spacing w:after="0"/>
              <w:jc w:val="center"/>
              <w:rPr>
                <w:sz w:val="20"/>
                <w:szCs w:val="19"/>
                <w:lang w:val="en-AU"/>
              </w:rPr>
            </w:pPr>
            <w:r w:rsidRPr="0038463D">
              <w:rPr>
                <w:sz w:val="20"/>
                <w:szCs w:val="19"/>
                <w:lang w:val="en-AU"/>
              </w:rPr>
              <w:t xml:space="preserve">MOEC and </w:t>
            </w:r>
            <w:r w:rsidR="00864378" w:rsidRPr="0038463D">
              <w:rPr>
                <w:sz w:val="20"/>
                <w:szCs w:val="19"/>
                <w:lang w:val="en-AU"/>
              </w:rPr>
              <w:t>POM</w:t>
            </w:r>
            <w:r w:rsidRPr="0038463D">
              <w:rPr>
                <w:sz w:val="20"/>
                <w:szCs w:val="19"/>
                <w:lang w:val="en-AU"/>
              </w:rPr>
              <w:t xml:space="preserve"> (</w:t>
            </w:r>
            <w:r w:rsidR="00864378" w:rsidRPr="0038463D">
              <w:rPr>
                <w:sz w:val="20"/>
                <w:szCs w:val="19"/>
                <w:lang w:val="en-AU"/>
              </w:rPr>
              <w:t>with DFAT’s approval</w:t>
            </w:r>
            <w:r w:rsidRPr="0038463D">
              <w:rPr>
                <w:sz w:val="20"/>
                <w:szCs w:val="19"/>
                <w:lang w:val="en-AU"/>
              </w:rPr>
              <w:t>)</w:t>
            </w:r>
          </w:p>
        </w:tc>
      </w:tr>
      <w:tr w:rsidR="00864378" w:rsidRPr="0038463D" w:rsidTr="00D73DAA">
        <w:trPr>
          <w:jc w:val="center"/>
        </w:trPr>
        <w:tc>
          <w:tcPr>
            <w:tcW w:w="3253" w:type="pct"/>
            <w:tcBorders>
              <w:left w:val="single" w:sz="12" w:space="0" w:color="auto"/>
              <w:bottom w:val="single" w:sz="12" w:space="0" w:color="auto"/>
            </w:tcBorders>
            <w:shd w:val="clear" w:color="auto" w:fill="92D050"/>
            <w:vAlign w:val="center"/>
          </w:tcPr>
          <w:p w:rsidR="00864378" w:rsidRPr="0038463D" w:rsidRDefault="00A477E2" w:rsidP="005A1995">
            <w:pPr>
              <w:spacing w:after="0"/>
              <w:rPr>
                <w:rFonts w:ascii="Gill Sans MT" w:eastAsia="Times New Roman" w:hAnsi="Gill Sans MT" w:cs="Calibri"/>
                <w:sz w:val="20"/>
                <w:szCs w:val="24"/>
                <w:lang w:val="en-US"/>
              </w:rPr>
            </w:pPr>
            <w:r>
              <w:rPr>
                <w:sz w:val="20"/>
                <w:szCs w:val="19"/>
                <w:lang w:val="en-AU"/>
              </w:rPr>
              <w:t>NS4</w:t>
            </w:r>
            <w:r w:rsidR="00864378" w:rsidRPr="0038463D">
              <w:rPr>
                <w:sz w:val="20"/>
                <w:szCs w:val="19"/>
                <w:lang w:val="en-AU"/>
              </w:rPr>
              <w:t>: Liaise with M</w:t>
            </w:r>
            <w:r w:rsidR="00963993" w:rsidRPr="0038463D">
              <w:rPr>
                <w:sz w:val="20"/>
                <w:szCs w:val="19"/>
                <w:lang w:val="en-AU"/>
              </w:rPr>
              <w:t>o</w:t>
            </w:r>
            <w:r w:rsidR="00864378" w:rsidRPr="0038463D">
              <w:rPr>
                <w:sz w:val="20"/>
                <w:szCs w:val="19"/>
                <w:lang w:val="en-AU"/>
              </w:rPr>
              <w:t xml:space="preserve">EC and other central agencies </w:t>
            </w:r>
            <w:r w:rsidR="00963993" w:rsidRPr="0038463D">
              <w:rPr>
                <w:sz w:val="20"/>
                <w:szCs w:val="19"/>
                <w:lang w:val="en-AU"/>
              </w:rPr>
              <w:t>so as promote</w:t>
            </w:r>
            <w:r w:rsidR="00864378" w:rsidRPr="0038463D">
              <w:rPr>
                <w:sz w:val="20"/>
                <w:szCs w:val="19"/>
                <w:lang w:val="en-AU"/>
              </w:rPr>
              <w:t xml:space="preserve"> the introduction of district report cards on education. These report cards should be produced on annual basis and include key educational development and financial indicators</w:t>
            </w:r>
            <w:r w:rsidR="00F66549">
              <w:rPr>
                <w:sz w:val="20"/>
                <w:szCs w:val="19"/>
                <w:lang w:val="en-AU"/>
              </w:rPr>
              <w:t xml:space="preserve"> (*)</w:t>
            </w:r>
            <w:r w:rsidR="00864378" w:rsidRPr="0038463D">
              <w:rPr>
                <w:sz w:val="20"/>
                <w:szCs w:val="19"/>
                <w:lang w:val="en-AU"/>
              </w:rPr>
              <w:t>.</w:t>
            </w:r>
          </w:p>
        </w:tc>
        <w:tc>
          <w:tcPr>
            <w:tcW w:w="1747" w:type="pct"/>
            <w:tcBorders>
              <w:bottom w:val="single" w:sz="12" w:space="0" w:color="auto"/>
              <w:right w:val="single" w:sz="12" w:space="0" w:color="auto"/>
            </w:tcBorders>
            <w:vAlign w:val="center"/>
          </w:tcPr>
          <w:p w:rsidR="00864378" w:rsidRPr="0038463D" w:rsidRDefault="00A477E2" w:rsidP="00A477E2">
            <w:pPr>
              <w:spacing w:after="0"/>
              <w:jc w:val="center"/>
              <w:rPr>
                <w:sz w:val="20"/>
                <w:szCs w:val="19"/>
                <w:lang w:val="en-AU"/>
              </w:rPr>
            </w:pPr>
            <w:r>
              <w:rPr>
                <w:sz w:val="20"/>
                <w:szCs w:val="19"/>
                <w:lang w:val="en-AU"/>
              </w:rPr>
              <w:t>DFAT</w:t>
            </w:r>
          </w:p>
        </w:tc>
      </w:tr>
    </w:tbl>
    <w:p w:rsidR="00045CAA" w:rsidRDefault="00045CAA" w:rsidP="005419F4">
      <w:pPr>
        <w:spacing w:before="120"/>
      </w:pPr>
      <w:r w:rsidRPr="005A1995">
        <w:rPr>
          <w:i/>
          <w:sz w:val="20"/>
          <w:lang w:val="en-AU"/>
        </w:rPr>
        <w:t>NB: Red - high urgency</w:t>
      </w:r>
      <w:r w:rsidR="00F66549">
        <w:rPr>
          <w:i/>
          <w:sz w:val="20"/>
          <w:lang w:val="en-AU"/>
        </w:rPr>
        <w:t xml:space="preserve"> (***)</w:t>
      </w:r>
      <w:r w:rsidRPr="005A1995">
        <w:rPr>
          <w:i/>
          <w:sz w:val="20"/>
          <w:lang w:val="en-AU"/>
        </w:rPr>
        <w:t>; orange - medium urgency</w:t>
      </w:r>
      <w:r w:rsidR="00F66549">
        <w:rPr>
          <w:i/>
          <w:sz w:val="20"/>
          <w:lang w:val="en-AU"/>
        </w:rPr>
        <w:t xml:space="preserve"> (**)</w:t>
      </w:r>
      <w:r w:rsidRPr="005A1995">
        <w:rPr>
          <w:i/>
          <w:sz w:val="20"/>
          <w:lang w:val="en-AU"/>
        </w:rPr>
        <w:t>; green - low urgency</w:t>
      </w:r>
      <w:r w:rsidR="00F66549">
        <w:rPr>
          <w:i/>
          <w:sz w:val="20"/>
          <w:lang w:val="en-AU"/>
        </w:rPr>
        <w:t xml:space="preserve"> (*)</w:t>
      </w:r>
    </w:p>
    <w:p w:rsidR="00045CAA" w:rsidRDefault="00045CAA" w:rsidP="00854A82">
      <w:pPr>
        <w:sectPr w:rsidR="00045CAA" w:rsidSect="0038463D">
          <w:footnotePr>
            <w:numRestart w:val="eachSect"/>
          </w:footnotePr>
          <w:endnotePr>
            <w:numRestart w:val="eachSect"/>
          </w:endnotePr>
          <w:pgSz w:w="16834" w:h="11909" w:orient="landscape" w:code="9"/>
          <w:pgMar w:top="1440" w:right="1440" w:bottom="1440" w:left="1440" w:header="431" w:footer="425" w:gutter="0"/>
          <w:pgNumType w:fmt="lowerRoman"/>
          <w:cols w:space="720"/>
          <w:docGrid w:linePitch="360"/>
        </w:sectPr>
      </w:pPr>
    </w:p>
    <w:p w:rsidR="00045CAA" w:rsidRPr="00946D3F" w:rsidRDefault="00045CAA" w:rsidP="007C5185">
      <w:pPr>
        <w:tabs>
          <w:tab w:val="left" w:pos="3550"/>
        </w:tabs>
        <w:spacing w:before="6960"/>
        <w:ind w:right="1701"/>
        <w:jc w:val="right"/>
        <w:rPr>
          <w:b/>
          <w:i/>
          <w:color w:val="FFFFFF" w:themeColor="background1"/>
          <w:sz w:val="32"/>
          <w:szCs w:val="32"/>
        </w:rPr>
      </w:pPr>
      <w:r>
        <w:rPr>
          <w:b/>
          <w:color w:val="FFFFFF" w:themeColor="background1"/>
          <w:sz w:val="36"/>
          <w:szCs w:val="36"/>
        </w:rPr>
        <w:lastRenderedPageBreak/>
        <w:t>Introduction, Approach and Methodology</w:t>
      </w:r>
    </w:p>
    <w:p w:rsidR="00045CAA" w:rsidRDefault="00045CAA" w:rsidP="00854A82">
      <w:pPr>
        <w:sectPr w:rsidR="00045CAA" w:rsidSect="005419F4">
          <w:headerReference w:type="default" r:id="rId28"/>
          <w:footerReference w:type="default" r:id="rId29"/>
          <w:headerReference w:type="first" r:id="rId30"/>
          <w:footerReference w:type="first" r:id="rId31"/>
          <w:footnotePr>
            <w:numRestart w:val="eachSect"/>
          </w:footnotePr>
          <w:endnotePr>
            <w:numRestart w:val="eachSect"/>
          </w:endnotePr>
          <w:pgSz w:w="11909" w:h="16834" w:code="9"/>
          <w:pgMar w:top="357" w:right="1440" w:bottom="1304" w:left="1440" w:header="431" w:footer="425" w:gutter="0"/>
          <w:pgNumType w:start="1"/>
          <w:cols w:space="720"/>
          <w:titlePg/>
          <w:docGrid w:linePitch="360"/>
        </w:sectPr>
      </w:pPr>
    </w:p>
    <w:p w:rsidR="00396227" w:rsidRPr="005A1995" w:rsidRDefault="005A1995" w:rsidP="004B7458">
      <w:pPr>
        <w:pStyle w:val="Heading1"/>
        <w:spacing w:after="1320"/>
        <w:ind w:left="357" w:hanging="357"/>
        <w:rPr>
          <w:color w:val="68BAD6"/>
        </w:rPr>
      </w:pPr>
      <w:bookmarkStart w:id="11" w:name="_Toc372401475"/>
      <w:bookmarkStart w:id="12" w:name="_Toc385504514"/>
      <w:r w:rsidRPr="005A1995">
        <w:rPr>
          <w:color w:val="68BAD6"/>
        </w:rPr>
        <w:lastRenderedPageBreak/>
        <w:t>INTRODUCTION</w:t>
      </w:r>
      <w:bookmarkEnd w:id="11"/>
      <w:r w:rsidRPr="005A1995">
        <w:rPr>
          <w:color w:val="68BAD6"/>
        </w:rPr>
        <w:t>, APPROACH AND METHODOLOGY</w:t>
      </w:r>
      <w:bookmarkEnd w:id="12"/>
    </w:p>
    <w:p w:rsidR="000F627B" w:rsidRPr="005A1995" w:rsidRDefault="000F627B" w:rsidP="004B7458">
      <w:pPr>
        <w:pStyle w:val="Heading2"/>
        <w:spacing w:before="360" w:after="240"/>
        <w:ind w:left="567" w:hanging="567"/>
        <w:rPr>
          <w:rFonts w:asciiTheme="minorHAnsi" w:hAnsiTheme="minorHAnsi"/>
          <w:b/>
          <w:sz w:val="32"/>
          <w:szCs w:val="22"/>
        </w:rPr>
      </w:pPr>
      <w:r w:rsidRPr="005A1995">
        <w:rPr>
          <w:rFonts w:asciiTheme="minorHAnsi" w:hAnsiTheme="minorHAnsi"/>
          <w:b/>
          <w:sz w:val="32"/>
          <w:szCs w:val="22"/>
        </w:rPr>
        <w:t>The Education Partnership</w:t>
      </w:r>
    </w:p>
    <w:p w:rsidR="00396227" w:rsidRPr="005A1995" w:rsidRDefault="00396227" w:rsidP="005A1995">
      <w:pPr>
        <w:spacing w:line="276" w:lineRule="auto"/>
        <w:jc w:val="both"/>
        <w:rPr>
          <w:rFonts w:asciiTheme="minorHAnsi" w:hAnsiTheme="minorHAnsi" w:cstheme="minorHAnsi"/>
        </w:rPr>
      </w:pPr>
      <w:r w:rsidRPr="005A1995">
        <w:rPr>
          <w:rFonts w:asciiTheme="minorHAnsi" w:hAnsiTheme="minorHAnsi" w:cstheme="minorHAnsi"/>
        </w:rPr>
        <w:t xml:space="preserve">The Government of Australia (GoA) has been investing in Indonesia’s basic education sector for a number of years, most notably through the flagship AUD 395 million Australia Indonesia Basic Education Program (AIBEP) (2006-2011) and now through the Australia-Indonesia Education Partnership (EP): a five-year, AUD </w:t>
      </w:r>
      <w:r w:rsidR="00233152" w:rsidRPr="005A1995">
        <w:rPr>
          <w:rFonts w:asciiTheme="minorHAnsi" w:hAnsiTheme="minorHAnsi" w:cstheme="minorHAnsi"/>
        </w:rPr>
        <w:t>524</w:t>
      </w:r>
      <w:r w:rsidRPr="005A1995">
        <w:rPr>
          <w:rFonts w:asciiTheme="minorHAnsi" w:hAnsiTheme="minorHAnsi" w:cstheme="minorHAnsi"/>
        </w:rPr>
        <w:t xml:space="preserve"> million program that operates from mid-2011 to mid-2016. </w:t>
      </w:r>
    </w:p>
    <w:p w:rsidR="00396227" w:rsidRPr="005A1995" w:rsidRDefault="00396227" w:rsidP="005A1995">
      <w:pPr>
        <w:spacing w:line="276" w:lineRule="auto"/>
        <w:jc w:val="both"/>
        <w:rPr>
          <w:rFonts w:asciiTheme="minorHAnsi" w:hAnsiTheme="minorHAnsi" w:cstheme="minorHAnsi"/>
        </w:rPr>
      </w:pPr>
      <w:r w:rsidRPr="005A1995">
        <w:rPr>
          <w:rFonts w:asciiTheme="minorHAnsi" w:hAnsiTheme="minorHAnsi" w:cstheme="minorHAnsi"/>
        </w:rPr>
        <w:t>Australia is supporting the Government of Indonesia (GoI) to achieve its policy goals in relation to access, quality and governance of basic education (defined as primary and junior secondary education). The EP’s vision is to improve education service delivery in Indonesia. To achieve this, it focuses on three goals:</w:t>
      </w:r>
    </w:p>
    <w:p w:rsidR="00396227" w:rsidRPr="005A1995" w:rsidRDefault="00396227" w:rsidP="005A1995">
      <w:pPr>
        <w:pStyle w:val="ListParagraph"/>
        <w:numPr>
          <w:ilvl w:val="0"/>
          <w:numId w:val="6"/>
        </w:numPr>
        <w:spacing w:after="0"/>
        <w:contextualSpacing w:val="0"/>
        <w:jc w:val="both"/>
        <w:rPr>
          <w:rFonts w:asciiTheme="minorHAnsi" w:hAnsiTheme="minorHAnsi" w:cstheme="minorHAnsi"/>
        </w:rPr>
      </w:pPr>
      <w:r w:rsidRPr="005A1995">
        <w:rPr>
          <w:rFonts w:asciiTheme="minorHAnsi" w:hAnsiTheme="minorHAnsi" w:cstheme="minorHAnsi"/>
        </w:rPr>
        <w:t xml:space="preserve">To increase participation in Junior Secondary Education (JSE) schooling. </w:t>
      </w:r>
    </w:p>
    <w:p w:rsidR="00396227" w:rsidRPr="005A1995" w:rsidRDefault="00396227" w:rsidP="005A1995">
      <w:pPr>
        <w:pStyle w:val="ListParagraph"/>
        <w:numPr>
          <w:ilvl w:val="0"/>
          <w:numId w:val="6"/>
        </w:numPr>
        <w:spacing w:after="0"/>
        <w:contextualSpacing w:val="0"/>
        <w:jc w:val="both"/>
        <w:rPr>
          <w:rFonts w:asciiTheme="minorHAnsi" w:hAnsiTheme="minorHAnsi" w:cstheme="minorHAnsi"/>
        </w:rPr>
      </w:pPr>
      <w:r w:rsidRPr="005A1995">
        <w:rPr>
          <w:rFonts w:asciiTheme="minorHAnsi" w:hAnsiTheme="minorHAnsi" w:cstheme="minorHAnsi"/>
        </w:rPr>
        <w:t>To improve the quality of education in public and private schools, including Madrasah.</w:t>
      </w:r>
    </w:p>
    <w:p w:rsidR="00396227" w:rsidRPr="005A1995" w:rsidRDefault="00396227" w:rsidP="005A1995">
      <w:pPr>
        <w:pStyle w:val="ListParagraph"/>
        <w:numPr>
          <w:ilvl w:val="0"/>
          <w:numId w:val="6"/>
        </w:numPr>
        <w:spacing w:after="240"/>
        <w:contextualSpacing w:val="0"/>
        <w:jc w:val="both"/>
        <w:rPr>
          <w:rFonts w:asciiTheme="minorHAnsi" w:hAnsiTheme="minorHAnsi" w:cstheme="minorHAnsi"/>
        </w:rPr>
      </w:pPr>
      <w:r w:rsidRPr="005A1995">
        <w:rPr>
          <w:rFonts w:asciiTheme="minorHAnsi" w:hAnsiTheme="minorHAnsi" w:cstheme="minorHAnsi"/>
        </w:rPr>
        <w:t>To improve sector governance through increased use of evidence for decision-making.</w:t>
      </w:r>
    </w:p>
    <w:p w:rsidR="00396227" w:rsidRPr="005A1995" w:rsidRDefault="00396227" w:rsidP="005A1995">
      <w:pPr>
        <w:spacing w:line="276" w:lineRule="auto"/>
        <w:jc w:val="both"/>
        <w:rPr>
          <w:rFonts w:asciiTheme="minorHAnsi" w:hAnsiTheme="minorHAnsi" w:cstheme="minorHAnsi"/>
        </w:rPr>
      </w:pPr>
      <w:r w:rsidRPr="005A1995">
        <w:rPr>
          <w:rFonts w:asciiTheme="minorHAnsi" w:hAnsiTheme="minorHAnsi" w:cstheme="minorHAnsi"/>
        </w:rPr>
        <w:t>The EP recognizes that these goals are aspirational and are influenced by a multitude of factors, many of which are outside the control or even direct influence of the Partnership. As such, the EP focuses its effort on the attainment of four End-of-Partnership-Outcomes (EOPOs):</w:t>
      </w:r>
    </w:p>
    <w:p w:rsidR="00396227" w:rsidRPr="005A1995" w:rsidRDefault="00396227" w:rsidP="005A1995">
      <w:pPr>
        <w:pStyle w:val="ListParagraph"/>
        <w:numPr>
          <w:ilvl w:val="0"/>
          <w:numId w:val="6"/>
        </w:numPr>
        <w:spacing w:after="0"/>
        <w:contextualSpacing w:val="0"/>
        <w:jc w:val="both"/>
        <w:rPr>
          <w:rFonts w:asciiTheme="minorHAnsi" w:hAnsiTheme="minorHAnsi" w:cstheme="minorHAnsi"/>
        </w:rPr>
      </w:pPr>
      <w:r w:rsidRPr="005A1995">
        <w:rPr>
          <w:rFonts w:asciiTheme="minorHAnsi" w:hAnsiTheme="minorHAnsi" w:cstheme="minorHAnsi"/>
        </w:rPr>
        <w:t xml:space="preserve">Enrolment in JSE in targeted districts increases. </w:t>
      </w:r>
    </w:p>
    <w:p w:rsidR="00396227" w:rsidRPr="005A1995" w:rsidRDefault="00396227" w:rsidP="005A1995">
      <w:pPr>
        <w:pStyle w:val="ListParagraph"/>
        <w:numPr>
          <w:ilvl w:val="0"/>
          <w:numId w:val="6"/>
        </w:numPr>
        <w:spacing w:after="0"/>
        <w:contextualSpacing w:val="0"/>
        <w:jc w:val="both"/>
        <w:rPr>
          <w:rFonts w:asciiTheme="minorHAnsi" w:hAnsiTheme="minorHAnsi" w:cstheme="minorHAnsi"/>
        </w:rPr>
      </w:pPr>
      <w:r w:rsidRPr="005A1995">
        <w:rPr>
          <w:rFonts w:asciiTheme="minorHAnsi" w:hAnsiTheme="minorHAnsi" w:cstheme="minorHAnsi"/>
        </w:rPr>
        <w:t xml:space="preserve">Management of schools and Madrasah improves. </w:t>
      </w:r>
    </w:p>
    <w:p w:rsidR="00396227" w:rsidRPr="005A1995" w:rsidRDefault="00396227" w:rsidP="005A1995">
      <w:pPr>
        <w:pStyle w:val="ListParagraph"/>
        <w:numPr>
          <w:ilvl w:val="0"/>
          <w:numId w:val="6"/>
        </w:numPr>
        <w:spacing w:after="0"/>
        <w:contextualSpacing w:val="0"/>
        <w:jc w:val="both"/>
        <w:rPr>
          <w:rFonts w:asciiTheme="minorHAnsi" w:hAnsiTheme="minorHAnsi" w:cstheme="minorHAnsi"/>
        </w:rPr>
      </w:pPr>
      <w:r w:rsidRPr="005A1995">
        <w:rPr>
          <w:rFonts w:asciiTheme="minorHAnsi" w:hAnsiTheme="minorHAnsi" w:cstheme="minorHAnsi"/>
        </w:rPr>
        <w:t>Quality of Madrasah improves in line with National Education Standards.</w:t>
      </w:r>
    </w:p>
    <w:p w:rsidR="00396227" w:rsidRPr="005A1995" w:rsidRDefault="00396227" w:rsidP="005A1995">
      <w:pPr>
        <w:pStyle w:val="ListParagraph"/>
        <w:numPr>
          <w:ilvl w:val="0"/>
          <w:numId w:val="6"/>
        </w:numPr>
        <w:spacing w:after="240"/>
        <w:contextualSpacing w:val="0"/>
        <w:jc w:val="both"/>
        <w:rPr>
          <w:rFonts w:asciiTheme="minorHAnsi" w:hAnsiTheme="minorHAnsi" w:cstheme="minorHAnsi"/>
        </w:rPr>
      </w:pPr>
      <w:r w:rsidRPr="005A1995">
        <w:rPr>
          <w:rFonts w:asciiTheme="minorHAnsi" w:hAnsiTheme="minorHAnsi" w:cstheme="minorHAnsi"/>
        </w:rPr>
        <w:t xml:space="preserve">Policy-makers </w:t>
      </w:r>
      <w:r w:rsidR="00FD2142" w:rsidRPr="005A1995">
        <w:rPr>
          <w:rFonts w:asciiTheme="minorHAnsi" w:hAnsiTheme="minorHAnsi" w:cstheme="minorHAnsi"/>
        </w:rPr>
        <w:t>utilize</w:t>
      </w:r>
      <w:r w:rsidRPr="005A1995">
        <w:rPr>
          <w:rFonts w:asciiTheme="minorHAnsi" w:hAnsiTheme="minorHAnsi" w:cstheme="minorHAnsi"/>
        </w:rPr>
        <w:t xml:space="preserve"> research findings to inform education sector policy, planning and budgeting.</w:t>
      </w:r>
    </w:p>
    <w:p w:rsidR="00396227" w:rsidRPr="005A1995" w:rsidRDefault="00396227" w:rsidP="005A1995">
      <w:pPr>
        <w:spacing w:line="276" w:lineRule="auto"/>
        <w:jc w:val="both"/>
        <w:rPr>
          <w:rFonts w:asciiTheme="minorHAnsi" w:hAnsiTheme="minorHAnsi" w:cstheme="minorHAnsi"/>
        </w:rPr>
      </w:pPr>
      <w:r w:rsidRPr="005A1995">
        <w:rPr>
          <w:rFonts w:asciiTheme="minorHAnsi" w:hAnsiTheme="minorHAnsi" w:cstheme="minorHAnsi"/>
        </w:rPr>
        <w:t>These EOPOs describe the highest level of change over which the EP has significant influence (see Annex A). The EP uses various modalities to deliver its support, e.g. earmarked budget support (Components 1 and 2), project delivery (Component 3), and technical assistance to GoI agencies (Components 1-4). From late 2013, the majority of expenditure in Components 1 and 2 will be made through government systems.</w:t>
      </w:r>
    </w:p>
    <w:p w:rsidR="00396227" w:rsidRPr="005A1995" w:rsidRDefault="00396227" w:rsidP="005419F4">
      <w:pPr>
        <w:pStyle w:val="Heading2"/>
        <w:spacing w:before="360" w:after="240"/>
        <w:ind w:left="567" w:hanging="567"/>
        <w:rPr>
          <w:rFonts w:asciiTheme="minorHAnsi" w:hAnsiTheme="minorHAnsi"/>
          <w:b/>
          <w:sz w:val="32"/>
          <w:szCs w:val="22"/>
        </w:rPr>
      </w:pPr>
      <w:bookmarkStart w:id="13" w:name="_Toc372401477"/>
      <w:r w:rsidRPr="005A1995">
        <w:rPr>
          <w:rFonts w:asciiTheme="minorHAnsi" w:hAnsiTheme="minorHAnsi"/>
          <w:b/>
          <w:sz w:val="32"/>
          <w:szCs w:val="22"/>
        </w:rPr>
        <w:t xml:space="preserve">The Annual Sector </w:t>
      </w:r>
      <w:r w:rsidR="005250BF" w:rsidRPr="005A1995">
        <w:rPr>
          <w:rFonts w:asciiTheme="minorHAnsi" w:hAnsiTheme="minorHAnsi"/>
          <w:b/>
          <w:sz w:val="32"/>
          <w:szCs w:val="22"/>
        </w:rPr>
        <w:t>Financial</w:t>
      </w:r>
      <w:r w:rsidRPr="005A1995">
        <w:rPr>
          <w:rFonts w:asciiTheme="minorHAnsi" w:hAnsiTheme="minorHAnsi"/>
          <w:b/>
          <w:sz w:val="32"/>
          <w:szCs w:val="22"/>
        </w:rPr>
        <w:t xml:space="preserve"> Report</w:t>
      </w:r>
      <w:bookmarkEnd w:id="13"/>
    </w:p>
    <w:p w:rsidR="00396227" w:rsidRPr="005419F4" w:rsidRDefault="00396227" w:rsidP="00DB55DD">
      <w:pPr>
        <w:pStyle w:val="Heading3"/>
      </w:pPr>
      <w:bookmarkStart w:id="14" w:name="_Toc372401478"/>
      <w:r w:rsidRPr="005419F4">
        <w:t>Objective</w:t>
      </w:r>
      <w:bookmarkEnd w:id="14"/>
    </w:p>
    <w:p w:rsidR="00A110EB" w:rsidRPr="005A1995" w:rsidRDefault="00A110EB" w:rsidP="005A1995">
      <w:pPr>
        <w:spacing w:line="276" w:lineRule="auto"/>
        <w:jc w:val="both"/>
        <w:rPr>
          <w:rFonts w:asciiTheme="minorHAnsi" w:hAnsiTheme="minorHAnsi"/>
        </w:rPr>
      </w:pPr>
      <w:r w:rsidRPr="005A1995">
        <w:rPr>
          <w:rFonts w:asciiTheme="minorHAnsi" w:hAnsiTheme="minorHAnsi"/>
        </w:rPr>
        <w:t>The objectives of the report are:</w:t>
      </w:r>
    </w:p>
    <w:p w:rsidR="00A110EB" w:rsidRPr="005A1995" w:rsidRDefault="00A110EB" w:rsidP="005419F4">
      <w:pPr>
        <w:pStyle w:val="ListNumber"/>
        <w:numPr>
          <w:ilvl w:val="0"/>
          <w:numId w:val="14"/>
        </w:numPr>
        <w:tabs>
          <w:tab w:val="clear" w:pos="360"/>
          <w:tab w:val="num" w:pos="717"/>
        </w:tabs>
        <w:spacing w:after="0" w:line="276" w:lineRule="auto"/>
        <w:ind w:left="717"/>
        <w:jc w:val="both"/>
        <w:rPr>
          <w:rFonts w:asciiTheme="minorHAnsi" w:hAnsiTheme="minorHAnsi"/>
        </w:rPr>
      </w:pPr>
      <w:r w:rsidRPr="005A1995">
        <w:rPr>
          <w:rFonts w:asciiTheme="minorHAnsi" w:hAnsiTheme="minorHAnsi"/>
        </w:rPr>
        <w:t>To identify trends in the quantum and distribution of education funding in relation to national policy and school needs</w:t>
      </w:r>
      <w:r w:rsidR="00B9330C" w:rsidRPr="005A1995">
        <w:rPr>
          <w:rFonts w:asciiTheme="minorHAnsi" w:hAnsiTheme="minorHAnsi"/>
        </w:rPr>
        <w:t>.</w:t>
      </w:r>
    </w:p>
    <w:p w:rsidR="00FA13B5" w:rsidRPr="005A1995" w:rsidRDefault="00A110EB" w:rsidP="005419F4">
      <w:pPr>
        <w:pStyle w:val="ListNumber"/>
        <w:numPr>
          <w:ilvl w:val="0"/>
          <w:numId w:val="11"/>
        </w:numPr>
        <w:tabs>
          <w:tab w:val="clear" w:pos="360"/>
          <w:tab w:val="num" w:pos="717"/>
        </w:tabs>
        <w:spacing w:after="0" w:line="276" w:lineRule="auto"/>
        <w:ind w:left="714" w:hanging="357"/>
        <w:jc w:val="both"/>
        <w:rPr>
          <w:rFonts w:asciiTheme="minorHAnsi" w:hAnsiTheme="minorHAnsi"/>
        </w:rPr>
      </w:pPr>
      <w:r w:rsidRPr="005A1995">
        <w:rPr>
          <w:rFonts w:asciiTheme="minorHAnsi" w:hAnsiTheme="minorHAnsi"/>
        </w:rPr>
        <w:t>To monitor education sector and school resourcing addressing the key RENSTRA themes of access, quality improvement and improved accountability</w:t>
      </w:r>
      <w:r w:rsidR="00B9330C" w:rsidRPr="005A1995">
        <w:rPr>
          <w:rFonts w:asciiTheme="minorHAnsi" w:hAnsiTheme="minorHAnsi"/>
        </w:rPr>
        <w:t>.</w:t>
      </w:r>
    </w:p>
    <w:p w:rsidR="00A110EB" w:rsidRPr="005A1995" w:rsidRDefault="00FA13B5" w:rsidP="005419F4">
      <w:pPr>
        <w:pStyle w:val="ListNumber"/>
        <w:numPr>
          <w:ilvl w:val="0"/>
          <w:numId w:val="11"/>
        </w:numPr>
        <w:tabs>
          <w:tab w:val="clear" w:pos="360"/>
          <w:tab w:val="num" w:pos="717"/>
        </w:tabs>
        <w:spacing w:after="0" w:line="276" w:lineRule="auto"/>
        <w:ind w:left="714" w:hanging="357"/>
        <w:jc w:val="both"/>
        <w:rPr>
          <w:rFonts w:asciiTheme="minorHAnsi" w:hAnsiTheme="minorHAnsi"/>
        </w:rPr>
      </w:pPr>
      <w:r w:rsidRPr="005A1995">
        <w:rPr>
          <w:rFonts w:asciiTheme="minorHAnsi" w:hAnsiTheme="minorHAnsi"/>
        </w:rPr>
        <w:t>To provide a record of education financing in those districts directly benefiting from Components 1 and 2 of the Education Partnership</w:t>
      </w:r>
      <w:r w:rsidR="00B9330C" w:rsidRPr="005A1995">
        <w:rPr>
          <w:rFonts w:asciiTheme="minorHAnsi" w:hAnsiTheme="minorHAnsi"/>
        </w:rPr>
        <w:t>.</w:t>
      </w:r>
    </w:p>
    <w:p w:rsidR="00A110EB" w:rsidRPr="005A1995" w:rsidRDefault="00A110EB" w:rsidP="005419F4">
      <w:pPr>
        <w:pStyle w:val="ListNumber"/>
        <w:numPr>
          <w:ilvl w:val="0"/>
          <w:numId w:val="11"/>
        </w:numPr>
        <w:tabs>
          <w:tab w:val="clear" w:pos="360"/>
          <w:tab w:val="num" w:pos="717"/>
        </w:tabs>
        <w:spacing w:after="0" w:line="276" w:lineRule="auto"/>
        <w:ind w:left="714" w:hanging="357"/>
        <w:jc w:val="both"/>
        <w:rPr>
          <w:rFonts w:asciiTheme="minorHAnsi" w:hAnsiTheme="minorHAnsi"/>
        </w:rPr>
      </w:pPr>
      <w:r w:rsidRPr="005A1995">
        <w:rPr>
          <w:rFonts w:asciiTheme="minorHAnsi" w:hAnsiTheme="minorHAnsi"/>
        </w:rPr>
        <w:lastRenderedPageBreak/>
        <w:t>To inform GoA, GoI and other donors of the effectiveness and efficiency of current school funding mechanisms</w:t>
      </w:r>
      <w:r w:rsidR="00B9330C" w:rsidRPr="005A1995">
        <w:rPr>
          <w:rFonts w:asciiTheme="minorHAnsi" w:hAnsiTheme="minorHAnsi"/>
        </w:rPr>
        <w:t>.</w:t>
      </w:r>
      <w:r w:rsidRPr="005A1995">
        <w:rPr>
          <w:rFonts w:asciiTheme="minorHAnsi" w:hAnsiTheme="minorHAnsi"/>
        </w:rPr>
        <w:t xml:space="preserve"> </w:t>
      </w:r>
    </w:p>
    <w:p w:rsidR="00A110EB" w:rsidRPr="005A1995" w:rsidRDefault="00A110EB" w:rsidP="005419F4">
      <w:pPr>
        <w:pStyle w:val="ListNumber"/>
        <w:numPr>
          <w:ilvl w:val="0"/>
          <w:numId w:val="11"/>
        </w:numPr>
        <w:tabs>
          <w:tab w:val="clear" w:pos="360"/>
          <w:tab w:val="num" w:pos="717"/>
        </w:tabs>
        <w:spacing w:line="276" w:lineRule="auto"/>
        <w:ind w:left="714" w:hanging="357"/>
        <w:jc w:val="both"/>
        <w:rPr>
          <w:rFonts w:asciiTheme="minorHAnsi" w:hAnsiTheme="minorHAnsi"/>
        </w:rPr>
      </w:pPr>
      <w:r w:rsidRPr="005A1995">
        <w:rPr>
          <w:rFonts w:asciiTheme="minorHAnsi" w:hAnsiTheme="minorHAnsi"/>
        </w:rPr>
        <w:t>To support the capacity of GoI institutions to monitor and report on school financing</w:t>
      </w:r>
      <w:r w:rsidR="00B9330C" w:rsidRPr="005A1995">
        <w:rPr>
          <w:rFonts w:asciiTheme="minorHAnsi" w:hAnsiTheme="minorHAnsi"/>
        </w:rPr>
        <w:t>.</w:t>
      </w:r>
      <w:r w:rsidRPr="005A1995">
        <w:rPr>
          <w:rFonts w:asciiTheme="minorHAnsi" w:hAnsiTheme="minorHAnsi"/>
        </w:rPr>
        <w:t xml:space="preserve"> </w:t>
      </w:r>
    </w:p>
    <w:p w:rsidR="00396227" w:rsidRPr="005A1995" w:rsidRDefault="00A110EB" w:rsidP="00DB55DD">
      <w:pPr>
        <w:pStyle w:val="Heading3"/>
      </w:pPr>
      <w:r w:rsidRPr="005A1995">
        <w:t>Scope of Analysis</w:t>
      </w:r>
    </w:p>
    <w:p w:rsidR="005250BF" w:rsidRPr="005419F4" w:rsidRDefault="005250BF" w:rsidP="00DB55DD">
      <w:pPr>
        <w:spacing w:before="240" w:line="276" w:lineRule="auto"/>
        <w:rPr>
          <w:rStyle w:val="IntenseEmphasis"/>
          <w:rFonts w:asciiTheme="minorHAnsi" w:hAnsiTheme="minorHAnsi" w:cstheme="minorHAnsi"/>
          <w:b w:val="0"/>
          <w:i w:val="0"/>
          <w:iCs w:val="0"/>
          <w:color w:val="003880"/>
          <w:sz w:val="24"/>
          <w:szCs w:val="28"/>
        </w:rPr>
      </w:pPr>
      <w:bookmarkStart w:id="15" w:name="_Toc372401481"/>
      <w:r w:rsidRPr="005419F4">
        <w:rPr>
          <w:rStyle w:val="IntenseEmphasis"/>
          <w:rFonts w:asciiTheme="minorHAnsi" w:hAnsiTheme="minorHAnsi" w:cstheme="minorHAnsi"/>
          <w:b w:val="0"/>
          <w:i w:val="0"/>
          <w:iCs w:val="0"/>
          <w:color w:val="003880"/>
          <w:sz w:val="24"/>
          <w:szCs w:val="28"/>
        </w:rPr>
        <w:t>District Level Disaggregation</w:t>
      </w:r>
    </w:p>
    <w:p w:rsidR="005250BF" w:rsidRPr="005A1995" w:rsidRDefault="00F42AE7" w:rsidP="005A1995">
      <w:pPr>
        <w:spacing w:line="276" w:lineRule="auto"/>
        <w:jc w:val="both"/>
        <w:rPr>
          <w:rFonts w:asciiTheme="minorHAnsi" w:hAnsiTheme="minorHAnsi"/>
        </w:rPr>
      </w:pPr>
      <w:bookmarkStart w:id="16" w:name="OLE_LINK2"/>
      <w:r w:rsidRPr="005A1995">
        <w:rPr>
          <w:rFonts w:asciiTheme="minorHAnsi" w:hAnsiTheme="minorHAnsi"/>
        </w:rPr>
        <w:t>District</w:t>
      </w:r>
      <w:r w:rsidR="005250BF" w:rsidRPr="005A1995">
        <w:rPr>
          <w:rFonts w:asciiTheme="minorHAnsi" w:hAnsiTheme="minorHAnsi"/>
        </w:rPr>
        <w:t xml:space="preserve"> government</w:t>
      </w:r>
      <w:r w:rsidRPr="005A1995">
        <w:rPr>
          <w:rFonts w:asciiTheme="minorHAnsi" w:hAnsiTheme="minorHAnsi"/>
        </w:rPr>
        <w:t xml:space="preserve">s have </w:t>
      </w:r>
      <w:r w:rsidR="005250BF" w:rsidRPr="005A1995">
        <w:rPr>
          <w:rFonts w:asciiTheme="minorHAnsi" w:hAnsiTheme="minorHAnsi"/>
        </w:rPr>
        <w:t xml:space="preserve">an increasing importance in education provision under the GoI </w:t>
      </w:r>
      <w:r w:rsidR="004971BD" w:rsidRPr="005A1995">
        <w:rPr>
          <w:rFonts w:asciiTheme="minorHAnsi" w:hAnsiTheme="minorHAnsi"/>
        </w:rPr>
        <w:t>decentralization</w:t>
      </w:r>
      <w:r w:rsidR="005250BF" w:rsidRPr="005A1995">
        <w:rPr>
          <w:rFonts w:asciiTheme="minorHAnsi" w:hAnsiTheme="minorHAnsi"/>
        </w:rPr>
        <w:t xml:space="preserve"> policy. Financial analysis of education allocations therefore needs to have a district level disaggregation to assess the variability in fiscal capacity and actual allocations for education resourcing.</w:t>
      </w:r>
      <w:r w:rsidR="004971BD">
        <w:rPr>
          <w:rFonts w:asciiTheme="minorHAnsi" w:hAnsiTheme="minorHAnsi"/>
        </w:rPr>
        <w:t xml:space="preserve"> </w:t>
      </w:r>
    </w:p>
    <w:bookmarkEnd w:id="16"/>
    <w:p w:rsidR="005250BF" w:rsidRPr="005419F4" w:rsidRDefault="005250BF" w:rsidP="005419F4">
      <w:pPr>
        <w:spacing w:before="240" w:line="276" w:lineRule="auto"/>
        <w:rPr>
          <w:rStyle w:val="IntenseEmphasis"/>
          <w:rFonts w:asciiTheme="minorHAnsi" w:hAnsiTheme="minorHAnsi" w:cstheme="minorHAnsi"/>
          <w:b w:val="0"/>
          <w:i w:val="0"/>
          <w:iCs w:val="0"/>
          <w:color w:val="003880"/>
          <w:sz w:val="24"/>
          <w:szCs w:val="28"/>
        </w:rPr>
      </w:pPr>
      <w:r w:rsidRPr="005419F4">
        <w:rPr>
          <w:rStyle w:val="IntenseEmphasis"/>
          <w:rFonts w:asciiTheme="minorHAnsi" w:hAnsiTheme="minorHAnsi" w:cstheme="minorHAnsi"/>
          <w:b w:val="0"/>
          <w:i w:val="0"/>
          <w:iCs w:val="0"/>
          <w:color w:val="003880"/>
          <w:sz w:val="24"/>
          <w:szCs w:val="28"/>
        </w:rPr>
        <w:t>Key Performance Indicators</w:t>
      </w:r>
    </w:p>
    <w:p w:rsidR="005250BF" w:rsidRPr="005A1995" w:rsidRDefault="005250BF" w:rsidP="005A1995">
      <w:pPr>
        <w:spacing w:line="276" w:lineRule="auto"/>
        <w:jc w:val="both"/>
        <w:rPr>
          <w:rFonts w:asciiTheme="minorHAnsi" w:hAnsiTheme="minorHAnsi"/>
        </w:rPr>
      </w:pPr>
      <w:r w:rsidRPr="005A1995">
        <w:rPr>
          <w:rFonts w:asciiTheme="minorHAnsi" w:hAnsiTheme="minorHAnsi"/>
        </w:rPr>
        <w:t>The Key Performance Indicators (KPI) focus on the three main RENSTRA themes</w:t>
      </w:r>
      <w:r w:rsidR="00A35276">
        <w:rPr>
          <w:rFonts w:asciiTheme="minorHAnsi" w:hAnsiTheme="minorHAnsi"/>
        </w:rPr>
        <w:t>,</w:t>
      </w:r>
      <w:r w:rsidRPr="005A1995">
        <w:rPr>
          <w:rFonts w:asciiTheme="minorHAnsi" w:hAnsiTheme="minorHAnsi"/>
        </w:rPr>
        <w:t xml:space="preserve"> and </w:t>
      </w:r>
      <w:r w:rsidR="00F42AE7" w:rsidRPr="005A1995">
        <w:rPr>
          <w:rFonts w:asciiTheme="minorHAnsi" w:hAnsiTheme="minorHAnsi"/>
        </w:rPr>
        <w:t xml:space="preserve">the </w:t>
      </w:r>
      <w:r w:rsidRPr="005A1995">
        <w:rPr>
          <w:rFonts w:asciiTheme="minorHAnsi" w:hAnsiTheme="minorHAnsi"/>
        </w:rPr>
        <w:t>government</w:t>
      </w:r>
      <w:r w:rsidR="00F42AE7" w:rsidRPr="005A1995">
        <w:rPr>
          <w:rFonts w:asciiTheme="minorHAnsi" w:hAnsiTheme="minorHAnsi"/>
        </w:rPr>
        <w:t>’s</w:t>
      </w:r>
      <w:r w:rsidRPr="005A1995">
        <w:rPr>
          <w:rFonts w:asciiTheme="minorHAnsi" w:hAnsiTheme="minorHAnsi"/>
        </w:rPr>
        <w:t xml:space="preserve"> financial commitment to education. </w:t>
      </w:r>
      <w:r w:rsidR="00BC038E" w:rsidRPr="005A1995">
        <w:rPr>
          <w:rFonts w:asciiTheme="minorHAnsi" w:hAnsiTheme="minorHAnsi"/>
        </w:rPr>
        <w:t>These indicators have been chosen base</w:t>
      </w:r>
      <w:r w:rsidR="00F42AE7" w:rsidRPr="005A1995">
        <w:rPr>
          <w:rFonts w:asciiTheme="minorHAnsi" w:hAnsiTheme="minorHAnsi"/>
        </w:rPr>
        <w:t>d</w:t>
      </w:r>
      <w:r w:rsidR="00BC038E" w:rsidRPr="005A1995">
        <w:rPr>
          <w:rFonts w:asciiTheme="minorHAnsi" w:hAnsiTheme="minorHAnsi"/>
        </w:rPr>
        <w:t xml:space="preserve"> on the available data so as to enable a quick snapshot to be presented without need for additional surveys and interviews.</w:t>
      </w:r>
    </w:p>
    <w:p w:rsidR="005250BF" w:rsidRPr="005A1995" w:rsidRDefault="005250BF" w:rsidP="005A1995">
      <w:pPr>
        <w:spacing w:line="276" w:lineRule="auto"/>
        <w:jc w:val="both"/>
        <w:rPr>
          <w:rFonts w:asciiTheme="minorHAnsi" w:hAnsiTheme="minorHAnsi"/>
        </w:rPr>
      </w:pPr>
      <w:r w:rsidRPr="005A1995">
        <w:rPr>
          <w:rFonts w:asciiTheme="minorHAnsi" w:hAnsiTheme="minorHAnsi"/>
        </w:rPr>
        <w:t xml:space="preserve">One Supplementary Performance Indicator (SPI) sits below the KPI. The SPI offers a more nuanced perspective across the three RENSTRA themes by assessing education expenditure at a district level. </w:t>
      </w:r>
    </w:p>
    <w:p w:rsidR="005250BF" w:rsidRPr="005419F4" w:rsidRDefault="005250BF" w:rsidP="005419F4">
      <w:pPr>
        <w:spacing w:before="240" w:line="276" w:lineRule="auto"/>
        <w:rPr>
          <w:rFonts w:asciiTheme="minorHAnsi" w:hAnsiTheme="minorHAnsi" w:cstheme="minorHAnsi"/>
          <w:b/>
          <w:i/>
          <w:iCs/>
          <w:color w:val="003880"/>
          <w:sz w:val="24"/>
          <w:szCs w:val="28"/>
        </w:rPr>
      </w:pPr>
      <w:r w:rsidRPr="005419F4">
        <w:rPr>
          <w:rStyle w:val="IntenseEmphasis"/>
          <w:rFonts w:asciiTheme="minorHAnsi" w:hAnsiTheme="minorHAnsi" w:cstheme="minorHAnsi"/>
          <w:b w:val="0"/>
          <w:i w:val="0"/>
          <w:iCs w:val="0"/>
          <w:color w:val="003880"/>
          <w:sz w:val="24"/>
          <w:szCs w:val="28"/>
        </w:rPr>
        <w:t>Lead and Lag Indicators</w:t>
      </w:r>
    </w:p>
    <w:p w:rsidR="005250BF" w:rsidRPr="005A1995" w:rsidRDefault="005250BF" w:rsidP="005A1995">
      <w:pPr>
        <w:spacing w:line="276" w:lineRule="auto"/>
        <w:jc w:val="both"/>
        <w:rPr>
          <w:rFonts w:asciiTheme="minorHAnsi" w:hAnsiTheme="minorHAnsi"/>
        </w:rPr>
      </w:pPr>
      <w:r w:rsidRPr="005A1995">
        <w:rPr>
          <w:rFonts w:asciiTheme="minorHAnsi" w:hAnsiTheme="minorHAnsi"/>
        </w:rPr>
        <w:t>Each of the indicators are described as being either a lead or lag indicator</w:t>
      </w:r>
      <w:r w:rsidRPr="005A1995">
        <w:rPr>
          <w:rStyle w:val="FootnoteReference"/>
          <w:rFonts w:asciiTheme="minorHAnsi" w:hAnsiTheme="minorHAnsi"/>
        </w:rPr>
        <w:footnoteReference w:id="1"/>
      </w:r>
      <w:r w:rsidRPr="005A1995">
        <w:rPr>
          <w:rFonts w:asciiTheme="minorHAnsi" w:hAnsiTheme="minorHAnsi"/>
        </w:rPr>
        <w:t xml:space="preserve">. </w:t>
      </w:r>
    </w:p>
    <w:p w:rsidR="005250BF" w:rsidRPr="005A1995" w:rsidRDefault="005250BF" w:rsidP="005A1995">
      <w:pPr>
        <w:spacing w:line="276" w:lineRule="auto"/>
        <w:jc w:val="both"/>
        <w:rPr>
          <w:rFonts w:asciiTheme="minorHAnsi" w:hAnsiTheme="minorHAnsi"/>
        </w:rPr>
      </w:pPr>
      <w:r w:rsidRPr="005A1995">
        <w:rPr>
          <w:rFonts w:asciiTheme="minorHAnsi" w:hAnsiTheme="minorHAnsi"/>
        </w:rPr>
        <w:t xml:space="preserve">Lag indicators are summative in nature. They describe the current state of progress toward an expected outcome. For example, a lag indicator measuring government financial commitment towards education is the percentage of total public expenditure allocated towards education. </w:t>
      </w:r>
    </w:p>
    <w:p w:rsidR="005250BF" w:rsidRPr="005A1995" w:rsidRDefault="005250BF" w:rsidP="005A1995">
      <w:pPr>
        <w:spacing w:line="276" w:lineRule="auto"/>
        <w:jc w:val="both"/>
        <w:rPr>
          <w:rFonts w:asciiTheme="minorHAnsi" w:hAnsiTheme="minorHAnsi"/>
        </w:rPr>
      </w:pPr>
      <w:r w:rsidRPr="005A1995">
        <w:rPr>
          <w:rFonts w:asciiTheme="minorHAnsi" w:hAnsiTheme="minorHAnsi"/>
        </w:rPr>
        <w:t>Lead indicators are those which capture the rate of movement towards an outcome or have a clear causal relationship to a desired outcome. For example, a lead indicator of government commitment towards financial commitment towards education might be annual percentage real increase in the education share of total public expenditure.</w:t>
      </w:r>
    </w:p>
    <w:p w:rsidR="005250BF" w:rsidRPr="005419F4" w:rsidRDefault="005250BF" w:rsidP="005419F4">
      <w:pPr>
        <w:spacing w:before="240" w:line="276" w:lineRule="auto"/>
        <w:rPr>
          <w:rStyle w:val="IntenseEmphasis"/>
          <w:rFonts w:asciiTheme="minorHAnsi" w:hAnsiTheme="minorHAnsi" w:cstheme="minorHAnsi"/>
          <w:b w:val="0"/>
          <w:i w:val="0"/>
          <w:iCs w:val="0"/>
          <w:color w:val="003880"/>
          <w:sz w:val="24"/>
          <w:szCs w:val="28"/>
        </w:rPr>
      </w:pPr>
      <w:r w:rsidRPr="005419F4">
        <w:rPr>
          <w:rStyle w:val="IntenseEmphasis"/>
          <w:rFonts w:asciiTheme="minorHAnsi" w:hAnsiTheme="minorHAnsi" w:cstheme="minorHAnsi"/>
          <w:b w:val="0"/>
          <w:i w:val="0"/>
          <w:iCs w:val="0"/>
          <w:color w:val="003880"/>
          <w:sz w:val="24"/>
          <w:szCs w:val="28"/>
        </w:rPr>
        <w:t>Selection of Indicators</w:t>
      </w:r>
    </w:p>
    <w:p w:rsidR="005250BF" w:rsidRPr="005A1995" w:rsidRDefault="005250BF" w:rsidP="005A1995">
      <w:pPr>
        <w:spacing w:line="276" w:lineRule="auto"/>
        <w:jc w:val="both"/>
        <w:rPr>
          <w:rFonts w:asciiTheme="minorHAnsi" w:hAnsiTheme="minorHAnsi"/>
        </w:rPr>
      </w:pPr>
      <w:r w:rsidRPr="005A1995">
        <w:rPr>
          <w:rFonts w:asciiTheme="minorHAnsi" w:hAnsiTheme="minorHAnsi"/>
        </w:rPr>
        <w:t xml:space="preserve">The indicators have been drawn from a number of sources. One group of Key Performance Indicators is used by GoI as part of its EFA reporting obligations. Another set of indicators focuses mainly on the district level of analysis. These have been selected to be of use for the Indonesian government and the Education Partnership in promoting development of the basic education sector across Indonesia. These indicators can be of use at the district level for planning and budgeting purposes. </w:t>
      </w:r>
    </w:p>
    <w:p w:rsidR="005250BF" w:rsidRPr="005419F4" w:rsidRDefault="0061189C" w:rsidP="005419F4">
      <w:pPr>
        <w:pStyle w:val="Heading2"/>
        <w:spacing w:before="360" w:after="240"/>
        <w:ind w:left="567" w:hanging="567"/>
        <w:rPr>
          <w:rFonts w:asciiTheme="minorHAnsi" w:hAnsiTheme="minorHAnsi"/>
          <w:b/>
          <w:sz w:val="32"/>
          <w:szCs w:val="22"/>
        </w:rPr>
      </w:pPr>
      <w:r w:rsidRPr="005419F4">
        <w:rPr>
          <w:rFonts w:asciiTheme="minorHAnsi" w:hAnsiTheme="minorHAnsi"/>
          <w:b/>
          <w:sz w:val="32"/>
          <w:szCs w:val="22"/>
        </w:rPr>
        <w:lastRenderedPageBreak/>
        <w:t>The Evidence Base</w:t>
      </w:r>
    </w:p>
    <w:p w:rsidR="005250BF" w:rsidRPr="005A1995" w:rsidRDefault="005250BF" w:rsidP="00DB55DD">
      <w:pPr>
        <w:pStyle w:val="Heading3"/>
      </w:pPr>
      <w:r w:rsidRPr="005A1995">
        <w:t>Data Sources and Collections: Financial Data</w:t>
      </w:r>
    </w:p>
    <w:p w:rsidR="00A110EB" w:rsidRPr="005419F4" w:rsidRDefault="005250BF" w:rsidP="005419F4">
      <w:pPr>
        <w:spacing w:before="240" w:line="276" w:lineRule="auto"/>
        <w:rPr>
          <w:rStyle w:val="IntenseEmphasis"/>
          <w:rFonts w:asciiTheme="minorHAnsi" w:hAnsiTheme="minorHAnsi" w:cstheme="minorHAnsi"/>
          <w:b w:val="0"/>
          <w:i w:val="0"/>
          <w:iCs w:val="0"/>
          <w:color w:val="003880"/>
          <w:sz w:val="24"/>
          <w:szCs w:val="28"/>
        </w:rPr>
      </w:pPr>
      <w:r w:rsidRPr="005419F4">
        <w:rPr>
          <w:rStyle w:val="IntenseEmphasis"/>
          <w:rFonts w:asciiTheme="minorHAnsi" w:hAnsiTheme="minorHAnsi" w:cstheme="minorHAnsi"/>
          <w:b w:val="0"/>
          <w:i w:val="0"/>
          <w:iCs w:val="0"/>
          <w:color w:val="003880"/>
          <w:sz w:val="24"/>
          <w:szCs w:val="28"/>
        </w:rPr>
        <w:t xml:space="preserve">National </w:t>
      </w:r>
      <w:r w:rsidR="005419F4" w:rsidRPr="005419F4">
        <w:rPr>
          <w:rStyle w:val="IntenseEmphasis"/>
          <w:rFonts w:asciiTheme="minorHAnsi" w:hAnsiTheme="minorHAnsi" w:cstheme="minorHAnsi"/>
          <w:b w:val="0"/>
          <w:i w:val="0"/>
          <w:iCs w:val="0"/>
          <w:color w:val="003880"/>
          <w:sz w:val="24"/>
          <w:szCs w:val="28"/>
        </w:rPr>
        <w:t>Level Financial Data</w:t>
      </w:r>
    </w:p>
    <w:p w:rsidR="005250BF" w:rsidRPr="005A1995" w:rsidRDefault="005250BF" w:rsidP="005A1995">
      <w:pPr>
        <w:spacing w:line="276" w:lineRule="auto"/>
        <w:jc w:val="both"/>
        <w:rPr>
          <w:rFonts w:asciiTheme="minorHAnsi" w:hAnsiTheme="minorHAnsi"/>
        </w:rPr>
      </w:pPr>
      <w:r w:rsidRPr="005A1995">
        <w:rPr>
          <w:rFonts w:asciiTheme="minorHAnsi" w:hAnsiTheme="minorHAnsi"/>
        </w:rPr>
        <w:t>This report has been able to update some of the historical data used in previous reports. Data for the period 2001-2005 remains unchanged but there have been revisions for the period 2006-2008.</w:t>
      </w:r>
      <w:r w:rsidR="004971BD">
        <w:rPr>
          <w:rFonts w:asciiTheme="minorHAnsi" w:hAnsiTheme="minorHAnsi"/>
        </w:rPr>
        <w:t xml:space="preserve"> </w:t>
      </w:r>
      <w:r w:rsidRPr="005A1995">
        <w:rPr>
          <w:rFonts w:asciiTheme="minorHAnsi" w:hAnsiTheme="minorHAnsi"/>
        </w:rPr>
        <w:t xml:space="preserve">The government compiled comprehensive multi-year data on national and sub-national expenditures </w:t>
      </w:r>
      <w:r w:rsidR="006B03B2" w:rsidRPr="005A1995">
        <w:rPr>
          <w:rFonts w:asciiTheme="minorHAnsi" w:hAnsiTheme="minorHAnsi"/>
        </w:rPr>
        <w:t xml:space="preserve">on </w:t>
      </w:r>
      <w:r w:rsidRPr="005A1995">
        <w:rPr>
          <w:rFonts w:asciiTheme="minorHAnsi" w:hAnsiTheme="minorHAnsi"/>
        </w:rPr>
        <w:t xml:space="preserve">education in its submission to the Supreme Court case on its legal obligation to allocate at least 20% of the national budget towards education (Supreme Court Decision Number 13/PUU-VI/2008). </w:t>
      </w:r>
      <w:r w:rsidR="006B03B2" w:rsidRPr="005A1995">
        <w:rPr>
          <w:rFonts w:asciiTheme="minorHAnsi" w:hAnsiTheme="minorHAnsi"/>
        </w:rPr>
        <w:t xml:space="preserve">These </w:t>
      </w:r>
      <w:r w:rsidRPr="005A1995">
        <w:rPr>
          <w:rFonts w:asciiTheme="minorHAnsi" w:hAnsiTheme="minorHAnsi"/>
        </w:rPr>
        <w:t>data ha</w:t>
      </w:r>
      <w:r w:rsidR="006B03B2" w:rsidRPr="005A1995">
        <w:rPr>
          <w:rFonts w:asciiTheme="minorHAnsi" w:hAnsiTheme="minorHAnsi"/>
        </w:rPr>
        <w:t>ve</w:t>
      </w:r>
      <w:r w:rsidRPr="005A1995">
        <w:rPr>
          <w:rFonts w:asciiTheme="minorHAnsi" w:hAnsiTheme="minorHAnsi"/>
        </w:rPr>
        <w:t xml:space="preserve"> replaced the previous estimates generated by the World Bank in 2006 and 2007, and CSAS for 2008.</w:t>
      </w:r>
    </w:p>
    <w:p w:rsidR="005250BF" w:rsidRPr="005A1995" w:rsidRDefault="005250BF" w:rsidP="005A1995">
      <w:pPr>
        <w:spacing w:line="276" w:lineRule="auto"/>
        <w:jc w:val="both"/>
        <w:rPr>
          <w:rFonts w:asciiTheme="minorHAnsi" w:hAnsiTheme="minorHAnsi"/>
        </w:rPr>
      </w:pPr>
      <w:r w:rsidRPr="005A1995">
        <w:rPr>
          <w:rFonts w:asciiTheme="minorHAnsi" w:hAnsiTheme="minorHAnsi"/>
        </w:rPr>
        <w:t xml:space="preserve">Detailed financial data for 2009-2012 </w:t>
      </w:r>
      <w:r w:rsidR="009A7158">
        <w:rPr>
          <w:rFonts w:asciiTheme="minorHAnsi" w:hAnsiTheme="minorHAnsi"/>
        </w:rPr>
        <w:t>has</w:t>
      </w:r>
      <w:r w:rsidRPr="005A1995">
        <w:rPr>
          <w:rFonts w:asciiTheme="minorHAnsi" w:hAnsiTheme="minorHAnsi"/>
        </w:rPr>
        <w:t xml:space="preserve"> been collected from Financial Note and Indonesian Revised Budget Papers 2010-2012. These documents are published by the Ministry of Finance. </w:t>
      </w:r>
    </w:p>
    <w:p w:rsidR="00A110EB" w:rsidRPr="005419F4" w:rsidRDefault="005250BF" w:rsidP="005419F4">
      <w:pPr>
        <w:spacing w:before="240" w:line="276" w:lineRule="auto"/>
        <w:rPr>
          <w:rStyle w:val="IntenseEmphasis"/>
          <w:rFonts w:asciiTheme="minorHAnsi" w:hAnsiTheme="minorHAnsi" w:cstheme="minorHAnsi"/>
          <w:b w:val="0"/>
          <w:i w:val="0"/>
          <w:iCs w:val="0"/>
          <w:color w:val="003880"/>
          <w:sz w:val="24"/>
          <w:szCs w:val="28"/>
        </w:rPr>
      </w:pPr>
      <w:r w:rsidRPr="005419F4">
        <w:rPr>
          <w:rStyle w:val="IntenseEmphasis"/>
          <w:rFonts w:asciiTheme="minorHAnsi" w:hAnsiTheme="minorHAnsi" w:cstheme="minorHAnsi"/>
          <w:b w:val="0"/>
          <w:i w:val="0"/>
          <w:iCs w:val="0"/>
          <w:color w:val="003880"/>
          <w:sz w:val="24"/>
          <w:szCs w:val="28"/>
        </w:rPr>
        <w:t xml:space="preserve">District </w:t>
      </w:r>
      <w:r w:rsidR="005419F4" w:rsidRPr="005419F4">
        <w:rPr>
          <w:rStyle w:val="IntenseEmphasis"/>
          <w:rFonts w:asciiTheme="minorHAnsi" w:hAnsiTheme="minorHAnsi" w:cstheme="minorHAnsi"/>
          <w:b w:val="0"/>
          <w:i w:val="0"/>
          <w:iCs w:val="0"/>
          <w:color w:val="003880"/>
          <w:sz w:val="24"/>
          <w:szCs w:val="28"/>
        </w:rPr>
        <w:t xml:space="preserve">Level Financial </w:t>
      </w:r>
    </w:p>
    <w:p w:rsidR="005250BF" w:rsidRPr="005A1995" w:rsidRDefault="00A110EB" w:rsidP="005A1995">
      <w:pPr>
        <w:spacing w:line="276" w:lineRule="auto"/>
        <w:jc w:val="both"/>
        <w:rPr>
          <w:rFonts w:asciiTheme="minorHAnsi" w:hAnsiTheme="minorHAnsi"/>
        </w:rPr>
      </w:pPr>
      <w:r w:rsidRPr="005A1995">
        <w:rPr>
          <w:rFonts w:asciiTheme="minorHAnsi" w:hAnsiTheme="minorHAnsi"/>
        </w:rPr>
        <w:t xml:space="preserve">District level financial </w:t>
      </w:r>
      <w:r w:rsidR="005250BF" w:rsidRPr="005A1995">
        <w:rPr>
          <w:rFonts w:asciiTheme="minorHAnsi" w:hAnsiTheme="minorHAnsi"/>
        </w:rPr>
        <w:t>data ha</w:t>
      </w:r>
      <w:r w:rsidRPr="005A1995">
        <w:rPr>
          <w:rFonts w:asciiTheme="minorHAnsi" w:hAnsiTheme="minorHAnsi"/>
        </w:rPr>
        <w:t>ve</w:t>
      </w:r>
      <w:r w:rsidR="005250BF" w:rsidRPr="005A1995">
        <w:rPr>
          <w:rFonts w:asciiTheme="minorHAnsi" w:hAnsiTheme="minorHAnsi"/>
        </w:rPr>
        <w:t xml:space="preserve"> been collected from the Ministry of Finance (MoF) Regional Financial Information System (SIKD). For district financial data for the years 2006-2007 the author worked with the Officers of the SIKD section to be given access to the available SIKD records. The SIKD collects in hard copy the budget and actual expenditures of all districts and provinces. A painstaking process of manually sorting through the paper financial records of all districts and provinces was undertaken. </w:t>
      </w:r>
    </w:p>
    <w:p w:rsidR="005250BF" w:rsidRPr="005A1995" w:rsidRDefault="005250BF" w:rsidP="005A1995">
      <w:pPr>
        <w:spacing w:line="276" w:lineRule="auto"/>
        <w:jc w:val="both"/>
        <w:rPr>
          <w:rFonts w:asciiTheme="minorHAnsi" w:hAnsiTheme="minorHAnsi"/>
        </w:rPr>
      </w:pPr>
      <w:r w:rsidRPr="005A1995">
        <w:rPr>
          <w:rFonts w:asciiTheme="minorHAnsi" w:hAnsiTheme="minorHAnsi"/>
        </w:rPr>
        <w:t>From 2008 onwards it has been possible to access the electronic records of district budgets submitted to the SIKD. Near complete financial records for all districts and provinces were obtained for 2007 and for approximately 78% of all districts in 2006.</w:t>
      </w:r>
      <w:r w:rsidR="004971BD">
        <w:rPr>
          <w:rFonts w:asciiTheme="minorHAnsi" w:hAnsiTheme="minorHAnsi"/>
        </w:rPr>
        <w:t xml:space="preserve"> </w:t>
      </w:r>
      <w:r w:rsidRPr="005A1995">
        <w:rPr>
          <w:rFonts w:asciiTheme="minorHAnsi" w:hAnsiTheme="minorHAnsi"/>
        </w:rPr>
        <w:t xml:space="preserve">Data collection </w:t>
      </w:r>
      <w:r w:rsidR="007168AC" w:rsidRPr="005A1995">
        <w:rPr>
          <w:rFonts w:asciiTheme="minorHAnsi" w:hAnsiTheme="minorHAnsi"/>
        </w:rPr>
        <w:t>from 2008</w:t>
      </w:r>
      <w:r w:rsidR="00BC038E" w:rsidRPr="005A1995">
        <w:rPr>
          <w:rFonts w:asciiTheme="minorHAnsi" w:hAnsiTheme="minorHAnsi"/>
        </w:rPr>
        <w:t xml:space="preserve"> onwards</w:t>
      </w:r>
      <w:r w:rsidR="007168AC" w:rsidRPr="005A1995">
        <w:rPr>
          <w:rFonts w:asciiTheme="minorHAnsi" w:hAnsiTheme="minorHAnsi"/>
        </w:rPr>
        <w:t xml:space="preserve"> </w:t>
      </w:r>
      <w:r w:rsidRPr="005A1995">
        <w:rPr>
          <w:rFonts w:asciiTheme="minorHAnsi" w:hAnsiTheme="minorHAnsi"/>
        </w:rPr>
        <w:t xml:space="preserve">has been direct from the electronic records within the SIKD section of the MoF. </w:t>
      </w:r>
    </w:p>
    <w:p w:rsidR="005250BF" w:rsidRPr="005A1995" w:rsidRDefault="005250BF" w:rsidP="00DB55DD">
      <w:pPr>
        <w:pStyle w:val="Heading3"/>
      </w:pPr>
      <w:r w:rsidRPr="005A1995">
        <w:t>Data Sources and Collections: Non-Financial Data</w:t>
      </w:r>
    </w:p>
    <w:p w:rsidR="00A110EB" w:rsidRPr="005419F4" w:rsidRDefault="00A110EB" w:rsidP="00402A11">
      <w:pPr>
        <w:spacing w:before="240" w:line="276" w:lineRule="auto"/>
        <w:rPr>
          <w:rStyle w:val="IntenseEmphasis"/>
          <w:rFonts w:asciiTheme="minorHAnsi" w:hAnsiTheme="minorHAnsi" w:cstheme="minorHAnsi"/>
          <w:b w:val="0"/>
          <w:i w:val="0"/>
          <w:iCs w:val="0"/>
          <w:color w:val="003880"/>
          <w:sz w:val="24"/>
          <w:szCs w:val="28"/>
        </w:rPr>
      </w:pPr>
      <w:r w:rsidRPr="005419F4">
        <w:rPr>
          <w:rStyle w:val="IntenseEmphasis"/>
          <w:rFonts w:asciiTheme="minorHAnsi" w:hAnsiTheme="minorHAnsi" w:cstheme="minorHAnsi"/>
          <w:b w:val="0"/>
          <w:i w:val="0"/>
          <w:iCs w:val="0"/>
          <w:color w:val="003880"/>
          <w:sz w:val="24"/>
          <w:szCs w:val="28"/>
        </w:rPr>
        <w:t>Education</w:t>
      </w:r>
      <w:r w:rsidR="005250BF" w:rsidRPr="005419F4">
        <w:rPr>
          <w:rStyle w:val="IntenseEmphasis"/>
          <w:rFonts w:asciiTheme="minorHAnsi" w:hAnsiTheme="minorHAnsi" w:cstheme="minorHAnsi"/>
          <w:b w:val="0"/>
          <w:i w:val="0"/>
          <w:iCs w:val="0"/>
          <w:color w:val="003880"/>
          <w:sz w:val="24"/>
          <w:szCs w:val="28"/>
        </w:rPr>
        <w:t xml:space="preserve"> </w:t>
      </w:r>
    </w:p>
    <w:p w:rsidR="005250BF" w:rsidRPr="005A1995" w:rsidRDefault="005250BF" w:rsidP="005A1995">
      <w:pPr>
        <w:spacing w:line="276" w:lineRule="auto"/>
        <w:jc w:val="both"/>
        <w:rPr>
          <w:rFonts w:asciiTheme="minorHAnsi" w:hAnsiTheme="minorHAnsi"/>
        </w:rPr>
      </w:pPr>
      <w:r w:rsidRPr="005A1995">
        <w:rPr>
          <w:rFonts w:asciiTheme="minorHAnsi" w:hAnsiTheme="minorHAnsi"/>
        </w:rPr>
        <w:t xml:space="preserve">Data for student, teacher and school facilities </w:t>
      </w:r>
      <w:r w:rsidR="006B03B2" w:rsidRPr="005A1995">
        <w:rPr>
          <w:rFonts w:asciiTheme="minorHAnsi" w:hAnsiTheme="minorHAnsi"/>
        </w:rPr>
        <w:t xml:space="preserve">are </w:t>
      </w:r>
      <w:r w:rsidRPr="005A1995">
        <w:rPr>
          <w:rFonts w:asciiTheme="minorHAnsi" w:hAnsiTheme="minorHAnsi"/>
        </w:rPr>
        <w:t xml:space="preserve">derived from the statistical collection of the Education Census conducted by MoRA and MoEC. These data have been collected and stored in the Enhanced Analytical Facility (EAF) that is kept with MoEC Balitbang. This database has been built from available government statistical collections and represents authoritative government-sanctioned data. The database includes population data collected from the Bureau of Central Statistics (BPS). </w:t>
      </w:r>
    </w:p>
    <w:p w:rsidR="00A110EB" w:rsidRPr="005419F4" w:rsidRDefault="005250BF" w:rsidP="005419F4">
      <w:pPr>
        <w:spacing w:before="240" w:line="276" w:lineRule="auto"/>
        <w:rPr>
          <w:rStyle w:val="IntenseEmphasis"/>
          <w:rFonts w:asciiTheme="minorHAnsi" w:hAnsiTheme="minorHAnsi" w:cstheme="minorHAnsi"/>
          <w:b w:val="0"/>
          <w:i w:val="0"/>
          <w:iCs w:val="0"/>
          <w:color w:val="003880"/>
          <w:sz w:val="24"/>
          <w:szCs w:val="28"/>
        </w:rPr>
      </w:pPr>
      <w:r w:rsidRPr="005419F4">
        <w:rPr>
          <w:rStyle w:val="IntenseEmphasis"/>
          <w:rFonts w:asciiTheme="minorHAnsi" w:hAnsiTheme="minorHAnsi" w:cstheme="minorHAnsi"/>
          <w:b w:val="0"/>
          <w:i w:val="0"/>
          <w:iCs w:val="0"/>
          <w:color w:val="003880"/>
          <w:sz w:val="24"/>
          <w:szCs w:val="28"/>
        </w:rPr>
        <w:t>Pov</w:t>
      </w:r>
      <w:r w:rsidR="00A110EB" w:rsidRPr="005419F4">
        <w:rPr>
          <w:rStyle w:val="IntenseEmphasis"/>
          <w:rFonts w:asciiTheme="minorHAnsi" w:hAnsiTheme="minorHAnsi" w:cstheme="minorHAnsi"/>
          <w:b w:val="0"/>
          <w:i w:val="0"/>
          <w:iCs w:val="0"/>
          <w:color w:val="003880"/>
          <w:sz w:val="24"/>
          <w:szCs w:val="28"/>
        </w:rPr>
        <w:t>erty</w:t>
      </w:r>
      <w:r w:rsidRPr="005419F4">
        <w:rPr>
          <w:rStyle w:val="IntenseEmphasis"/>
          <w:rFonts w:asciiTheme="minorHAnsi" w:hAnsiTheme="minorHAnsi" w:cstheme="minorHAnsi"/>
          <w:b w:val="0"/>
          <w:i w:val="0"/>
          <w:iCs w:val="0"/>
          <w:color w:val="003880"/>
          <w:sz w:val="24"/>
          <w:szCs w:val="28"/>
        </w:rPr>
        <w:t xml:space="preserve"> </w:t>
      </w:r>
    </w:p>
    <w:p w:rsidR="005250BF" w:rsidRPr="005A1995" w:rsidRDefault="005250BF" w:rsidP="005A1995">
      <w:pPr>
        <w:spacing w:line="276" w:lineRule="auto"/>
        <w:jc w:val="both"/>
        <w:rPr>
          <w:rFonts w:asciiTheme="minorHAnsi" w:hAnsiTheme="minorHAnsi"/>
        </w:rPr>
      </w:pPr>
      <w:r w:rsidRPr="005A1995">
        <w:rPr>
          <w:rFonts w:asciiTheme="minorHAnsi" w:hAnsiTheme="minorHAnsi"/>
        </w:rPr>
        <w:t xml:space="preserve">Poverty is an important analytical filter for the </w:t>
      </w:r>
      <w:r w:rsidR="006B03B2" w:rsidRPr="005A1995">
        <w:rPr>
          <w:rFonts w:asciiTheme="minorHAnsi" w:hAnsiTheme="minorHAnsi"/>
        </w:rPr>
        <w:t>ASFR</w:t>
      </w:r>
      <w:r w:rsidRPr="005A1995">
        <w:rPr>
          <w:rFonts w:asciiTheme="minorHAnsi" w:hAnsiTheme="minorHAnsi"/>
        </w:rPr>
        <w:t xml:space="preserve">. Financial data analysis includes an examination of poverty by segregating districts into poverty quintiles. The Poverty quintiles are based on the “P0” poverty scale developed by Survei Sosial Ekonomi Nasional (SUSENAS). This scale captures the </w:t>
      </w:r>
      <w:r w:rsidRPr="005A1995">
        <w:rPr>
          <w:rFonts w:asciiTheme="minorHAnsi" w:hAnsiTheme="minorHAnsi"/>
        </w:rPr>
        <w:lastRenderedPageBreak/>
        <w:t>incidence of poverty (the proportion of people living below the poverty line</w:t>
      </w:r>
      <w:r w:rsidR="005419F4" w:rsidRPr="005A1995">
        <w:rPr>
          <w:rFonts w:asciiTheme="minorHAnsi" w:hAnsiTheme="minorHAnsi"/>
        </w:rPr>
        <w:t>)</w:t>
      </w:r>
      <w:r w:rsidR="0009767F" w:rsidRPr="005A1995">
        <w:rPr>
          <w:rStyle w:val="FootnoteReference"/>
          <w:rFonts w:asciiTheme="minorHAnsi" w:hAnsiTheme="minorHAnsi"/>
        </w:rPr>
        <w:footnoteReference w:id="2"/>
      </w:r>
      <w:r w:rsidR="006B03B2" w:rsidRPr="005A1995">
        <w:rPr>
          <w:rFonts w:asciiTheme="minorHAnsi" w:hAnsiTheme="minorHAnsi"/>
        </w:rPr>
        <w:t>.</w:t>
      </w:r>
      <w:r w:rsidR="00B61780" w:rsidRPr="005A1995" w:rsidDel="00B61780">
        <w:rPr>
          <w:rFonts w:asciiTheme="minorHAnsi" w:hAnsiTheme="minorHAnsi"/>
        </w:rPr>
        <w:t xml:space="preserve"> </w:t>
      </w:r>
      <w:r w:rsidRPr="005A1995">
        <w:rPr>
          <w:rFonts w:asciiTheme="minorHAnsi" w:hAnsiTheme="minorHAnsi"/>
        </w:rPr>
        <w:t xml:space="preserve">The </w:t>
      </w:r>
      <w:r w:rsidR="006B03B2" w:rsidRPr="005A1995">
        <w:rPr>
          <w:rFonts w:asciiTheme="minorHAnsi" w:hAnsiTheme="minorHAnsi"/>
        </w:rPr>
        <w:t>ASFR</w:t>
      </w:r>
      <w:r w:rsidRPr="005A1995">
        <w:rPr>
          <w:rFonts w:asciiTheme="minorHAnsi" w:hAnsiTheme="minorHAnsi"/>
        </w:rPr>
        <w:t xml:space="preserve"> indicators and analysis are available to be used and incorporated within existing mandatory reports of MoEC and MoRA. </w:t>
      </w:r>
    </w:p>
    <w:p w:rsidR="005250BF" w:rsidRPr="005A1995" w:rsidRDefault="005250BF" w:rsidP="005A1995">
      <w:pPr>
        <w:spacing w:line="276" w:lineRule="auto"/>
        <w:jc w:val="both"/>
        <w:rPr>
          <w:rFonts w:asciiTheme="minorHAnsi" w:hAnsiTheme="minorHAnsi"/>
        </w:rPr>
      </w:pPr>
      <w:r w:rsidRPr="005A1995">
        <w:rPr>
          <w:rFonts w:asciiTheme="minorHAnsi" w:hAnsiTheme="minorHAnsi"/>
        </w:rPr>
        <w:t xml:space="preserve">The data underpinning most of the indicators at the district level </w:t>
      </w:r>
      <w:r w:rsidR="006B03B2" w:rsidRPr="005A1995">
        <w:rPr>
          <w:rFonts w:asciiTheme="minorHAnsi" w:hAnsiTheme="minorHAnsi"/>
        </w:rPr>
        <w:t xml:space="preserve">are </w:t>
      </w:r>
      <w:r w:rsidRPr="005A1995">
        <w:rPr>
          <w:rFonts w:asciiTheme="minorHAnsi" w:hAnsiTheme="minorHAnsi"/>
        </w:rPr>
        <w:t xml:space="preserve">sourced from GoI statistical collections. This should mean the indicators can be reported within other regular reports. At the district level, these indicators will be useful and could be incorporated within their reporting systems. </w:t>
      </w:r>
    </w:p>
    <w:p w:rsidR="00396227" w:rsidRPr="005A1995" w:rsidRDefault="00396227" w:rsidP="005A1995">
      <w:pPr>
        <w:pStyle w:val="Heading1"/>
        <w:spacing w:line="276" w:lineRule="auto"/>
        <w:jc w:val="both"/>
        <w:rPr>
          <w:sz w:val="22"/>
          <w:szCs w:val="22"/>
          <w:highlight w:val="yellow"/>
        </w:rPr>
        <w:sectPr w:rsidR="00396227" w:rsidRPr="005A1995" w:rsidSect="00EF388E">
          <w:headerReference w:type="first" r:id="rId32"/>
          <w:footerReference w:type="first" r:id="rId33"/>
          <w:footnotePr>
            <w:numRestart w:val="eachSect"/>
          </w:footnotePr>
          <w:endnotePr>
            <w:numRestart w:val="eachSect"/>
          </w:endnotePr>
          <w:pgSz w:w="11909" w:h="16834" w:code="9"/>
          <w:pgMar w:top="357" w:right="1440" w:bottom="1304" w:left="1440" w:header="431" w:footer="425" w:gutter="0"/>
          <w:cols w:space="720"/>
          <w:titlePg/>
          <w:docGrid w:linePitch="360"/>
        </w:sectPr>
      </w:pPr>
      <w:bookmarkStart w:id="17" w:name="_Toc372401482"/>
      <w:bookmarkEnd w:id="15"/>
    </w:p>
    <w:bookmarkEnd w:id="17"/>
    <w:p w:rsidR="00DE0C5D" w:rsidRDefault="006C249D" w:rsidP="00EF388E">
      <w:pPr>
        <w:tabs>
          <w:tab w:val="left" w:pos="2977"/>
        </w:tabs>
        <w:spacing w:before="6960"/>
        <w:ind w:right="1701"/>
        <w:jc w:val="right"/>
        <w:rPr>
          <w:b/>
          <w:color w:val="FFFFFF" w:themeColor="background1"/>
          <w:sz w:val="36"/>
          <w:szCs w:val="36"/>
        </w:rPr>
      </w:pPr>
      <w:r>
        <w:rPr>
          <w:b/>
          <w:color w:val="FFFFFF" w:themeColor="background1"/>
          <w:sz w:val="36"/>
          <w:szCs w:val="36"/>
        </w:rPr>
        <w:lastRenderedPageBreak/>
        <w:t>Financial Performance at National Level</w:t>
      </w:r>
    </w:p>
    <w:p w:rsidR="00DE0C5D" w:rsidRDefault="00DE0C5D" w:rsidP="00DE0C5D">
      <w:pPr>
        <w:tabs>
          <w:tab w:val="left" w:pos="2977"/>
        </w:tabs>
        <w:ind w:left="2880"/>
        <w:rPr>
          <w:b/>
          <w:color w:val="FFFFFF" w:themeColor="background1"/>
          <w:sz w:val="36"/>
          <w:szCs w:val="36"/>
        </w:rPr>
      </w:pPr>
    </w:p>
    <w:p w:rsidR="00DE0C5D" w:rsidRDefault="00DE0C5D" w:rsidP="00854A82">
      <w:pPr>
        <w:sectPr w:rsidR="00DE0C5D" w:rsidSect="00EF388E">
          <w:headerReference w:type="first" r:id="rId34"/>
          <w:footerReference w:type="first" r:id="rId35"/>
          <w:footnotePr>
            <w:numRestart w:val="eachSect"/>
          </w:footnotePr>
          <w:endnotePr>
            <w:numRestart w:val="eachSect"/>
          </w:endnotePr>
          <w:pgSz w:w="11909" w:h="16834" w:code="9"/>
          <w:pgMar w:top="357" w:right="1440" w:bottom="1304" w:left="1440" w:header="431" w:footer="425" w:gutter="0"/>
          <w:cols w:space="720"/>
          <w:titlePg/>
          <w:docGrid w:linePitch="360"/>
        </w:sectPr>
      </w:pPr>
    </w:p>
    <w:p w:rsidR="00DE0C5D" w:rsidRPr="00EF388E" w:rsidRDefault="00EF388E" w:rsidP="00EF388E">
      <w:pPr>
        <w:pStyle w:val="Heading1"/>
        <w:spacing w:after="1320"/>
        <w:ind w:left="357" w:hanging="357"/>
        <w:rPr>
          <w:color w:val="68BAD6"/>
        </w:rPr>
      </w:pPr>
      <w:bookmarkStart w:id="18" w:name="_Toc385504515"/>
      <w:r w:rsidRPr="00EF388E">
        <w:rPr>
          <w:color w:val="68BAD6"/>
        </w:rPr>
        <w:lastRenderedPageBreak/>
        <w:t>FINANCIAL PERFORMANCE AT NATIONAL LEVEL</w:t>
      </w:r>
      <w:bookmarkEnd w:id="18"/>
    </w:p>
    <w:p w:rsidR="00D21284" w:rsidRPr="00EF388E" w:rsidRDefault="00FA7330" w:rsidP="00EF388E">
      <w:pPr>
        <w:pStyle w:val="Heading2"/>
        <w:spacing w:before="360" w:after="240"/>
        <w:ind w:left="567" w:hanging="567"/>
        <w:rPr>
          <w:rFonts w:asciiTheme="minorHAnsi" w:hAnsiTheme="minorHAnsi"/>
          <w:b/>
          <w:sz w:val="32"/>
          <w:szCs w:val="22"/>
        </w:rPr>
      </w:pPr>
      <w:r w:rsidRPr="00EF388E">
        <w:rPr>
          <w:rFonts w:asciiTheme="minorHAnsi" w:hAnsiTheme="minorHAnsi"/>
          <w:b/>
          <w:sz w:val="32"/>
          <w:szCs w:val="22"/>
        </w:rPr>
        <w:t xml:space="preserve">Introduction </w:t>
      </w:r>
    </w:p>
    <w:p w:rsidR="00D21284" w:rsidRPr="00EF388E" w:rsidRDefault="00D21284" w:rsidP="00EF388E">
      <w:pPr>
        <w:spacing w:line="276" w:lineRule="auto"/>
        <w:jc w:val="both"/>
        <w:rPr>
          <w:rFonts w:asciiTheme="minorHAnsi" w:hAnsiTheme="minorHAnsi"/>
        </w:rPr>
      </w:pPr>
      <w:r w:rsidRPr="00EF388E">
        <w:rPr>
          <w:rFonts w:asciiTheme="minorHAnsi" w:hAnsiTheme="minorHAnsi"/>
        </w:rPr>
        <w:t xml:space="preserve">Public funding for education in Indonesia is provided mostly by the central and provincial levels of government, with the provincial level providing a smaller share. National level analysis of aggregate public expenditure is complicated because of these different sources of funding and the subsidization of salaries and services provided by the central level of government. </w:t>
      </w:r>
    </w:p>
    <w:p w:rsidR="00D21284" w:rsidRPr="00EF388E" w:rsidRDefault="00D21284" w:rsidP="00EF388E">
      <w:pPr>
        <w:spacing w:line="276" w:lineRule="auto"/>
        <w:jc w:val="both"/>
        <w:rPr>
          <w:rFonts w:asciiTheme="minorHAnsi" w:hAnsiTheme="minorHAnsi"/>
        </w:rPr>
      </w:pPr>
      <w:r w:rsidRPr="00EF388E">
        <w:rPr>
          <w:rFonts w:asciiTheme="minorHAnsi" w:hAnsiTheme="minorHAnsi"/>
        </w:rPr>
        <w:t>The national trends in the public financing of education are analyzed in this section. Key Performance Indicators (KPIs) provide a macro-level assessment of government commitment towards education. Each KPI has been assigned a ranking that indicates</w:t>
      </w:r>
      <w:r w:rsidR="007C09AF" w:rsidRPr="00EF388E">
        <w:rPr>
          <w:rFonts w:asciiTheme="minorHAnsi" w:hAnsiTheme="minorHAnsi"/>
        </w:rPr>
        <w:t xml:space="preserve"> change on the year before</w:t>
      </w:r>
      <w:r w:rsidRPr="00EF388E">
        <w:rPr>
          <w:rFonts w:asciiTheme="minorHAnsi" w:hAnsiTheme="minorHAnsi"/>
        </w:rPr>
        <w:t xml:space="preserve"> (neutral, positive, negative).</w:t>
      </w:r>
    </w:p>
    <w:p w:rsidR="00D21284" w:rsidRPr="00EF388E" w:rsidRDefault="00D21284" w:rsidP="00EF388E">
      <w:pPr>
        <w:spacing w:line="276" w:lineRule="auto"/>
        <w:jc w:val="both"/>
        <w:rPr>
          <w:rFonts w:asciiTheme="minorHAnsi" w:hAnsiTheme="minorHAnsi"/>
        </w:rPr>
      </w:pPr>
      <w:r w:rsidRPr="00EF388E">
        <w:rPr>
          <w:rFonts w:asciiTheme="minorHAnsi" w:hAnsiTheme="minorHAnsi"/>
        </w:rPr>
        <w:t xml:space="preserve">For the period 2001-2005 this report relies on data collected by the World Bank and presented in its publication </w:t>
      </w:r>
      <w:r w:rsidR="00EF388E" w:rsidRPr="00EF388E">
        <w:rPr>
          <w:rFonts w:asciiTheme="minorHAnsi" w:hAnsiTheme="minorHAnsi"/>
          <w:i/>
        </w:rPr>
        <w:t xml:space="preserve">Investing </w:t>
      </w:r>
      <w:r w:rsidRPr="00EF388E">
        <w:rPr>
          <w:rFonts w:asciiTheme="minorHAnsi" w:hAnsiTheme="minorHAnsi"/>
          <w:i/>
        </w:rPr>
        <w:t>in Indonesia’s Education (</w:t>
      </w:r>
      <w:r w:rsidRPr="00EF388E">
        <w:rPr>
          <w:rFonts w:asciiTheme="minorHAnsi" w:hAnsiTheme="minorHAnsi"/>
        </w:rPr>
        <w:t>World Bank, 2007). For the period 2006-2008, the GoI compiled comprehensive multi-year data on national and sub-national expenditures towards education in its submission to the Supreme Court case on its legal obligation to allocate at least 20% of the national budget towards education (Supreme Court Decision Number 13/PUU-VI/2008).</w:t>
      </w:r>
    </w:p>
    <w:p w:rsidR="00D21284" w:rsidRPr="00EF388E" w:rsidRDefault="00D21284" w:rsidP="00EF388E">
      <w:pPr>
        <w:spacing w:line="276" w:lineRule="auto"/>
        <w:jc w:val="both"/>
        <w:rPr>
          <w:rFonts w:asciiTheme="minorHAnsi" w:hAnsiTheme="minorHAnsi"/>
        </w:rPr>
      </w:pPr>
      <w:r w:rsidRPr="00EF388E">
        <w:rPr>
          <w:rFonts w:asciiTheme="minorHAnsi" w:hAnsiTheme="minorHAnsi"/>
        </w:rPr>
        <w:t xml:space="preserve">Detailed finance data for 2009 and 2010 has been collected from </w:t>
      </w:r>
      <w:r w:rsidRPr="00EF388E">
        <w:rPr>
          <w:rFonts w:asciiTheme="minorHAnsi" w:hAnsiTheme="minorHAnsi"/>
          <w:i/>
        </w:rPr>
        <w:t>the Financial Note and Indonesian Revised Budget 2010</w:t>
      </w:r>
      <w:r w:rsidRPr="00EF388E">
        <w:rPr>
          <w:rFonts w:asciiTheme="minorHAnsi" w:hAnsiTheme="minorHAnsi"/>
        </w:rPr>
        <w:t>, section III-2, (published by MoF, 2010), and from Financial Note and Indonesian Proposed Budget 2011, section iv-100, MoF 2010. Financial data for 2012 h</w:t>
      </w:r>
      <w:r w:rsidR="007C09AF" w:rsidRPr="00EF388E">
        <w:rPr>
          <w:rFonts w:asciiTheme="minorHAnsi" w:hAnsiTheme="minorHAnsi"/>
        </w:rPr>
        <w:t>ave</w:t>
      </w:r>
      <w:r w:rsidRPr="00EF388E">
        <w:rPr>
          <w:rFonts w:asciiTheme="minorHAnsi" w:hAnsiTheme="minorHAnsi"/>
        </w:rPr>
        <w:t xml:space="preserve"> been collected from </w:t>
      </w:r>
      <w:r w:rsidRPr="00EF388E">
        <w:rPr>
          <w:rFonts w:asciiTheme="minorHAnsi" w:hAnsiTheme="minorHAnsi"/>
          <w:i/>
        </w:rPr>
        <w:t xml:space="preserve">Nota Keuangan </w:t>
      </w:r>
      <w:r w:rsidR="00DB55DD" w:rsidRPr="00EF388E">
        <w:rPr>
          <w:rFonts w:asciiTheme="minorHAnsi" w:hAnsiTheme="minorHAnsi"/>
          <w:i/>
        </w:rPr>
        <w:t xml:space="preserve">dan </w:t>
      </w:r>
      <w:r w:rsidRPr="00EF388E">
        <w:rPr>
          <w:rFonts w:asciiTheme="minorHAnsi" w:hAnsiTheme="minorHAnsi"/>
          <w:i/>
        </w:rPr>
        <w:t xml:space="preserve">Rancangan Anggaran </w:t>
      </w:r>
      <w:r w:rsidR="00DB55DD" w:rsidRPr="00EF388E">
        <w:rPr>
          <w:rFonts w:asciiTheme="minorHAnsi" w:hAnsiTheme="minorHAnsi"/>
          <w:i/>
        </w:rPr>
        <w:t xml:space="preserve">Pendapatan dan </w:t>
      </w:r>
      <w:r w:rsidRPr="00EF388E">
        <w:rPr>
          <w:rFonts w:asciiTheme="minorHAnsi" w:hAnsiTheme="minorHAnsi"/>
          <w:i/>
        </w:rPr>
        <w:t xml:space="preserve">Belanja Negara Tahun Anggaran </w:t>
      </w:r>
      <w:r w:rsidRPr="00EF388E">
        <w:rPr>
          <w:rFonts w:asciiTheme="minorHAnsi" w:hAnsiTheme="minorHAnsi"/>
        </w:rPr>
        <w:t>(published by MoF 2012). An English language version of this publication could not be accessed for 2012.</w:t>
      </w:r>
    </w:p>
    <w:p w:rsidR="00B61780" w:rsidRPr="00EF388E" w:rsidRDefault="00B61780" w:rsidP="008045B0">
      <w:pPr>
        <w:spacing w:after="360" w:line="276" w:lineRule="auto"/>
        <w:jc w:val="both"/>
        <w:rPr>
          <w:rFonts w:asciiTheme="minorHAnsi" w:hAnsiTheme="minorHAnsi"/>
        </w:rPr>
      </w:pPr>
      <w:r w:rsidRPr="00EF388E">
        <w:rPr>
          <w:rFonts w:asciiTheme="minorHAnsi" w:hAnsiTheme="minorHAnsi"/>
        </w:rPr>
        <w:t xml:space="preserve">The key financial data that have been assembled to drive the national level financing are presented in the table </w:t>
      </w:r>
      <w:r w:rsidR="00A35276">
        <w:rPr>
          <w:rFonts w:asciiTheme="minorHAnsi" w:hAnsiTheme="minorHAnsi"/>
        </w:rPr>
        <w:t>over-page</w:t>
      </w:r>
      <w:r w:rsidRPr="00EF388E">
        <w:rPr>
          <w:rFonts w:asciiTheme="minorHAnsi" w:hAnsiTheme="minorHAnsi"/>
        </w:rPr>
        <w:t>.</w:t>
      </w:r>
    </w:p>
    <w:p w:rsidR="00A35276" w:rsidRDefault="00A35276">
      <w:pPr>
        <w:spacing w:after="0"/>
        <w:rPr>
          <w:rFonts w:asciiTheme="minorHAnsi" w:hAnsiTheme="minorHAnsi" w:cstheme="minorHAnsi"/>
          <w:lang w:val="en-GB"/>
        </w:rPr>
      </w:pPr>
      <w:bookmarkStart w:id="19" w:name="_Toc253398180"/>
      <w:bookmarkStart w:id="20" w:name="_Toc253439712"/>
      <w:bookmarkStart w:id="21" w:name="_Toc253441188"/>
      <w:bookmarkStart w:id="22" w:name="_Toc253442111"/>
      <w:bookmarkStart w:id="23" w:name="_Toc299653943"/>
      <w:bookmarkStart w:id="24" w:name="_Toc299738239"/>
      <w:bookmarkStart w:id="25" w:name="_Toc300303424"/>
      <w:bookmarkStart w:id="26" w:name="_Toc374181984"/>
      <w:bookmarkStart w:id="27" w:name="_Toc374182049"/>
      <w:r>
        <w:br w:type="page"/>
      </w:r>
    </w:p>
    <w:p w:rsidR="00D21284" w:rsidRPr="001A3FC6" w:rsidRDefault="00D21284" w:rsidP="001A3FC6">
      <w:pPr>
        <w:pStyle w:val="Caption"/>
      </w:pPr>
      <w:bookmarkStart w:id="28" w:name="_Toc381604784"/>
      <w:r w:rsidRPr="001A3FC6">
        <w:lastRenderedPageBreak/>
        <w:t xml:space="preserve">Table </w:t>
      </w:r>
      <w:r w:rsidR="0061523D">
        <w:fldChar w:fldCharType="begin"/>
      </w:r>
      <w:r w:rsidR="0061523D">
        <w:instrText xml:space="preserve"> SEQ Table \* ARABIC </w:instrText>
      </w:r>
      <w:r w:rsidR="0061523D">
        <w:fldChar w:fldCharType="separate"/>
      </w:r>
      <w:r w:rsidR="0075006D">
        <w:rPr>
          <w:noProof/>
        </w:rPr>
        <w:t>1</w:t>
      </w:r>
      <w:r w:rsidR="0061523D">
        <w:rPr>
          <w:noProof/>
        </w:rPr>
        <w:fldChar w:fldCharType="end"/>
      </w:r>
      <w:r w:rsidRPr="001A3FC6">
        <w:tab/>
        <w:t>National Level Education Financing Data 2001-20</w:t>
      </w:r>
      <w:bookmarkEnd w:id="19"/>
      <w:bookmarkEnd w:id="20"/>
      <w:bookmarkEnd w:id="21"/>
      <w:bookmarkEnd w:id="22"/>
      <w:r w:rsidRPr="001A3FC6">
        <w:t>1</w:t>
      </w:r>
      <w:bookmarkEnd w:id="23"/>
      <w:bookmarkEnd w:id="24"/>
      <w:bookmarkEnd w:id="25"/>
      <w:r w:rsidRPr="001A3FC6">
        <w:t>2</w:t>
      </w:r>
      <w:bookmarkEnd w:id="26"/>
      <w:bookmarkEnd w:id="27"/>
      <w:r w:rsidR="004F2A3C" w:rsidRPr="001A3FC6">
        <w:rPr>
          <w:rStyle w:val="FootnoteReference"/>
          <w:rFonts w:asciiTheme="minorHAnsi" w:hAnsiTheme="minorHAnsi"/>
          <w:b w:val="0"/>
          <w:i/>
          <w:iCs/>
          <w:vertAlign w:val="baseline"/>
        </w:rPr>
        <w:footnoteReference w:id="3"/>
      </w:r>
      <w:bookmarkEnd w:id="28"/>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1871"/>
        <w:gridCol w:w="606"/>
        <w:gridCol w:w="606"/>
        <w:gridCol w:w="606"/>
        <w:gridCol w:w="606"/>
        <w:gridCol w:w="606"/>
        <w:gridCol w:w="606"/>
        <w:gridCol w:w="606"/>
        <w:gridCol w:w="606"/>
        <w:gridCol w:w="606"/>
        <w:gridCol w:w="606"/>
        <w:gridCol w:w="606"/>
        <w:gridCol w:w="606"/>
      </w:tblGrid>
      <w:tr w:rsidR="008045B0" w:rsidRPr="008045B0" w:rsidTr="008045B0">
        <w:trPr>
          <w:tblHeader/>
          <w:jc w:val="center"/>
        </w:trPr>
        <w:tc>
          <w:tcPr>
            <w:tcW w:w="1749" w:type="dxa"/>
            <w:shd w:val="clear" w:color="auto" w:fill="68BAD6"/>
            <w:vAlign w:val="center"/>
            <w:hideMark/>
          </w:tcPr>
          <w:p w:rsidR="00D21284" w:rsidRPr="008045B0" w:rsidRDefault="008045B0" w:rsidP="008045B0">
            <w:pPr>
              <w:spacing w:after="0"/>
              <w:jc w:val="center"/>
              <w:rPr>
                <w:rFonts w:asciiTheme="minorHAnsi" w:hAnsiTheme="minorHAnsi" w:cs="Arial"/>
                <w:b/>
                <w:bCs/>
                <w:w w:val="90"/>
                <w:sz w:val="19"/>
                <w:szCs w:val="19"/>
                <w:lang w:val="en-AU" w:eastAsia="en-AU"/>
              </w:rPr>
            </w:pPr>
            <w:r w:rsidRPr="008045B0">
              <w:rPr>
                <w:rFonts w:asciiTheme="minorHAnsi" w:hAnsiTheme="minorHAnsi" w:cs="Arial"/>
                <w:b/>
                <w:bCs/>
                <w:w w:val="90"/>
                <w:sz w:val="19"/>
                <w:szCs w:val="19"/>
                <w:lang w:val="en-AU" w:eastAsia="en-AU"/>
              </w:rPr>
              <w:t>ITEM</w:t>
            </w:r>
          </w:p>
        </w:tc>
        <w:tc>
          <w:tcPr>
            <w:tcW w:w="567" w:type="dxa"/>
            <w:shd w:val="clear" w:color="auto" w:fill="68BAD6"/>
            <w:vAlign w:val="center"/>
            <w:hideMark/>
          </w:tcPr>
          <w:p w:rsidR="00D21284" w:rsidRPr="008045B0" w:rsidRDefault="008045B0" w:rsidP="008045B0">
            <w:pPr>
              <w:spacing w:after="0"/>
              <w:jc w:val="center"/>
              <w:rPr>
                <w:rFonts w:asciiTheme="minorHAnsi" w:hAnsiTheme="minorHAnsi" w:cs="Arial"/>
                <w:b/>
                <w:bCs/>
                <w:w w:val="90"/>
                <w:sz w:val="19"/>
                <w:szCs w:val="19"/>
                <w:lang w:val="en-AU" w:eastAsia="en-AU"/>
              </w:rPr>
            </w:pPr>
            <w:r w:rsidRPr="008045B0">
              <w:rPr>
                <w:rFonts w:asciiTheme="minorHAnsi" w:hAnsiTheme="minorHAnsi" w:cs="Arial"/>
                <w:b/>
                <w:bCs/>
                <w:w w:val="90"/>
                <w:sz w:val="19"/>
                <w:szCs w:val="19"/>
                <w:lang w:val="en-AU" w:eastAsia="en-AU"/>
              </w:rPr>
              <w:t>2001</w:t>
            </w:r>
          </w:p>
        </w:tc>
        <w:tc>
          <w:tcPr>
            <w:tcW w:w="567" w:type="dxa"/>
            <w:shd w:val="clear" w:color="auto" w:fill="68BAD6"/>
            <w:vAlign w:val="center"/>
            <w:hideMark/>
          </w:tcPr>
          <w:p w:rsidR="00D21284" w:rsidRPr="008045B0" w:rsidRDefault="008045B0" w:rsidP="008045B0">
            <w:pPr>
              <w:spacing w:after="0"/>
              <w:jc w:val="center"/>
              <w:rPr>
                <w:rFonts w:asciiTheme="minorHAnsi" w:hAnsiTheme="minorHAnsi" w:cs="Arial"/>
                <w:b/>
                <w:bCs/>
                <w:w w:val="90"/>
                <w:sz w:val="19"/>
                <w:szCs w:val="19"/>
                <w:lang w:val="en-AU" w:eastAsia="en-AU"/>
              </w:rPr>
            </w:pPr>
            <w:r w:rsidRPr="008045B0">
              <w:rPr>
                <w:rFonts w:asciiTheme="minorHAnsi" w:hAnsiTheme="minorHAnsi" w:cs="Arial"/>
                <w:b/>
                <w:bCs/>
                <w:w w:val="90"/>
                <w:sz w:val="19"/>
                <w:szCs w:val="19"/>
                <w:lang w:val="en-AU" w:eastAsia="en-AU"/>
              </w:rPr>
              <w:t>2002</w:t>
            </w:r>
          </w:p>
        </w:tc>
        <w:tc>
          <w:tcPr>
            <w:tcW w:w="567" w:type="dxa"/>
            <w:shd w:val="clear" w:color="auto" w:fill="68BAD6"/>
            <w:vAlign w:val="center"/>
            <w:hideMark/>
          </w:tcPr>
          <w:p w:rsidR="00D21284" w:rsidRPr="008045B0" w:rsidRDefault="008045B0" w:rsidP="008045B0">
            <w:pPr>
              <w:spacing w:after="0"/>
              <w:jc w:val="center"/>
              <w:rPr>
                <w:rFonts w:asciiTheme="minorHAnsi" w:hAnsiTheme="minorHAnsi" w:cs="Arial"/>
                <w:b/>
                <w:bCs/>
                <w:w w:val="90"/>
                <w:sz w:val="19"/>
                <w:szCs w:val="19"/>
                <w:lang w:val="en-AU" w:eastAsia="en-AU"/>
              </w:rPr>
            </w:pPr>
            <w:r w:rsidRPr="008045B0">
              <w:rPr>
                <w:rFonts w:asciiTheme="minorHAnsi" w:hAnsiTheme="minorHAnsi" w:cs="Arial"/>
                <w:b/>
                <w:bCs/>
                <w:w w:val="90"/>
                <w:sz w:val="19"/>
                <w:szCs w:val="19"/>
                <w:lang w:val="en-AU" w:eastAsia="en-AU"/>
              </w:rPr>
              <w:t>2003</w:t>
            </w:r>
          </w:p>
        </w:tc>
        <w:tc>
          <w:tcPr>
            <w:tcW w:w="567" w:type="dxa"/>
            <w:shd w:val="clear" w:color="auto" w:fill="68BAD6"/>
            <w:vAlign w:val="center"/>
            <w:hideMark/>
          </w:tcPr>
          <w:p w:rsidR="00D21284" w:rsidRPr="008045B0" w:rsidRDefault="008045B0" w:rsidP="008045B0">
            <w:pPr>
              <w:spacing w:after="0"/>
              <w:jc w:val="center"/>
              <w:rPr>
                <w:rFonts w:asciiTheme="minorHAnsi" w:hAnsiTheme="minorHAnsi" w:cs="Arial"/>
                <w:b/>
                <w:bCs/>
                <w:w w:val="90"/>
                <w:sz w:val="19"/>
                <w:szCs w:val="19"/>
                <w:lang w:val="en-AU" w:eastAsia="en-AU"/>
              </w:rPr>
            </w:pPr>
            <w:r w:rsidRPr="008045B0">
              <w:rPr>
                <w:rFonts w:asciiTheme="minorHAnsi" w:hAnsiTheme="minorHAnsi" w:cs="Arial"/>
                <w:b/>
                <w:bCs/>
                <w:w w:val="90"/>
                <w:sz w:val="19"/>
                <w:szCs w:val="19"/>
                <w:lang w:val="en-AU" w:eastAsia="en-AU"/>
              </w:rPr>
              <w:t>2004</w:t>
            </w:r>
          </w:p>
        </w:tc>
        <w:tc>
          <w:tcPr>
            <w:tcW w:w="567" w:type="dxa"/>
            <w:shd w:val="clear" w:color="auto" w:fill="68BAD6"/>
            <w:vAlign w:val="center"/>
            <w:hideMark/>
          </w:tcPr>
          <w:p w:rsidR="00D21284" w:rsidRPr="008045B0" w:rsidRDefault="008045B0" w:rsidP="008045B0">
            <w:pPr>
              <w:spacing w:after="0"/>
              <w:jc w:val="center"/>
              <w:rPr>
                <w:rFonts w:asciiTheme="minorHAnsi" w:hAnsiTheme="minorHAnsi" w:cs="Arial"/>
                <w:b/>
                <w:bCs/>
                <w:w w:val="90"/>
                <w:sz w:val="19"/>
                <w:szCs w:val="19"/>
                <w:lang w:val="en-AU" w:eastAsia="en-AU"/>
              </w:rPr>
            </w:pPr>
            <w:r w:rsidRPr="008045B0">
              <w:rPr>
                <w:rFonts w:asciiTheme="minorHAnsi" w:hAnsiTheme="minorHAnsi" w:cs="Arial"/>
                <w:b/>
                <w:bCs/>
                <w:w w:val="90"/>
                <w:sz w:val="19"/>
                <w:szCs w:val="19"/>
                <w:lang w:val="en-AU" w:eastAsia="en-AU"/>
              </w:rPr>
              <w:t>2005</w:t>
            </w:r>
          </w:p>
        </w:tc>
        <w:tc>
          <w:tcPr>
            <w:tcW w:w="567" w:type="dxa"/>
            <w:shd w:val="clear" w:color="auto" w:fill="68BAD6"/>
            <w:vAlign w:val="center"/>
            <w:hideMark/>
          </w:tcPr>
          <w:p w:rsidR="00D21284" w:rsidRPr="008045B0" w:rsidRDefault="008045B0" w:rsidP="008045B0">
            <w:pPr>
              <w:spacing w:after="0"/>
              <w:jc w:val="center"/>
              <w:rPr>
                <w:rFonts w:asciiTheme="minorHAnsi" w:hAnsiTheme="minorHAnsi" w:cs="Arial"/>
                <w:b/>
                <w:bCs/>
                <w:w w:val="90"/>
                <w:sz w:val="19"/>
                <w:szCs w:val="19"/>
                <w:lang w:val="en-AU" w:eastAsia="en-AU"/>
              </w:rPr>
            </w:pPr>
            <w:r w:rsidRPr="008045B0">
              <w:rPr>
                <w:rFonts w:asciiTheme="minorHAnsi" w:hAnsiTheme="minorHAnsi" w:cs="Arial"/>
                <w:b/>
                <w:bCs/>
                <w:w w:val="90"/>
                <w:sz w:val="19"/>
                <w:szCs w:val="19"/>
                <w:lang w:val="en-AU" w:eastAsia="en-AU"/>
              </w:rPr>
              <w:t>2006</w:t>
            </w:r>
          </w:p>
        </w:tc>
        <w:tc>
          <w:tcPr>
            <w:tcW w:w="567" w:type="dxa"/>
            <w:shd w:val="clear" w:color="auto" w:fill="68BAD6"/>
            <w:vAlign w:val="center"/>
            <w:hideMark/>
          </w:tcPr>
          <w:p w:rsidR="00D21284" w:rsidRPr="008045B0" w:rsidRDefault="008045B0" w:rsidP="008045B0">
            <w:pPr>
              <w:spacing w:after="0"/>
              <w:jc w:val="center"/>
              <w:rPr>
                <w:rFonts w:asciiTheme="minorHAnsi" w:hAnsiTheme="minorHAnsi" w:cs="Arial"/>
                <w:b/>
                <w:bCs/>
                <w:w w:val="90"/>
                <w:sz w:val="19"/>
                <w:szCs w:val="19"/>
                <w:lang w:val="en-AU" w:eastAsia="en-AU"/>
              </w:rPr>
            </w:pPr>
            <w:r w:rsidRPr="008045B0">
              <w:rPr>
                <w:rFonts w:asciiTheme="minorHAnsi" w:hAnsiTheme="minorHAnsi" w:cs="Arial"/>
                <w:b/>
                <w:bCs/>
                <w:w w:val="90"/>
                <w:sz w:val="19"/>
                <w:szCs w:val="19"/>
                <w:lang w:val="en-AU" w:eastAsia="en-AU"/>
              </w:rPr>
              <w:t>2007</w:t>
            </w:r>
          </w:p>
        </w:tc>
        <w:tc>
          <w:tcPr>
            <w:tcW w:w="567" w:type="dxa"/>
            <w:shd w:val="clear" w:color="auto" w:fill="68BAD6"/>
            <w:vAlign w:val="center"/>
            <w:hideMark/>
          </w:tcPr>
          <w:p w:rsidR="00D21284" w:rsidRPr="008045B0" w:rsidRDefault="008045B0" w:rsidP="008045B0">
            <w:pPr>
              <w:spacing w:after="0"/>
              <w:jc w:val="center"/>
              <w:rPr>
                <w:rFonts w:asciiTheme="minorHAnsi" w:hAnsiTheme="minorHAnsi" w:cs="Arial"/>
                <w:b/>
                <w:bCs/>
                <w:w w:val="90"/>
                <w:sz w:val="19"/>
                <w:szCs w:val="19"/>
                <w:lang w:val="en-AU" w:eastAsia="en-AU"/>
              </w:rPr>
            </w:pPr>
            <w:r w:rsidRPr="008045B0">
              <w:rPr>
                <w:rFonts w:asciiTheme="minorHAnsi" w:hAnsiTheme="minorHAnsi" w:cs="Arial"/>
                <w:b/>
                <w:bCs/>
                <w:w w:val="90"/>
                <w:sz w:val="19"/>
                <w:szCs w:val="19"/>
                <w:lang w:val="en-AU" w:eastAsia="en-AU"/>
              </w:rPr>
              <w:t>2008</w:t>
            </w:r>
          </w:p>
        </w:tc>
        <w:tc>
          <w:tcPr>
            <w:tcW w:w="567" w:type="dxa"/>
            <w:shd w:val="clear" w:color="auto" w:fill="68BAD6"/>
            <w:vAlign w:val="center"/>
            <w:hideMark/>
          </w:tcPr>
          <w:p w:rsidR="00D21284" w:rsidRPr="008045B0" w:rsidRDefault="008045B0" w:rsidP="008045B0">
            <w:pPr>
              <w:spacing w:after="0"/>
              <w:jc w:val="center"/>
              <w:rPr>
                <w:rFonts w:asciiTheme="minorHAnsi" w:hAnsiTheme="minorHAnsi" w:cs="Arial"/>
                <w:b/>
                <w:bCs/>
                <w:w w:val="90"/>
                <w:sz w:val="19"/>
                <w:szCs w:val="19"/>
                <w:lang w:val="en-AU" w:eastAsia="en-AU"/>
              </w:rPr>
            </w:pPr>
            <w:r w:rsidRPr="008045B0">
              <w:rPr>
                <w:rFonts w:asciiTheme="minorHAnsi" w:hAnsiTheme="minorHAnsi" w:cs="Arial"/>
                <w:b/>
                <w:bCs/>
                <w:w w:val="90"/>
                <w:sz w:val="19"/>
                <w:szCs w:val="19"/>
                <w:lang w:val="en-AU" w:eastAsia="en-AU"/>
              </w:rPr>
              <w:t>2009</w:t>
            </w:r>
          </w:p>
        </w:tc>
        <w:tc>
          <w:tcPr>
            <w:tcW w:w="567" w:type="dxa"/>
            <w:shd w:val="clear" w:color="auto" w:fill="68BAD6"/>
            <w:vAlign w:val="center"/>
            <w:hideMark/>
          </w:tcPr>
          <w:p w:rsidR="00D21284" w:rsidRPr="008045B0" w:rsidRDefault="008045B0" w:rsidP="008045B0">
            <w:pPr>
              <w:spacing w:after="0"/>
              <w:jc w:val="center"/>
              <w:rPr>
                <w:rFonts w:asciiTheme="minorHAnsi" w:hAnsiTheme="minorHAnsi" w:cs="Arial"/>
                <w:b/>
                <w:bCs/>
                <w:w w:val="90"/>
                <w:sz w:val="19"/>
                <w:szCs w:val="19"/>
                <w:lang w:val="en-AU" w:eastAsia="en-AU"/>
              </w:rPr>
            </w:pPr>
            <w:r w:rsidRPr="008045B0">
              <w:rPr>
                <w:rFonts w:asciiTheme="minorHAnsi" w:hAnsiTheme="minorHAnsi" w:cs="Arial"/>
                <w:b/>
                <w:bCs/>
                <w:w w:val="90"/>
                <w:sz w:val="19"/>
                <w:szCs w:val="19"/>
                <w:lang w:val="en-AU" w:eastAsia="en-AU"/>
              </w:rPr>
              <w:t>2010</w:t>
            </w:r>
          </w:p>
        </w:tc>
        <w:tc>
          <w:tcPr>
            <w:tcW w:w="567" w:type="dxa"/>
            <w:shd w:val="clear" w:color="auto" w:fill="68BAD6"/>
            <w:vAlign w:val="center"/>
            <w:hideMark/>
          </w:tcPr>
          <w:p w:rsidR="00D21284" w:rsidRPr="008045B0" w:rsidRDefault="008045B0" w:rsidP="008045B0">
            <w:pPr>
              <w:spacing w:after="0"/>
              <w:jc w:val="center"/>
              <w:rPr>
                <w:rFonts w:asciiTheme="minorHAnsi" w:hAnsiTheme="minorHAnsi" w:cs="Arial"/>
                <w:b/>
                <w:bCs/>
                <w:w w:val="90"/>
                <w:sz w:val="19"/>
                <w:szCs w:val="19"/>
                <w:lang w:val="en-AU" w:eastAsia="en-AU"/>
              </w:rPr>
            </w:pPr>
            <w:r w:rsidRPr="008045B0">
              <w:rPr>
                <w:rFonts w:asciiTheme="minorHAnsi" w:hAnsiTheme="minorHAnsi" w:cs="Arial"/>
                <w:b/>
                <w:bCs/>
                <w:w w:val="90"/>
                <w:sz w:val="19"/>
                <w:szCs w:val="19"/>
                <w:lang w:val="en-AU" w:eastAsia="en-AU"/>
              </w:rPr>
              <w:t>2011</w:t>
            </w:r>
          </w:p>
        </w:tc>
        <w:tc>
          <w:tcPr>
            <w:tcW w:w="567" w:type="dxa"/>
            <w:shd w:val="clear" w:color="auto" w:fill="68BAD6"/>
            <w:vAlign w:val="center"/>
            <w:hideMark/>
          </w:tcPr>
          <w:p w:rsidR="00D21284" w:rsidRPr="008045B0" w:rsidRDefault="008045B0" w:rsidP="008045B0">
            <w:pPr>
              <w:spacing w:after="0"/>
              <w:jc w:val="center"/>
              <w:rPr>
                <w:rFonts w:asciiTheme="minorHAnsi" w:hAnsiTheme="minorHAnsi" w:cs="Arial"/>
                <w:b/>
                <w:bCs/>
                <w:w w:val="90"/>
                <w:sz w:val="19"/>
                <w:szCs w:val="19"/>
                <w:lang w:val="en-AU" w:eastAsia="en-AU"/>
              </w:rPr>
            </w:pPr>
            <w:r w:rsidRPr="008045B0">
              <w:rPr>
                <w:rFonts w:asciiTheme="minorHAnsi" w:hAnsiTheme="minorHAnsi" w:cs="Arial"/>
                <w:b/>
                <w:bCs/>
                <w:w w:val="90"/>
                <w:sz w:val="19"/>
                <w:szCs w:val="19"/>
                <w:lang w:val="en-AU" w:eastAsia="en-AU"/>
              </w:rPr>
              <w:t>2012</w:t>
            </w:r>
          </w:p>
        </w:tc>
      </w:tr>
      <w:tr w:rsidR="00D21284" w:rsidRPr="008045B0" w:rsidTr="008045B0">
        <w:trPr>
          <w:jc w:val="center"/>
        </w:trPr>
        <w:tc>
          <w:tcPr>
            <w:tcW w:w="1749" w:type="dxa"/>
            <w:shd w:val="clear" w:color="auto" w:fill="auto"/>
            <w:vAlign w:val="center"/>
            <w:hideMark/>
          </w:tcPr>
          <w:p w:rsidR="00D21284" w:rsidRPr="008045B0" w:rsidRDefault="00D21284" w:rsidP="008045B0">
            <w:pPr>
              <w:spacing w:after="0"/>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 xml:space="preserve">Nominal National Education Expenditures (Rp trillion) </w:t>
            </w:r>
            <w:r w:rsidRPr="008045B0">
              <w:rPr>
                <w:rFonts w:asciiTheme="minorHAnsi" w:hAnsiTheme="minorHAnsi" w:cs="Arial"/>
                <w:w w:val="90"/>
                <w:sz w:val="19"/>
                <w:szCs w:val="19"/>
                <w:vertAlign w:val="superscript"/>
                <w:lang w:val="en-AU" w:eastAsia="en-AU"/>
              </w:rPr>
              <w:t>(1)</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42.3</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53.1</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64.8</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63.1</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78.6</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122.99</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142.2</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154</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207.41</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225.2</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243.3</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286.6</w:t>
            </w:r>
          </w:p>
        </w:tc>
      </w:tr>
      <w:tr w:rsidR="00D21284" w:rsidRPr="008045B0" w:rsidTr="008045B0">
        <w:trPr>
          <w:jc w:val="center"/>
        </w:trPr>
        <w:tc>
          <w:tcPr>
            <w:tcW w:w="1749" w:type="dxa"/>
            <w:shd w:val="clear" w:color="auto" w:fill="auto"/>
            <w:vAlign w:val="center"/>
            <w:hideMark/>
          </w:tcPr>
          <w:p w:rsidR="00D21284" w:rsidRPr="008045B0" w:rsidRDefault="00D21284" w:rsidP="008045B0">
            <w:pPr>
              <w:spacing w:after="0"/>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National Education Expenditures (Rp trillion 2001 prices)</w:t>
            </w:r>
            <w:r w:rsidR="0007052D" w:rsidRPr="008045B0">
              <w:rPr>
                <w:rFonts w:asciiTheme="minorHAnsi" w:hAnsiTheme="minorHAnsi" w:cs="Arial"/>
                <w:w w:val="90"/>
                <w:sz w:val="19"/>
                <w:szCs w:val="19"/>
                <w:lang w:val="en-AU" w:eastAsia="en-AU"/>
              </w:rPr>
              <w:t xml:space="preserve"> </w:t>
            </w:r>
            <w:r w:rsidR="0007052D" w:rsidRPr="008045B0">
              <w:rPr>
                <w:rFonts w:asciiTheme="minorHAnsi" w:hAnsiTheme="minorHAnsi" w:cs="Arial"/>
                <w:w w:val="90"/>
                <w:sz w:val="19"/>
                <w:szCs w:val="19"/>
                <w:vertAlign w:val="superscript"/>
                <w:lang w:val="en-AU" w:eastAsia="en-AU"/>
              </w:rPr>
              <w:t>(2) (3)</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42.3</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47.8</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55.4</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50.4</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52.1</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76.1</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82.2</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79.2</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106.4</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109.4</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109.9</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124.8</w:t>
            </w:r>
          </w:p>
        </w:tc>
      </w:tr>
      <w:tr w:rsidR="00D21284" w:rsidRPr="008045B0" w:rsidTr="008045B0">
        <w:trPr>
          <w:jc w:val="center"/>
        </w:trPr>
        <w:tc>
          <w:tcPr>
            <w:tcW w:w="1749" w:type="dxa"/>
            <w:shd w:val="clear" w:color="auto" w:fill="auto"/>
            <w:vAlign w:val="center"/>
            <w:hideMark/>
          </w:tcPr>
          <w:p w:rsidR="00D21284" w:rsidRPr="008045B0" w:rsidRDefault="00D21284" w:rsidP="008045B0">
            <w:pPr>
              <w:spacing w:after="0"/>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Education Exp. As % of National Public Exp.</w:t>
            </w:r>
            <w:r w:rsidRPr="008045B0">
              <w:rPr>
                <w:rFonts w:asciiTheme="minorHAnsi" w:hAnsiTheme="minorHAnsi" w:cs="Arial"/>
                <w:w w:val="90"/>
                <w:sz w:val="19"/>
                <w:szCs w:val="19"/>
                <w:lang w:val="en-AU" w:eastAsia="en-AU"/>
              </w:rPr>
              <w:br/>
              <w:t>(% Total National Exp.)</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12.0%</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15.8%</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16.0%</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14.2%</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13.9%</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17.6%</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18.9%</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15.6%</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20.0%</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20.0%</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20.2%</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20.2%</w:t>
            </w:r>
          </w:p>
        </w:tc>
      </w:tr>
      <w:tr w:rsidR="00D21284" w:rsidRPr="008045B0" w:rsidTr="008045B0">
        <w:trPr>
          <w:jc w:val="center"/>
        </w:trPr>
        <w:tc>
          <w:tcPr>
            <w:tcW w:w="1749" w:type="dxa"/>
            <w:shd w:val="clear" w:color="auto" w:fill="auto"/>
            <w:vAlign w:val="center"/>
            <w:hideMark/>
          </w:tcPr>
          <w:p w:rsidR="00D21284" w:rsidRPr="008045B0" w:rsidRDefault="00D21284" w:rsidP="008045B0">
            <w:pPr>
              <w:spacing w:after="0"/>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 xml:space="preserve">National Education </w:t>
            </w:r>
            <w:r w:rsidRPr="008045B0">
              <w:rPr>
                <w:rFonts w:asciiTheme="minorHAnsi" w:hAnsiTheme="minorHAnsi" w:cs="Arial"/>
                <w:w w:val="90"/>
                <w:sz w:val="19"/>
                <w:szCs w:val="19"/>
                <w:lang w:val="en-AU" w:eastAsia="en-AU"/>
              </w:rPr>
              <w:br/>
              <w:t>Exp. (% GDP)</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2.5%</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2.8%</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3.2%</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2.8%</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2.9%</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3.7%</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3.6%</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3.1%</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3.7%</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3.5%</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3.3%</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3.5%</w:t>
            </w:r>
          </w:p>
        </w:tc>
      </w:tr>
      <w:tr w:rsidR="00D21284" w:rsidRPr="008045B0" w:rsidTr="008045B0">
        <w:trPr>
          <w:jc w:val="center"/>
        </w:trPr>
        <w:tc>
          <w:tcPr>
            <w:tcW w:w="1749"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Total Nominal National Expenditures (Rp trillion)</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352.8</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336.5</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405.4</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445.3</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565.1</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699.1</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752.4</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989.5</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1037.1</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1126.2</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1202.0</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1418.5</w:t>
            </w:r>
          </w:p>
        </w:tc>
      </w:tr>
      <w:tr w:rsidR="00D21284" w:rsidRPr="008045B0" w:rsidTr="008045B0">
        <w:trPr>
          <w:jc w:val="center"/>
        </w:trPr>
        <w:tc>
          <w:tcPr>
            <w:tcW w:w="1749"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 xml:space="preserve">GDP at Current Prices </w:t>
            </w:r>
            <w:r w:rsidRPr="008045B0">
              <w:rPr>
                <w:rFonts w:asciiTheme="minorHAnsi" w:hAnsiTheme="minorHAnsi" w:cs="Arial"/>
                <w:w w:val="90"/>
                <w:sz w:val="19"/>
                <w:szCs w:val="19"/>
                <w:vertAlign w:val="superscript"/>
                <w:lang w:val="en-AU" w:eastAsia="en-AU"/>
              </w:rPr>
              <w:t xml:space="preserve">(4) </w:t>
            </w:r>
            <w:r w:rsidRPr="009F41CB">
              <w:rPr>
                <w:rFonts w:asciiTheme="minorHAnsi" w:hAnsiTheme="minorHAnsi" w:cs="Arial"/>
                <w:w w:val="90"/>
                <w:sz w:val="20"/>
                <w:szCs w:val="20"/>
                <w:vertAlign w:val="superscript"/>
                <w:lang w:val="en-AU" w:eastAsia="en-AU"/>
              </w:rPr>
              <w:t>(</w:t>
            </w:r>
            <w:r w:rsidRPr="009F41CB">
              <w:rPr>
                <w:rFonts w:asciiTheme="minorHAnsi" w:hAnsiTheme="minorHAnsi" w:cs="Arial"/>
                <w:w w:val="90"/>
                <w:sz w:val="20"/>
                <w:szCs w:val="20"/>
                <w:lang w:val="en-AU" w:eastAsia="en-AU"/>
              </w:rPr>
              <w:t>R</w:t>
            </w:r>
            <w:r w:rsidRPr="009F41CB">
              <w:rPr>
                <w:rFonts w:asciiTheme="minorHAnsi" w:hAnsiTheme="minorHAnsi" w:cs="Arial"/>
                <w:w w:val="90"/>
                <w:sz w:val="19"/>
                <w:szCs w:val="19"/>
                <w:lang w:val="en-AU" w:eastAsia="en-AU"/>
              </w:rPr>
              <w:t>p trillion)</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1684.0</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1897.8</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2013.6</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2273.1</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2729.7</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3339.2</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3949.3</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4954.0</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5613.4</w:t>
            </w:r>
          </w:p>
        </w:tc>
        <w:tc>
          <w:tcPr>
            <w:tcW w:w="567" w:type="dxa"/>
            <w:shd w:val="clear" w:color="auto" w:fill="auto"/>
            <w:noWrap/>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6436.2</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7427.1</w:t>
            </w:r>
          </w:p>
        </w:tc>
        <w:tc>
          <w:tcPr>
            <w:tcW w:w="567" w:type="dxa"/>
            <w:shd w:val="clear" w:color="auto" w:fill="auto"/>
            <w:noWrap/>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8241.9</w:t>
            </w:r>
          </w:p>
        </w:tc>
      </w:tr>
      <w:tr w:rsidR="00D21284" w:rsidRPr="008045B0" w:rsidTr="008045B0">
        <w:trPr>
          <w:jc w:val="center"/>
        </w:trPr>
        <w:tc>
          <w:tcPr>
            <w:tcW w:w="1749"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Total Real National Expenditures (Rp. Trillion 2001 prices)</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352.8</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302.7</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346.3</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356.0</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374.5</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432.7</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435.0</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508.8</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532.2</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547.3</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543.1</w:t>
            </w:r>
          </w:p>
        </w:tc>
        <w:tc>
          <w:tcPr>
            <w:tcW w:w="567" w:type="dxa"/>
            <w:shd w:val="clear" w:color="auto" w:fill="auto"/>
            <w:vAlign w:val="center"/>
            <w:hideMark/>
          </w:tcPr>
          <w:p w:rsidR="00D21284" w:rsidRPr="008045B0" w:rsidRDefault="00D21284" w:rsidP="008045B0">
            <w:pPr>
              <w:spacing w:after="0"/>
              <w:jc w:val="center"/>
              <w:rPr>
                <w:rFonts w:asciiTheme="minorHAnsi" w:hAnsiTheme="minorHAnsi" w:cs="Arial"/>
                <w:w w:val="90"/>
                <w:sz w:val="19"/>
                <w:szCs w:val="19"/>
                <w:lang w:val="en-AU" w:eastAsia="en-AU"/>
              </w:rPr>
            </w:pPr>
            <w:r w:rsidRPr="008045B0">
              <w:rPr>
                <w:rFonts w:asciiTheme="minorHAnsi" w:hAnsiTheme="minorHAnsi" w:cs="Arial"/>
                <w:w w:val="90"/>
                <w:sz w:val="19"/>
                <w:szCs w:val="19"/>
                <w:lang w:val="en-AU" w:eastAsia="en-AU"/>
              </w:rPr>
              <w:t>617.5</w:t>
            </w:r>
          </w:p>
        </w:tc>
      </w:tr>
    </w:tbl>
    <w:p w:rsidR="00621917" w:rsidRDefault="00621917" w:rsidP="00621917">
      <w:pPr>
        <w:pStyle w:val="ListParagraph"/>
        <w:ind w:left="426"/>
        <w:jc w:val="both"/>
        <w:rPr>
          <w:rStyle w:val="SubtleReference"/>
          <w:b w:val="0"/>
          <w:sz w:val="16"/>
          <w:szCs w:val="16"/>
        </w:rPr>
      </w:pPr>
    </w:p>
    <w:p w:rsidR="00D21284" w:rsidRPr="008045B0" w:rsidRDefault="00D21284" w:rsidP="008045B0">
      <w:pPr>
        <w:pStyle w:val="ListParagraph"/>
        <w:numPr>
          <w:ilvl w:val="0"/>
          <w:numId w:val="43"/>
        </w:numPr>
        <w:spacing w:after="120" w:line="240" w:lineRule="auto"/>
        <w:ind w:left="426" w:hanging="284"/>
        <w:contextualSpacing w:val="0"/>
        <w:jc w:val="both"/>
        <w:rPr>
          <w:rStyle w:val="SubtleReference"/>
          <w:b w:val="0"/>
          <w:sz w:val="16"/>
          <w:szCs w:val="18"/>
        </w:rPr>
      </w:pPr>
      <w:r w:rsidRPr="008045B0">
        <w:rPr>
          <w:rStyle w:val="SubtleReference"/>
          <w:b w:val="0"/>
          <w:sz w:val="16"/>
          <w:szCs w:val="18"/>
        </w:rPr>
        <w:t>Financial data for 2005-2008 from (</w:t>
      </w:r>
      <w:r w:rsidR="007168AC" w:rsidRPr="008045B0">
        <w:rPr>
          <w:rStyle w:val="SubtleReference"/>
          <w:b w:val="0"/>
          <w:sz w:val="16"/>
          <w:szCs w:val="18"/>
        </w:rPr>
        <w:t>CC:</w:t>
      </w:r>
      <w:r w:rsidRPr="008045B0">
        <w:rPr>
          <w:rStyle w:val="SubtleReference"/>
          <w:b w:val="0"/>
          <w:sz w:val="16"/>
          <w:szCs w:val="18"/>
        </w:rPr>
        <w:t xml:space="preserve"> Constitutional Court Decision PUU-13/2008) where Government of Indonesia provided a detailed breakdown of expenditure allocations. Data for 2001-2004 collected by World Bank and presented in its publication </w:t>
      </w:r>
      <w:r w:rsidRPr="008045B0">
        <w:rPr>
          <w:rStyle w:val="SubtleReference"/>
          <w:b w:val="0"/>
          <w:i/>
          <w:sz w:val="16"/>
          <w:szCs w:val="18"/>
        </w:rPr>
        <w:t>Investing in Indonesia's Education</w:t>
      </w:r>
      <w:r w:rsidRPr="008045B0">
        <w:rPr>
          <w:rStyle w:val="SubtleReference"/>
          <w:b w:val="0"/>
          <w:sz w:val="16"/>
          <w:szCs w:val="18"/>
        </w:rPr>
        <w:t xml:space="preserve"> (WB, 2007).</w:t>
      </w:r>
    </w:p>
    <w:p w:rsidR="00D21284" w:rsidRPr="008045B0" w:rsidRDefault="00D21284" w:rsidP="008045B0">
      <w:pPr>
        <w:pStyle w:val="ListParagraph"/>
        <w:numPr>
          <w:ilvl w:val="0"/>
          <w:numId w:val="43"/>
        </w:numPr>
        <w:spacing w:after="120" w:line="240" w:lineRule="auto"/>
        <w:ind w:left="426" w:hanging="284"/>
        <w:contextualSpacing w:val="0"/>
        <w:jc w:val="both"/>
        <w:rPr>
          <w:rStyle w:val="SubtleReference"/>
          <w:b w:val="0"/>
          <w:sz w:val="16"/>
          <w:szCs w:val="18"/>
        </w:rPr>
      </w:pPr>
      <w:r w:rsidRPr="008045B0">
        <w:rPr>
          <w:rStyle w:val="SubtleReference"/>
          <w:b w:val="0"/>
          <w:sz w:val="16"/>
          <w:szCs w:val="18"/>
        </w:rPr>
        <w:t xml:space="preserve">Inflation data for 2001-2006 from BPS Key Indicators of Indonesia Table 5.2 Inflation Rate Year on Year 2002-2007 Statistic </w:t>
      </w:r>
      <w:hyperlink r:id="rId36" w:history="1">
        <w:r w:rsidRPr="008045B0">
          <w:rPr>
            <w:rStyle w:val="SubtleReference"/>
            <w:b w:val="0"/>
            <w:color w:val="1F497D"/>
            <w:sz w:val="16"/>
            <w:szCs w:val="18"/>
          </w:rPr>
          <w:t>http://dds.bps.go.id/eng/download_file/Booklet_indikatorkunci.pdf</w:t>
        </w:r>
      </w:hyperlink>
      <w:r w:rsidR="0007052D" w:rsidRPr="008045B0">
        <w:rPr>
          <w:rStyle w:val="SubtleReference"/>
          <w:b w:val="0"/>
          <w:color w:val="1F497D"/>
          <w:sz w:val="16"/>
          <w:szCs w:val="18"/>
        </w:rPr>
        <w:t>. This line compares expenditures at constant 2001 prices to remove the cost of price inflation across years</w:t>
      </w:r>
    </w:p>
    <w:p w:rsidR="00D21284" w:rsidRPr="008045B0" w:rsidRDefault="00D21284" w:rsidP="008045B0">
      <w:pPr>
        <w:pStyle w:val="ListParagraph"/>
        <w:numPr>
          <w:ilvl w:val="0"/>
          <w:numId w:val="43"/>
        </w:numPr>
        <w:spacing w:after="120" w:line="240" w:lineRule="auto"/>
        <w:ind w:left="426" w:hanging="284"/>
        <w:contextualSpacing w:val="0"/>
        <w:jc w:val="both"/>
        <w:rPr>
          <w:rStyle w:val="SubtleReference"/>
          <w:b w:val="0"/>
          <w:sz w:val="16"/>
          <w:szCs w:val="18"/>
        </w:rPr>
      </w:pPr>
      <w:r w:rsidRPr="008045B0">
        <w:rPr>
          <w:rStyle w:val="SubtleReference"/>
          <w:b w:val="0"/>
          <w:sz w:val="16"/>
          <w:szCs w:val="18"/>
        </w:rPr>
        <w:t>Inflation rate for 2007-2009 from BPS Statistical Yearbook 2009 Table 12.5 Composite Inflation Rate 2006-2009.</w:t>
      </w:r>
      <w:r w:rsidRPr="008045B0">
        <w:rPr>
          <w:b/>
          <w:sz w:val="16"/>
          <w:szCs w:val="18"/>
        </w:rPr>
        <w:t xml:space="preserve"> I</w:t>
      </w:r>
      <w:r w:rsidRPr="008045B0">
        <w:rPr>
          <w:rStyle w:val="SubtleReference"/>
          <w:b w:val="0"/>
          <w:sz w:val="16"/>
          <w:szCs w:val="18"/>
        </w:rPr>
        <w:t>nflation rate For 2010-2012, BPS Statistical YearBook 2012 http://www.bps.go.id/eng/flip/flip11/index3.php</w:t>
      </w:r>
    </w:p>
    <w:p w:rsidR="00D21284" w:rsidRPr="008045B0" w:rsidRDefault="00D21284" w:rsidP="008045B0">
      <w:pPr>
        <w:pStyle w:val="ListParagraph"/>
        <w:numPr>
          <w:ilvl w:val="0"/>
          <w:numId w:val="43"/>
        </w:numPr>
        <w:spacing w:after="120" w:line="240" w:lineRule="auto"/>
        <w:ind w:left="426" w:hanging="284"/>
        <w:contextualSpacing w:val="0"/>
        <w:jc w:val="both"/>
        <w:rPr>
          <w:rStyle w:val="SubtleReference"/>
          <w:b w:val="0"/>
          <w:sz w:val="16"/>
          <w:szCs w:val="18"/>
        </w:rPr>
      </w:pPr>
      <w:r w:rsidRPr="008045B0">
        <w:rPr>
          <w:rStyle w:val="SubtleReference"/>
          <w:b w:val="0"/>
          <w:sz w:val="16"/>
          <w:szCs w:val="18"/>
        </w:rPr>
        <w:t xml:space="preserve">GDP at current prices from Bureau of Statistics 2001-2009, For 2010 - 2012, BPS Gross Domestic Product at Current Market Prices By Industrial Origin (Billion Rupiahs), </w:t>
      </w:r>
      <w:r w:rsidRPr="008045B0">
        <w:rPr>
          <w:rStyle w:val="SubtleReference"/>
          <w:b w:val="0"/>
          <w:color w:val="1F497D" w:themeColor="text2"/>
          <w:sz w:val="16"/>
          <w:szCs w:val="18"/>
        </w:rPr>
        <w:t>http://www.bps.go.id/eng/tab_sub/view.php?kat=2&amp;tabel=1&amp;daftar=1&amp;id_subyek=11&amp;notab=1</w:t>
      </w:r>
    </w:p>
    <w:p w:rsidR="00D21284" w:rsidRPr="00C8389B" w:rsidRDefault="00D21284" w:rsidP="00D21284"/>
    <w:p w:rsidR="00FA7330" w:rsidRPr="008045B0" w:rsidRDefault="00FA7330" w:rsidP="00FA7330">
      <w:pPr>
        <w:pStyle w:val="Heading2"/>
        <w:rPr>
          <w:rFonts w:asciiTheme="minorHAnsi" w:hAnsiTheme="minorHAnsi"/>
          <w:b/>
          <w:sz w:val="32"/>
          <w:szCs w:val="22"/>
        </w:rPr>
      </w:pPr>
      <w:r w:rsidRPr="008045B0">
        <w:rPr>
          <w:rFonts w:asciiTheme="minorHAnsi" w:hAnsiTheme="minorHAnsi"/>
          <w:b/>
          <w:sz w:val="32"/>
          <w:szCs w:val="22"/>
        </w:rPr>
        <w:lastRenderedPageBreak/>
        <w:t xml:space="preserve">Key Performance Indicators </w:t>
      </w:r>
    </w:p>
    <w:p w:rsidR="001C31F4" w:rsidRPr="009160EF" w:rsidRDefault="001C31F4" w:rsidP="00402A11">
      <w:pPr>
        <w:pStyle w:val="Heading3"/>
      </w:pPr>
      <w:r w:rsidRPr="009160EF">
        <w:t>KPI 1: Education Expenditure as Proportion of Total Public Expenditure</w:t>
      </w:r>
    </w:p>
    <w:p w:rsidR="00A4260C" w:rsidRPr="00DF49DF" w:rsidRDefault="00962BFF" w:rsidP="001A3FC6">
      <w:pPr>
        <w:pStyle w:val="Caption"/>
        <w:rPr>
          <w:rStyle w:val="Strong"/>
          <w:b/>
        </w:rPr>
      </w:pPr>
      <w:bookmarkStart w:id="29" w:name="_Toc381604785"/>
      <w:r>
        <w:rPr>
          <w:rStyle w:val="Strong"/>
          <w:b/>
        </w:rPr>
        <w:t>Figure 1</w:t>
      </w:r>
      <w:r w:rsidR="00DB052E">
        <w:rPr>
          <w:rStyle w:val="Strong"/>
          <w:b/>
        </w:rPr>
        <w:t xml:space="preserve">: </w:t>
      </w:r>
      <w:r w:rsidR="00A4260C" w:rsidRPr="00DF49DF">
        <w:rPr>
          <w:rStyle w:val="Strong"/>
          <w:b/>
        </w:rPr>
        <w:t>Education Expenditure as Proportion of Total National Public Expenditure, 2001-2012</w:t>
      </w:r>
      <w:bookmarkEnd w:id="29"/>
    </w:p>
    <w:p w:rsidR="00A4260C" w:rsidRDefault="00A4260C" w:rsidP="00DB55DD">
      <w:pPr>
        <w:spacing w:after="360"/>
        <w:jc w:val="center"/>
        <w:rPr>
          <w:rFonts w:asciiTheme="minorHAnsi" w:hAnsiTheme="minorHAnsi" w:cstheme="minorHAnsi"/>
        </w:rPr>
      </w:pPr>
      <w:r>
        <w:rPr>
          <w:noProof/>
          <w:lang w:val="en-AU" w:eastAsia="en-AU"/>
        </w:rPr>
        <w:drawing>
          <wp:inline distT="0" distB="0" distL="0" distR="0" wp14:anchorId="5B8DB7C2" wp14:editId="66CF7780">
            <wp:extent cx="5566410" cy="3131106"/>
            <wp:effectExtent l="0" t="0" r="15240" b="1270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5666A" w:rsidRPr="00D21284" w:rsidRDefault="00B5666A" w:rsidP="00D21284"/>
    <w:tbl>
      <w:tblPr>
        <w:tblStyle w:val="TableGrid3"/>
        <w:tblW w:w="5000" w:type="pct"/>
        <w:jc w:val="center"/>
        <w:tblLayout w:type="fixed"/>
        <w:tblCellMar>
          <w:top w:w="57" w:type="dxa"/>
          <w:bottom w:w="57" w:type="dxa"/>
        </w:tblCellMar>
        <w:tblLook w:val="04A0" w:firstRow="1" w:lastRow="0" w:firstColumn="1" w:lastColumn="0" w:noHBand="0" w:noVBand="1"/>
      </w:tblPr>
      <w:tblGrid>
        <w:gridCol w:w="1849"/>
        <w:gridCol w:w="1849"/>
        <w:gridCol w:w="1849"/>
        <w:gridCol w:w="3698"/>
      </w:tblGrid>
      <w:tr w:rsidR="00431EBF" w:rsidRPr="00B5666A" w:rsidTr="00B5666A">
        <w:trPr>
          <w:tblHeader/>
          <w:jc w:val="center"/>
        </w:trPr>
        <w:tc>
          <w:tcPr>
            <w:tcW w:w="1000" w:type="pct"/>
            <w:tcBorders>
              <w:top w:val="single" w:sz="12" w:space="0" w:color="auto"/>
              <w:left w:val="single" w:sz="12" w:space="0" w:color="auto"/>
              <w:bottom w:val="single" w:sz="4" w:space="0" w:color="auto"/>
              <w:right w:val="single" w:sz="4" w:space="0" w:color="FFFFFF" w:themeColor="background1"/>
            </w:tcBorders>
            <w:shd w:val="clear" w:color="auto" w:fill="003880"/>
            <w:vAlign w:val="center"/>
          </w:tcPr>
          <w:p w:rsidR="006C249D" w:rsidRPr="00B5666A" w:rsidRDefault="00431EBF" w:rsidP="00B5666A">
            <w:pPr>
              <w:spacing w:after="0"/>
              <w:jc w:val="center"/>
              <w:rPr>
                <w:rFonts w:asciiTheme="minorHAnsi" w:hAnsiTheme="minorHAnsi" w:cstheme="minorHAnsi"/>
                <w:b/>
                <w:color w:val="FFFFFF" w:themeColor="background1"/>
                <w:sz w:val="20"/>
                <w:szCs w:val="20"/>
                <w:lang w:val="en-US"/>
              </w:rPr>
            </w:pPr>
            <w:r w:rsidRPr="00B5666A">
              <w:rPr>
                <w:rFonts w:asciiTheme="minorHAnsi" w:hAnsiTheme="minorHAnsi" w:cstheme="minorHAnsi"/>
                <w:b/>
                <w:color w:val="FFFFFF" w:themeColor="background1"/>
                <w:sz w:val="20"/>
                <w:szCs w:val="20"/>
                <w:lang w:val="en-US"/>
              </w:rPr>
              <w:t>KPI 1</w:t>
            </w:r>
          </w:p>
        </w:tc>
        <w:tc>
          <w:tcPr>
            <w:tcW w:w="6092" w:type="dxa"/>
            <w:gridSpan w:val="3"/>
            <w:tcBorders>
              <w:top w:val="single" w:sz="12" w:space="0" w:color="auto"/>
              <w:left w:val="single" w:sz="4" w:space="0" w:color="FFFFFF" w:themeColor="background1"/>
              <w:bottom w:val="single" w:sz="4" w:space="0" w:color="auto"/>
              <w:right w:val="single" w:sz="12" w:space="0" w:color="auto"/>
            </w:tcBorders>
            <w:shd w:val="clear" w:color="auto" w:fill="003880"/>
            <w:vAlign w:val="center"/>
          </w:tcPr>
          <w:p w:rsidR="006C249D" w:rsidRPr="00B5666A" w:rsidRDefault="00B5666A" w:rsidP="00B5666A">
            <w:pPr>
              <w:spacing w:after="0"/>
              <w:jc w:val="center"/>
              <w:rPr>
                <w:rFonts w:asciiTheme="minorHAnsi" w:eastAsia="Times New Roman" w:hAnsiTheme="minorHAnsi" w:cstheme="minorHAnsi"/>
                <w:b/>
                <w:color w:val="FFFFFF" w:themeColor="background1"/>
                <w:sz w:val="20"/>
                <w:szCs w:val="20"/>
                <w:lang w:val="en-US"/>
              </w:rPr>
            </w:pPr>
            <w:r w:rsidRPr="00B5666A">
              <w:rPr>
                <w:rFonts w:asciiTheme="minorHAnsi" w:hAnsiTheme="minorHAnsi" w:cstheme="minorHAnsi"/>
                <w:b/>
                <w:color w:val="FFFFFF" w:themeColor="background1"/>
                <w:sz w:val="20"/>
                <w:szCs w:val="20"/>
                <w:lang w:val="en-US"/>
              </w:rPr>
              <w:t>EDUCATION EXPENDITURE AS PROPORTION OF TOTAL PUBLIC EXPENDITURE</w:t>
            </w:r>
          </w:p>
        </w:tc>
      </w:tr>
      <w:tr w:rsidR="006C249D" w:rsidRPr="00B5666A" w:rsidTr="00490DE0">
        <w:trPr>
          <w:tblHeader/>
          <w:jc w:val="center"/>
        </w:trPr>
        <w:tc>
          <w:tcPr>
            <w:tcW w:w="9019" w:type="dxa"/>
            <w:gridSpan w:val="4"/>
            <w:tcBorders>
              <w:left w:val="single" w:sz="12" w:space="0" w:color="auto"/>
              <w:bottom w:val="single" w:sz="4" w:space="0" w:color="auto"/>
              <w:right w:val="single" w:sz="12" w:space="0" w:color="auto"/>
            </w:tcBorders>
            <w:shd w:val="clear" w:color="auto" w:fill="68BAD6"/>
            <w:vAlign w:val="center"/>
          </w:tcPr>
          <w:p w:rsidR="006C249D" w:rsidRPr="00B5666A" w:rsidRDefault="00B5666A" w:rsidP="00B5666A">
            <w:pPr>
              <w:spacing w:after="0"/>
              <w:jc w:val="center"/>
              <w:rPr>
                <w:rFonts w:asciiTheme="minorHAnsi" w:hAnsiTheme="minorHAnsi" w:cstheme="minorHAnsi"/>
                <w:b/>
                <w:color w:val="FFFFFF" w:themeColor="background1"/>
                <w:sz w:val="20"/>
                <w:szCs w:val="20"/>
                <w:lang w:val="en-US"/>
              </w:rPr>
            </w:pPr>
            <w:r w:rsidRPr="00B5666A">
              <w:rPr>
                <w:rFonts w:asciiTheme="minorHAnsi" w:hAnsiTheme="minorHAnsi" w:cstheme="minorHAnsi"/>
                <w:b/>
                <w:sz w:val="20"/>
                <w:szCs w:val="20"/>
                <w:lang w:val="en-US"/>
              </w:rPr>
              <w:t>STATUS AND TRENDS</w:t>
            </w:r>
          </w:p>
        </w:tc>
      </w:tr>
      <w:tr w:rsidR="00431EBF" w:rsidRPr="00B5666A" w:rsidTr="00B5666A">
        <w:trPr>
          <w:jc w:val="center"/>
        </w:trPr>
        <w:tc>
          <w:tcPr>
            <w:tcW w:w="1000" w:type="pct"/>
            <w:tcBorders>
              <w:left w:val="single" w:sz="12" w:space="0" w:color="auto"/>
              <w:bottom w:val="single" w:sz="4" w:space="0" w:color="auto"/>
            </w:tcBorders>
            <w:shd w:val="clear" w:color="auto" w:fill="BFBFBF" w:themeFill="background1" w:themeFillShade="BF"/>
            <w:vAlign w:val="center"/>
          </w:tcPr>
          <w:p w:rsidR="00431EBF" w:rsidRPr="00B5666A" w:rsidRDefault="00431EBF" w:rsidP="00B5666A">
            <w:pPr>
              <w:spacing w:after="0"/>
              <w:jc w:val="center"/>
              <w:rPr>
                <w:sz w:val="20"/>
                <w:szCs w:val="20"/>
                <w:lang w:val="en-AU"/>
              </w:rPr>
            </w:pPr>
            <w:r w:rsidRPr="00B5666A">
              <w:rPr>
                <w:sz w:val="20"/>
                <w:szCs w:val="20"/>
                <w:lang w:val="en-AU"/>
              </w:rPr>
              <w:t>Result</w:t>
            </w:r>
          </w:p>
        </w:tc>
        <w:tc>
          <w:tcPr>
            <w:tcW w:w="1000" w:type="pct"/>
            <w:shd w:val="clear" w:color="auto" w:fill="92D050"/>
            <w:vAlign w:val="center"/>
          </w:tcPr>
          <w:p w:rsidR="00431EBF" w:rsidRPr="00B5666A" w:rsidRDefault="00431EBF" w:rsidP="00B5666A">
            <w:pPr>
              <w:spacing w:after="0"/>
              <w:jc w:val="center"/>
              <w:rPr>
                <w:sz w:val="20"/>
                <w:szCs w:val="20"/>
                <w:lang w:val="en-AU"/>
              </w:rPr>
            </w:pPr>
            <w:r w:rsidRPr="00B5666A">
              <w:rPr>
                <w:sz w:val="20"/>
                <w:szCs w:val="20"/>
                <w:lang w:val="en-AU"/>
              </w:rPr>
              <w:t>Positive</w:t>
            </w:r>
          </w:p>
        </w:tc>
        <w:tc>
          <w:tcPr>
            <w:tcW w:w="1000" w:type="pct"/>
            <w:shd w:val="clear" w:color="auto" w:fill="BFBFBF" w:themeFill="background1" w:themeFillShade="BF"/>
            <w:vAlign w:val="center"/>
          </w:tcPr>
          <w:p w:rsidR="00431EBF" w:rsidRPr="00B5666A" w:rsidRDefault="00431EBF" w:rsidP="00B5666A">
            <w:pPr>
              <w:spacing w:after="0"/>
              <w:jc w:val="center"/>
              <w:rPr>
                <w:sz w:val="20"/>
                <w:szCs w:val="20"/>
                <w:lang w:val="en-AU"/>
              </w:rPr>
            </w:pPr>
            <w:r w:rsidRPr="00B5666A">
              <w:rPr>
                <w:sz w:val="20"/>
                <w:szCs w:val="20"/>
                <w:lang w:val="en-AU"/>
              </w:rPr>
              <w:t>Data availability</w:t>
            </w:r>
          </w:p>
        </w:tc>
        <w:tc>
          <w:tcPr>
            <w:tcW w:w="236" w:type="dxa"/>
            <w:tcBorders>
              <w:right w:val="single" w:sz="12" w:space="0" w:color="auto"/>
            </w:tcBorders>
            <w:vAlign w:val="center"/>
          </w:tcPr>
          <w:p w:rsidR="00431EBF" w:rsidRPr="00B5666A" w:rsidRDefault="00431EBF" w:rsidP="00B5666A">
            <w:pPr>
              <w:pStyle w:val="ListParagraph"/>
              <w:spacing w:after="0" w:line="240" w:lineRule="auto"/>
              <w:ind w:left="360"/>
              <w:contextualSpacing w:val="0"/>
              <w:rPr>
                <w:sz w:val="20"/>
                <w:szCs w:val="20"/>
                <w:lang w:val="en-AU"/>
              </w:rPr>
            </w:pPr>
            <w:r w:rsidRPr="00B5666A">
              <w:rPr>
                <w:sz w:val="20"/>
                <w:szCs w:val="20"/>
                <w:lang w:val="en-AU"/>
              </w:rPr>
              <w:t>Full</w:t>
            </w:r>
          </w:p>
        </w:tc>
      </w:tr>
      <w:tr w:rsidR="00431EBF" w:rsidRPr="00B5666A" w:rsidTr="00B5666A">
        <w:trPr>
          <w:jc w:val="center"/>
        </w:trPr>
        <w:tc>
          <w:tcPr>
            <w:tcW w:w="1000" w:type="pct"/>
            <w:tcBorders>
              <w:left w:val="single" w:sz="12" w:space="0" w:color="auto"/>
            </w:tcBorders>
            <w:shd w:val="clear" w:color="auto" w:fill="BFBFBF" w:themeFill="background1" w:themeFillShade="BF"/>
            <w:vAlign w:val="center"/>
          </w:tcPr>
          <w:p w:rsidR="00431EBF" w:rsidRPr="00B5666A" w:rsidRDefault="00182603" w:rsidP="00B5666A">
            <w:pPr>
              <w:spacing w:after="0"/>
              <w:jc w:val="center"/>
              <w:rPr>
                <w:sz w:val="20"/>
                <w:szCs w:val="20"/>
                <w:lang w:val="en-AU"/>
              </w:rPr>
            </w:pPr>
            <w:r w:rsidRPr="00B5666A">
              <w:rPr>
                <w:sz w:val="20"/>
                <w:szCs w:val="20"/>
                <w:lang w:val="en-AU"/>
              </w:rPr>
              <w:t>Observations</w:t>
            </w:r>
          </w:p>
        </w:tc>
        <w:tc>
          <w:tcPr>
            <w:tcW w:w="6092" w:type="dxa"/>
            <w:gridSpan w:val="3"/>
            <w:tcBorders>
              <w:right w:val="single" w:sz="12" w:space="0" w:color="auto"/>
            </w:tcBorders>
            <w:vAlign w:val="center"/>
          </w:tcPr>
          <w:p w:rsidR="00431EBF" w:rsidRPr="00B5666A" w:rsidRDefault="00561395" w:rsidP="00B5666A">
            <w:pPr>
              <w:pStyle w:val="ListParagraph"/>
              <w:numPr>
                <w:ilvl w:val="0"/>
                <w:numId w:val="12"/>
              </w:numPr>
              <w:spacing w:after="60" w:line="240" w:lineRule="auto"/>
              <w:ind w:left="284" w:hanging="284"/>
              <w:contextualSpacing w:val="0"/>
              <w:jc w:val="both"/>
              <w:rPr>
                <w:sz w:val="20"/>
                <w:szCs w:val="20"/>
                <w:lang w:val="en-AU"/>
              </w:rPr>
            </w:pPr>
            <w:r w:rsidRPr="00B5666A">
              <w:rPr>
                <w:sz w:val="20"/>
                <w:szCs w:val="20"/>
                <w:lang w:val="en-AU"/>
              </w:rPr>
              <w:t>GoI’s commitment to meet a 20% target for education expenditure share of national budget has been met for the fourth year in a row</w:t>
            </w:r>
            <w:r w:rsidR="00962BFF">
              <w:rPr>
                <w:sz w:val="20"/>
                <w:szCs w:val="20"/>
                <w:lang w:val="en-AU"/>
              </w:rPr>
              <w:t xml:space="preserve"> (see Figure </w:t>
            </w:r>
            <w:r w:rsidR="00A5292A" w:rsidRPr="00B5666A">
              <w:rPr>
                <w:sz w:val="20"/>
                <w:szCs w:val="20"/>
                <w:lang w:val="en-AU"/>
              </w:rPr>
              <w:t>1)</w:t>
            </w:r>
            <w:r w:rsidRPr="00B5666A">
              <w:rPr>
                <w:sz w:val="20"/>
                <w:szCs w:val="20"/>
                <w:lang w:val="en-AU"/>
              </w:rPr>
              <w:t xml:space="preserve">. </w:t>
            </w:r>
          </w:p>
          <w:p w:rsidR="006319C5" w:rsidRPr="00B5666A" w:rsidRDefault="006319C5" w:rsidP="00B5666A">
            <w:pPr>
              <w:pStyle w:val="ListParagraph"/>
              <w:numPr>
                <w:ilvl w:val="0"/>
                <w:numId w:val="12"/>
              </w:numPr>
              <w:spacing w:after="60" w:line="240" w:lineRule="auto"/>
              <w:ind w:left="284" w:hanging="284"/>
              <w:contextualSpacing w:val="0"/>
              <w:jc w:val="both"/>
              <w:rPr>
                <w:sz w:val="20"/>
                <w:szCs w:val="20"/>
                <w:lang w:val="en-AU"/>
              </w:rPr>
            </w:pPr>
            <w:r w:rsidRPr="00B5666A">
              <w:rPr>
                <w:sz w:val="20"/>
                <w:szCs w:val="20"/>
                <w:lang w:val="en-AU"/>
              </w:rPr>
              <w:t>The nominal value of public expenditures for education increased from 207 trillion in 200</w:t>
            </w:r>
            <w:r w:rsidR="00357390" w:rsidRPr="00B5666A">
              <w:rPr>
                <w:sz w:val="20"/>
                <w:szCs w:val="20"/>
                <w:lang w:val="en-AU"/>
              </w:rPr>
              <w:t>9</w:t>
            </w:r>
            <w:r w:rsidR="00A5292A" w:rsidRPr="00B5666A">
              <w:rPr>
                <w:sz w:val="20"/>
                <w:szCs w:val="20"/>
                <w:lang w:val="en-AU"/>
              </w:rPr>
              <w:t xml:space="preserve"> to 287 trillion by 2012 (see Figure 2 over-page).</w:t>
            </w:r>
          </w:p>
          <w:p w:rsidR="00A5292A" w:rsidRPr="00B5666A" w:rsidRDefault="00A5292A" w:rsidP="00B5666A">
            <w:pPr>
              <w:pStyle w:val="ListParagraph"/>
              <w:numPr>
                <w:ilvl w:val="0"/>
                <w:numId w:val="12"/>
              </w:numPr>
              <w:spacing w:after="60" w:line="240" w:lineRule="auto"/>
              <w:ind w:left="284" w:hanging="284"/>
              <w:contextualSpacing w:val="0"/>
              <w:jc w:val="both"/>
              <w:rPr>
                <w:sz w:val="20"/>
                <w:szCs w:val="20"/>
                <w:lang w:val="en-AU"/>
              </w:rPr>
            </w:pPr>
            <w:r w:rsidRPr="00B5666A">
              <w:rPr>
                <w:sz w:val="20"/>
                <w:szCs w:val="20"/>
                <w:lang w:val="en-AU"/>
              </w:rPr>
              <w:t>The public expenditure for education (not accounting for price inflation) increased by approxima</w:t>
            </w:r>
            <w:r w:rsidR="009B6D6D">
              <w:rPr>
                <w:sz w:val="20"/>
                <w:szCs w:val="20"/>
                <w:lang w:val="en-AU"/>
              </w:rPr>
              <w:t>tely 38% between 2009 and 2012</w:t>
            </w:r>
            <w:r w:rsidRPr="00B5666A">
              <w:rPr>
                <w:sz w:val="20"/>
                <w:szCs w:val="20"/>
                <w:lang w:val="en-AU"/>
              </w:rPr>
              <w:t xml:space="preserve">. </w:t>
            </w:r>
          </w:p>
          <w:p w:rsidR="006319C5" w:rsidRPr="00B5666A" w:rsidRDefault="006319C5" w:rsidP="00B5666A">
            <w:pPr>
              <w:pStyle w:val="ListParagraph"/>
              <w:numPr>
                <w:ilvl w:val="0"/>
                <w:numId w:val="12"/>
              </w:numPr>
              <w:spacing w:after="60" w:line="240" w:lineRule="auto"/>
              <w:ind w:left="284" w:hanging="284"/>
              <w:contextualSpacing w:val="0"/>
              <w:jc w:val="both"/>
              <w:rPr>
                <w:sz w:val="20"/>
                <w:szCs w:val="20"/>
                <w:lang w:val="en-AU"/>
              </w:rPr>
            </w:pPr>
            <w:r w:rsidRPr="00B5666A">
              <w:rPr>
                <w:sz w:val="20"/>
                <w:szCs w:val="20"/>
                <w:lang w:val="en-AU"/>
              </w:rPr>
              <w:t xml:space="preserve">The real value of public expenditure for education increased by 17% during the period 2009- 2012. Almost all of the real increase in funding occurred in 2012. </w:t>
            </w:r>
          </w:p>
          <w:p w:rsidR="006319C5" w:rsidRPr="00B5666A" w:rsidRDefault="006319C5" w:rsidP="00B5666A">
            <w:pPr>
              <w:pStyle w:val="ListParagraph"/>
              <w:numPr>
                <w:ilvl w:val="0"/>
                <w:numId w:val="12"/>
              </w:numPr>
              <w:spacing w:after="60" w:line="240" w:lineRule="auto"/>
              <w:ind w:left="284" w:hanging="284"/>
              <w:contextualSpacing w:val="0"/>
              <w:jc w:val="both"/>
              <w:rPr>
                <w:sz w:val="20"/>
                <w:szCs w:val="20"/>
                <w:lang w:val="en-AU"/>
              </w:rPr>
            </w:pPr>
            <w:r w:rsidRPr="00B5666A">
              <w:rPr>
                <w:sz w:val="20"/>
                <w:szCs w:val="20"/>
                <w:lang w:val="en-AU"/>
              </w:rPr>
              <w:t xml:space="preserve">In 2001 constant prices, national education expenditures increased more than 2.6 times their original 2002 value of Rp. 48 trillion to more than Rp. 124 trillion by 2012. </w:t>
            </w:r>
          </w:p>
          <w:p w:rsidR="006319C5" w:rsidRPr="00B5666A" w:rsidRDefault="006319C5" w:rsidP="00B5666A">
            <w:pPr>
              <w:pStyle w:val="ListParagraph"/>
              <w:numPr>
                <w:ilvl w:val="0"/>
                <w:numId w:val="12"/>
              </w:numPr>
              <w:spacing w:after="60" w:line="240" w:lineRule="auto"/>
              <w:ind w:left="284" w:hanging="284"/>
              <w:contextualSpacing w:val="0"/>
              <w:jc w:val="both"/>
              <w:rPr>
                <w:sz w:val="20"/>
                <w:szCs w:val="20"/>
                <w:lang w:val="en-AU"/>
              </w:rPr>
            </w:pPr>
            <w:r w:rsidRPr="00B5666A">
              <w:rPr>
                <w:sz w:val="20"/>
                <w:szCs w:val="20"/>
                <w:lang w:val="en-AU"/>
              </w:rPr>
              <w:t>Annual increases in national education expenditure have been uneven.</w:t>
            </w:r>
            <w:r w:rsidR="004971BD">
              <w:rPr>
                <w:sz w:val="20"/>
                <w:szCs w:val="20"/>
                <w:lang w:val="en-AU"/>
              </w:rPr>
              <w:t xml:space="preserve"> </w:t>
            </w:r>
            <w:r w:rsidRPr="00B5666A">
              <w:rPr>
                <w:sz w:val="20"/>
                <w:szCs w:val="20"/>
                <w:lang w:val="en-AU"/>
              </w:rPr>
              <w:t xml:space="preserve">The growth in public expenditure (while still positive) has been uneven in its nominal value and 2001 constant prices. Sharp increases in public expenditure for education in the years 2003 and 2006 were followed by contractions in 2004 and 2008. </w:t>
            </w:r>
          </w:p>
          <w:p w:rsidR="00AD0021" w:rsidRPr="00B5666A" w:rsidRDefault="00357390" w:rsidP="00B5666A">
            <w:pPr>
              <w:pStyle w:val="ListParagraph"/>
              <w:numPr>
                <w:ilvl w:val="0"/>
                <w:numId w:val="12"/>
              </w:numPr>
              <w:spacing w:after="60" w:line="240" w:lineRule="auto"/>
              <w:ind w:left="284" w:hanging="284"/>
              <w:contextualSpacing w:val="0"/>
              <w:jc w:val="both"/>
              <w:rPr>
                <w:sz w:val="20"/>
                <w:szCs w:val="20"/>
                <w:lang w:val="en-AU"/>
              </w:rPr>
            </w:pPr>
            <w:r w:rsidRPr="00B5666A">
              <w:rPr>
                <w:sz w:val="20"/>
                <w:szCs w:val="20"/>
                <w:lang w:val="en-AU"/>
              </w:rPr>
              <w:t>Annual g</w:t>
            </w:r>
            <w:r w:rsidR="00FA7330" w:rsidRPr="00B5666A">
              <w:rPr>
                <w:sz w:val="20"/>
                <w:szCs w:val="20"/>
                <w:lang w:val="en-AU"/>
              </w:rPr>
              <w:t>rowth in national public expenditure for education in 2012 exceeded price inflation for the first time since 2009.</w:t>
            </w:r>
            <w:r w:rsidR="004971BD">
              <w:rPr>
                <w:sz w:val="20"/>
                <w:szCs w:val="20"/>
                <w:lang w:val="en-AU"/>
              </w:rPr>
              <w:t xml:space="preserve"> </w:t>
            </w:r>
            <w:r w:rsidR="00FA7330" w:rsidRPr="00B5666A">
              <w:rPr>
                <w:sz w:val="20"/>
                <w:szCs w:val="20"/>
                <w:lang w:val="en-AU"/>
              </w:rPr>
              <w:t xml:space="preserve">The GoI had particularly impressive growth in real and nominal terms in 2006 and 2009. Growth in education expenditures had marginally outpaced inflation since 2009 but there was a plateau in the real increase </w:t>
            </w:r>
            <w:r w:rsidR="00FA7330" w:rsidRPr="00B5666A">
              <w:rPr>
                <w:sz w:val="20"/>
                <w:szCs w:val="20"/>
                <w:lang w:val="en-AU"/>
              </w:rPr>
              <w:lastRenderedPageBreak/>
              <w:t>of national funding for education. In 2012 we see the first significant increase in real terms for education funding. When accounting for the eroding impact of price inflation over time, the real increase in funding for education can be observed. The periods 2003-2005 and 2007-2008 saw a virtual pause (or even a slight decline) in real education expenditures</w:t>
            </w:r>
          </w:p>
        </w:tc>
      </w:tr>
      <w:tr w:rsidR="006C249D" w:rsidRPr="00B5666A" w:rsidTr="00490DE0">
        <w:trPr>
          <w:tblHeader/>
          <w:jc w:val="center"/>
        </w:trPr>
        <w:tc>
          <w:tcPr>
            <w:tcW w:w="9019" w:type="dxa"/>
            <w:gridSpan w:val="4"/>
            <w:tcBorders>
              <w:left w:val="single" w:sz="12" w:space="0" w:color="auto"/>
              <w:bottom w:val="single" w:sz="4" w:space="0" w:color="auto"/>
              <w:right w:val="single" w:sz="12" w:space="0" w:color="auto"/>
            </w:tcBorders>
            <w:shd w:val="clear" w:color="auto" w:fill="68BAD6"/>
            <w:vAlign w:val="center"/>
          </w:tcPr>
          <w:p w:rsidR="006C249D" w:rsidRPr="00B5666A" w:rsidRDefault="00B5666A" w:rsidP="00B5666A">
            <w:pPr>
              <w:spacing w:after="0"/>
              <w:jc w:val="center"/>
              <w:rPr>
                <w:rFonts w:asciiTheme="minorHAnsi" w:hAnsiTheme="minorHAnsi" w:cstheme="minorHAnsi"/>
                <w:b/>
                <w:color w:val="FFFFFF" w:themeColor="background1"/>
                <w:sz w:val="20"/>
                <w:szCs w:val="20"/>
                <w:lang w:val="en-US"/>
              </w:rPr>
            </w:pPr>
            <w:r w:rsidRPr="00B5666A">
              <w:rPr>
                <w:rFonts w:asciiTheme="minorHAnsi" w:hAnsiTheme="minorHAnsi" w:cstheme="minorHAnsi"/>
                <w:b/>
                <w:sz w:val="20"/>
                <w:szCs w:val="20"/>
                <w:lang w:val="en-US"/>
              </w:rPr>
              <w:lastRenderedPageBreak/>
              <w:t>IMPLICATIONS AND MATTERS ARISING</w:t>
            </w:r>
          </w:p>
        </w:tc>
      </w:tr>
      <w:tr w:rsidR="00431EBF" w:rsidRPr="00B5666A" w:rsidTr="00B5666A">
        <w:trPr>
          <w:jc w:val="center"/>
        </w:trPr>
        <w:tc>
          <w:tcPr>
            <w:tcW w:w="1000" w:type="pct"/>
            <w:tcBorders>
              <w:left w:val="single" w:sz="12" w:space="0" w:color="auto"/>
            </w:tcBorders>
            <w:shd w:val="clear" w:color="auto" w:fill="BFBFBF" w:themeFill="background1" w:themeFillShade="BF"/>
            <w:vAlign w:val="center"/>
          </w:tcPr>
          <w:p w:rsidR="00431EBF" w:rsidRPr="00B5666A" w:rsidRDefault="00AD0021" w:rsidP="00B5666A">
            <w:pPr>
              <w:spacing w:after="0"/>
              <w:jc w:val="center"/>
              <w:rPr>
                <w:sz w:val="20"/>
                <w:szCs w:val="20"/>
                <w:lang w:val="en-AU"/>
              </w:rPr>
            </w:pPr>
            <w:r w:rsidRPr="00B5666A">
              <w:rPr>
                <w:sz w:val="20"/>
                <w:szCs w:val="20"/>
                <w:lang w:val="en-AU"/>
              </w:rPr>
              <w:t xml:space="preserve">For the performance of the </w:t>
            </w:r>
            <w:r w:rsidR="00431EBF" w:rsidRPr="00B5666A">
              <w:rPr>
                <w:sz w:val="20"/>
                <w:szCs w:val="20"/>
                <w:lang w:val="en-AU"/>
              </w:rPr>
              <w:t>education sector</w:t>
            </w:r>
          </w:p>
        </w:tc>
        <w:tc>
          <w:tcPr>
            <w:tcW w:w="6092" w:type="dxa"/>
            <w:gridSpan w:val="3"/>
            <w:tcBorders>
              <w:right w:val="single" w:sz="12" w:space="0" w:color="auto"/>
            </w:tcBorders>
            <w:vAlign w:val="center"/>
          </w:tcPr>
          <w:p w:rsidR="006319C5" w:rsidRPr="00B5666A" w:rsidRDefault="006319C5" w:rsidP="00B5666A">
            <w:pPr>
              <w:pStyle w:val="ListParagraph"/>
              <w:numPr>
                <w:ilvl w:val="0"/>
                <w:numId w:val="12"/>
              </w:numPr>
              <w:spacing w:after="60" w:line="240" w:lineRule="auto"/>
              <w:ind w:left="284" w:hanging="284"/>
              <w:contextualSpacing w:val="0"/>
              <w:jc w:val="both"/>
              <w:rPr>
                <w:sz w:val="20"/>
                <w:szCs w:val="20"/>
                <w:lang w:val="en-AU"/>
              </w:rPr>
            </w:pPr>
            <w:r w:rsidRPr="00B5666A">
              <w:rPr>
                <w:sz w:val="20"/>
                <w:szCs w:val="20"/>
                <w:lang w:val="en-AU"/>
              </w:rPr>
              <w:t xml:space="preserve">The national expenditures for education in 2012 met the 20% target. Unlike the previous three budget years, this has generated a large year-on-year increase </w:t>
            </w:r>
            <w:r w:rsidR="00357390" w:rsidRPr="00B5666A">
              <w:rPr>
                <w:sz w:val="20"/>
                <w:szCs w:val="20"/>
                <w:lang w:val="en-AU"/>
              </w:rPr>
              <w:t xml:space="preserve">in </w:t>
            </w:r>
            <w:r w:rsidRPr="00B5666A">
              <w:rPr>
                <w:sz w:val="20"/>
                <w:szCs w:val="20"/>
                <w:lang w:val="en-AU"/>
              </w:rPr>
              <w:t xml:space="preserve">real funds available for education. Education has benefited from total national public revenues and expenditures which have grown at a significantly faster rate than inflation. </w:t>
            </w:r>
          </w:p>
          <w:p w:rsidR="00431EBF" w:rsidRPr="00B5666A" w:rsidRDefault="006319C5" w:rsidP="00B5666A">
            <w:pPr>
              <w:pStyle w:val="ListParagraph"/>
              <w:numPr>
                <w:ilvl w:val="0"/>
                <w:numId w:val="12"/>
              </w:numPr>
              <w:spacing w:after="60" w:line="240" w:lineRule="auto"/>
              <w:ind w:left="284" w:hanging="284"/>
              <w:contextualSpacing w:val="0"/>
              <w:jc w:val="both"/>
              <w:rPr>
                <w:sz w:val="20"/>
                <w:szCs w:val="20"/>
                <w:lang w:val="en-AU"/>
              </w:rPr>
            </w:pPr>
            <w:r w:rsidRPr="00B5666A">
              <w:rPr>
                <w:sz w:val="20"/>
                <w:szCs w:val="20"/>
                <w:lang w:val="en-AU"/>
              </w:rPr>
              <w:t>Adherence to a proportional budget allocation for education should enhance the ability of the education sector to anticipate future allocations and plan accordingly by creating a more stable financing framework. The proportional allocation approach toward education financing (i.e. 20% of available national public budget) will enhance predictability and steady growth of the education budget. The exception to this will be in the case of an economic downturn that depresses GoI revenues or where there is a change government fiscal policy settings, leading to reduced public expenditure as a proportion gross domestic product.</w:t>
            </w:r>
          </w:p>
        </w:tc>
      </w:tr>
      <w:tr w:rsidR="00431EBF" w:rsidRPr="00B5666A" w:rsidTr="00B5666A">
        <w:trPr>
          <w:jc w:val="center"/>
        </w:trPr>
        <w:tc>
          <w:tcPr>
            <w:tcW w:w="1000" w:type="pct"/>
            <w:tcBorders>
              <w:left w:val="single" w:sz="12" w:space="0" w:color="auto"/>
              <w:bottom w:val="single" w:sz="12" w:space="0" w:color="auto"/>
            </w:tcBorders>
            <w:shd w:val="clear" w:color="auto" w:fill="BFBFBF" w:themeFill="background1" w:themeFillShade="BF"/>
            <w:vAlign w:val="center"/>
          </w:tcPr>
          <w:p w:rsidR="00431EBF" w:rsidRPr="00B5666A" w:rsidRDefault="00431EBF" w:rsidP="00B5666A">
            <w:pPr>
              <w:spacing w:after="0"/>
              <w:jc w:val="center"/>
              <w:rPr>
                <w:sz w:val="20"/>
                <w:szCs w:val="20"/>
                <w:lang w:val="en-AU"/>
              </w:rPr>
            </w:pPr>
            <w:r w:rsidRPr="00B5666A">
              <w:rPr>
                <w:sz w:val="20"/>
                <w:szCs w:val="20"/>
                <w:lang w:val="en-AU"/>
              </w:rPr>
              <w:t xml:space="preserve">For the </w:t>
            </w:r>
            <w:r w:rsidR="00AD0021" w:rsidRPr="00B5666A">
              <w:rPr>
                <w:sz w:val="20"/>
                <w:szCs w:val="20"/>
                <w:lang w:val="en-AU"/>
              </w:rPr>
              <w:t xml:space="preserve">performance of the </w:t>
            </w:r>
            <w:r w:rsidRPr="00B5666A">
              <w:rPr>
                <w:sz w:val="20"/>
                <w:szCs w:val="20"/>
                <w:lang w:val="en-AU"/>
              </w:rPr>
              <w:t>Education Partnership</w:t>
            </w:r>
          </w:p>
        </w:tc>
        <w:tc>
          <w:tcPr>
            <w:tcW w:w="6092" w:type="dxa"/>
            <w:gridSpan w:val="3"/>
            <w:tcBorders>
              <w:bottom w:val="single" w:sz="12" w:space="0" w:color="auto"/>
              <w:right w:val="single" w:sz="12" w:space="0" w:color="auto"/>
            </w:tcBorders>
            <w:vAlign w:val="center"/>
          </w:tcPr>
          <w:p w:rsidR="00431EBF" w:rsidRPr="00B5666A" w:rsidRDefault="000A4055" w:rsidP="00B5666A">
            <w:pPr>
              <w:pStyle w:val="ListParagraph"/>
              <w:numPr>
                <w:ilvl w:val="0"/>
                <w:numId w:val="12"/>
              </w:numPr>
              <w:spacing w:after="60" w:line="240" w:lineRule="auto"/>
              <w:ind w:left="284" w:hanging="284"/>
              <w:contextualSpacing w:val="0"/>
              <w:jc w:val="both"/>
              <w:rPr>
                <w:sz w:val="20"/>
                <w:szCs w:val="20"/>
                <w:lang w:val="en-AU"/>
              </w:rPr>
            </w:pPr>
            <w:r w:rsidRPr="00B5666A">
              <w:rPr>
                <w:sz w:val="20"/>
                <w:szCs w:val="20"/>
                <w:lang w:val="en-AU"/>
              </w:rPr>
              <w:t>National funding flowing to schools should not be reduced and total funds available are unlikely to be reduced.</w:t>
            </w:r>
            <w:r w:rsidR="0009767F" w:rsidRPr="00B5666A">
              <w:rPr>
                <w:sz w:val="20"/>
                <w:szCs w:val="20"/>
                <w:lang w:val="en-AU"/>
              </w:rPr>
              <w:t xml:space="preserve"> </w:t>
            </w:r>
          </w:p>
        </w:tc>
      </w:tr>
    </w:tbl>
    <w:p w:rsidR="00DB052E" w:rsidRDefault="00DB052E" w:rsidP="001A3FC6">
      <w:pPr>
        <w:pStyle w:val="Caption"/>
      </w:pPr>
      <w:bookmarkStart w:id="30" w:name="_Toc374182050"/>
    </w:p>
    <w:p w:rsidR="00AB0E91" w:rsidRDefault="00DB052E" w:rsidP="001A3FC6">
      <w:pPr>
        <w:pStyle w:val="Caption"/>
      </w:pPr>
      <w:bookmarkStart w:id="31" w:name="_Toc381604786"/>
      <w:r>
        <w:t xml:space="preserve">Figure </w:t>
      </w:r>
      <w:r w:rsidR="00962BFF">
        <w:t>2</w:t>
      </w:r>
      <w:r>
        <w:t xml:space="preserve">: </w:t>
      </w:r>
      <w:r w:rsidR="00AB0E91" w:rsidRPr="00470457">
        <w:t>National Public Expenditure on E</w:t>
      </w:r>
      <w:r w:rsidR="00AB0E91">
        <w:t>ducation, Rp. Trillion 2001-2012</w:t>
      </w:r>
      <w:bookmarkEnd w:id="30"/>
      <w:bookmarkEnd w:id="31"/>
    </w:p>
    <w:p w:rsidR="00A5292A" w:rsidRDefault="00AB0E91" w:rsidP="00DB55DD">
      <w:pPr>
        <w:spacing w:after="360"/>
        <w:jc w:val="center"/>
      </w:pPr>
      <w:r>
        <w:rPr>
          <w:noProof/>
          <w:lang w:val="en-AU" w:eastAsia="en-AU"/>
        </w:rPr>
        <w:drawing>
          <wp:inline distT="0" distB="0" distL="0" distR="0" wp14:anchorId="4028442A" wp14:editId="63CBD0DA">
            <wp:extent cx="5255740" cy="3204519"/>
            <wp:effectExtent l="19050" t="19050" r="21590" b="152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59051" cy="3206538"/>
                    </a:xfrm>
                    <a:prstGeom prst="rect">
                      <a:avLst/>
                    </a:prstGeom>
                    <a:noFill/>
                    <a:ln>
                      <a:solidFill>
                        <a:srgbClr val="4F81BD"/>
                      </a:solidFill>
                    </a:ln>
                  </pic:spPr>
                </pic:pic>
              </a:graphicData>
            </a:graphic>
          </wp:inline>
        </w:drawing>
      </w:r>
      <w:bookmarkStart w:id="32" w:name="_Toc374182051"/>
    </w:p>
    <w:p w:rsidR="00A5292A" w:rsidRPr="009A1387" w:rsidRDefault="00DB052E" w:rsidP="001A3FC6">
      <w:pPr>
        <w:pStyle w:val="Caption"/>
      </w:pPr>
      <w:bookmarkStart w:id="33" w:name="_Toc381604787"/>
      <w:r>
        <w:lastRenderedPageBreak/>
        <w:t xml:space="preserve">Figure </w:t>
      </w:r>
      <w:r w:rsidR="00962BFF">
        <w:t>3</w:t>
      </w:r>
      <w:r>
        <w:t xml:space="preserve">: </w:t>
      </w:r>
      <w:r w:rsidR="00A5292A" w:rsidRPr="009A1387">
        <w:t xml:space="preserve">Annual Growth in </w:t>
      </w:r>
      <w:r w:rsidR="00A5292A">
        <w:t xml:space="preserve">Education </w:t>
      </w:r>
      <w:r w:rsidR="00DB55DD" w:rsidRPr="009A1387">
        <w:t>Expenditure</w:t>
      </w:r>
      <w:r w:rsidR="00DB55DD">
        <w:t xml:space="preserve"> (</w:t>
      </w:r>
      <w:r w:rsidR="00A5292A">
        <w:t>Rp. trillion)</w:t>
      </w:r>
      <w:r w:rsidR="00A5292A" w:rsidRPr="009A1387">
        <w:t>, 200</w:t>
      </w:r>
      <w:r w:rsidR="00A5292A">
        <w:t>1-2012</w:t>
      </w:r>
      <w:bookmarkEnd w:id="32"/>
      <w:bookmarkEnd w:id="33"/>
    </w:p>
    <w:p w:rsidR="00A5292A" w:rsidRDefault="00A5292A" w:rsidP="00DB55DD">
      <w:pPr>
        <w:spacing w:after="360"/>
        <w:jc w:val="center"/>
      </w:pPr>
      <w:r>
        <w:rPr>
          <w:noProof/>
          <w:lang w:val="en-AU" w:eastAsia="en-AU"/>
        </w:rPr>
        <w:drawing>
          <wp:inline distT="0" distB="0" distL="0" distR="0" wp14:anchorId="1D1833FB" wp14:editId="448EF688">
            <wp:extent cx="5562600" cy="2796540"/>
            <wp:effectExtent l="19050" t="19050" r="19050" b="228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62600" cy="2796540"/>
                    </a:xfrm>
                    <a:prstGeom prst="rect">
                      <a:avLst/>
                    </a:prstGeom>
                    <a:noFill/>
                    <a:ln>
                      <a:solidFill>
                        <a:srgbClr val="4F81BD"/>
                      </a:solidFill>
                    </a:ln>
                  </pic:spPr>
                </pic:pic>
              </a:graphicData>
            </a:graphic>
          </wp:inline>
        </w:drawing>
      </w:r>
    </w:p>
    <w:p w:rsidR="001C31F4" w:rsidRDefault="00A758B6" w:rsidP="00DB55DD">
      <w:pPr>
        <w:pStyle w:val="Heading3"/>
      </w:pPr>
      <w:r>
        <w:br w:type="page"/>
      </w:r>
      <w:r w:rsidR="001C31F4">
        <w:lastRenderedPageBreak/>
        <w:t xml:space="preserve">KPI 2: </w:t>
      </w:r>
      <w:r w:rsidR="001C31F4" w:rsidRPr="00DA60E0">
        <w:t>Education Expenditure as Proportion of GDP</w:t>
      </w:r>
    </w:p>
    <w:p w:rsidR="001C31F4" w:rsidRDefault="008D3F0E" w:rsidP="001A3FC6">
      <w:pPr>
        <w:pStyle w:val="Caption"/>
      </w:pPr>
      <w:bookmarkStart w:id="34" w:name="_Toc374182053"/>
      <w:bookmarkStart w:id="35" w:name="_Toc381604788"/>
      <w:r>
        <w:t xml:space="preserve">Figure </w:t>
      </w:r>
      <w:r w:rsidR="00962BFF">
        <w:t>4</w:t>
      </w:r>
      <w:r>
        <w:t xml:space="preserve">: </w:t>
      </w:r>
      <w:r w:rsidR="001C31F4" w:rsidRPr="005D02D9">
        <w:t xml:space="preserve">Education Expenditure as </w:t>
      </w:r>
      <w:r w:rsidR="001C31F4">
        <w:t>Proportion of GDP, 2001-2012</w:t>
      </w:r>
      <w:bookmarkEnd w:id="34"/>
      <w:bookmarkEnd w:id="35"/>
    </w:p>
    <w:p w:rsidR="008D3F0E" w:rsidRDefault="008D3F0E" w:rsidP="008D3F0E">
      <w:pPr>
        <w:rPr>
          <w:lang w:val="en-GB"/>
        </w:rPr>
      </w:pPr>
      <w:r>
        <w:rPr>
          <w:noProof/>
          <w:lang w:val="en-AU" w:eastAsia="en-AU"/>
        </w:rPr>
        <w:drawing>
          <wp:inline distT="0" distB="0" distL="0" distR="0" wp14:anchorId="3B948AC9" wp14:editId="4C9D1085">
            <wp:extent cx="5566410" cy="3222167"/>
            <wp:effectExtent l="0" t="0" r="15240" b="1651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D3F0E" w:rsidRDefault="008D3F0E" w:rsidP="008D3F0E">
      <w:pPr>
        <w:rPr>
          <w:lang w:val="en-GB"/>
        </w:rPr>
      </w:pPr>
    </w:p>
    <w:tbl>
      <w:tblPr>
        <w:tblStyle w:val="TableGrid3"/>
        <w:tblW w:w="5000" w:type="pct"/>
        <w:jc w:val="center"/>
        <w:tblBorders>
          <w:top w:val="single" w:sz="12" w:space="0" w:color="auto"/>
          <w:left w:val="single" w:sz="12" w:space="0" w:color="auto"/>
          <w:bottom w:val="single" w:sz="12" w:space="0" w:color="auto"/>
          <w:right w:val="single" w:sz="12" w:space="0" w:color="auto"/>
        </w:tblBorders>
        <w:tblLayout w:type="fixed"/>
        <w:tblCellMar>
          <w:top w:w="28" w:type="dxa"/>
          <w:bottom w:w="28" w:type="dxa"/>
        </w:tblCellMar>
        <w:tblLook w:val="04A0" w:firstRow="1" w:lastRow="0" w:firstColumn="1" w:lastColumn="0" w:noHBand="0" w:noVBand="1"/>
      </w:tblPr>
      <w:tblGrid>
        <w:gridCol w:w="1849"/>
        <w:gridCol w:w="1849"/>
        <w:gridCol w:w="1849"/>
        <w:gridCol w:w="3698"/>
      </w:tblGrid>
      <w:tr w:rsidR="001C31F4" w:rsidRPr="00B5666A" w:rsidTr="008D3F0E">
        <w:trPr>
          <w:tblHeader/>
          <w:jc w:val="center"/>
        </w:trPr>
        <w:tc>
          <w:tcPr>
            <w:tcW w:w="1000" w:type="pct"/>
            <w:tcBorders>
              <w:top w:val="single" w:sz="12" w:space="0" w:color="auto"/>
              <w:bottom w:val="single" w:sz="4" w:space="0" w:color="auto"/>
              <w:right w:val="single" w:sz="4" w:space="0" w:color="FFFFFF" w:themeColor="background1"/>
            </w:tcBorders>
            <w:shd w:val="clear" w:color="auto" w:fill="003880"/>
            <w:vAlign w:val="center"/>
          </w:tcPr>
          <w:p w:rsidR="001C31F4" w:rsidRPr="00B5666A" w:rsidRDefault="00B5666A" w:rsidP="00B5666A">
            <w:pPr>
              <w:spacing w:after="0"/>
              <w:jc w:val="center"/>
              <w:rPr>
                <w:rFonts w:asciiTheme="minorHAnsi" w:hAnsiTheme="minorHAnsi" w:cstheme="minorHAnsi"/>
                <w:b/>
                <w:color w:val="FFFFFF" w:themeColor="background1"/>
                <w:sz w:val="20"/>
                <w:szCs w:val="20"/>
                <w:lang w:val="en-US"/>
              </w:rPr>
            </w:pPr>
            <w:r w:rsidRPr="00B5666A">
              <w:rPr>
                <w:rFonts w:asciiTheme="minorHAnsi" w:hAnsiTheme="minorHAnsi" w:cstheme="minorHAnsi"/>
                <w:b/>
                <w:color w:val="FFFFFF" w:themeColor="background1"/>
                <w:sz w:val="20"/>
                <w:szCs w:val="20"/>
                <w:lang w:val="en-US"/>
              </w:rPr>
              <w:t>KPI 2</w:t>
            </w:r>
          </w:p>
        </w:tc>
        <w:tc>
          <w:tcPr>
            <w:tcW w:w="4000" w:type="pct"/>
            <w:gridSpan w:val="3"/>
            <w:tcBorders>
              <w:top w:val="single" w:sz="12" w:space="0" w:color="auto"/>
              <w:left w:val="single" w:sz="4" w:space="0" w:color="FFFFFF" w:themeColor="background1"/>
              <w:bottom w:val="single" w:sz="4" w:space="0" w:color="auto"/>
            </w:tcBorders>
            <w:shd w:val="clear" w:color="auto" w:fill="003880"/>
            <w:vAlign w:val="center"/>
          </w:tcPr>
          <w:p w:rsidR="001C31F4" w:rsidRPr="00B5666A" w:rsidRDefault="00B5666A" w:rsidP="00B5666A">
            <w:pPr>
              <w:spacing w:after="0"/>
              <w:jc w:val="center"/>
              <w:rPr>
                <w:rFonts w:asciiTheme="minorHAnsi" w:hAnsiTheme="minorHAnsi" w:cstheme="minorHAnsi"/>
                <w:b/>
                <w:color w:val="FFFFFF" w:themeColor="background1"/>
                <w:sz w:val="20"/>
                <w:szCs w:val="20"/>
                <w:lang w:val="en-US"/>
              </w:rPr>
            </w:pPr>
            <w:r w:rsidRPr="00B5666A">
              <w:rPr>
                <w:rFonts w:asciiTheme="minorHAnsi" w:hAnsiTheme="minorHAnsi" w:cstheme="minorHAnsi"/>
                <w:b/>
                <w:color w:val="FFFFFF" w:themeColor="background1"/>
                <w:sz w:val="20"/>
                <w:szCs w:val="20"/>
                <w:lang w:val="en-US"/>
              </w:rPr>
              <w:t xml:space="preserve">EDUCATION EXPENDITURE AS PROPORTION OF GDP </w:t>
            </w:r>
          </w:p>
        </w:tc>
      </w:tr>
      <w:tr w:rsidR="001C31F4" w:rsidRPr="00B5666A" w:rsidTr="008D3F0E">
        <w:trPr>
          <w:tblHeader/>
          <w:jc w:val="center"/>
        </w:trPr>
        <w:tc>
          <w:tcPr>
            <w:tcW w:w="5000" w:type="pct"/>
            <w:gridSpan w:val="4"/>
            <w:tcBorders>
              <w:top w:val="single" w:sz="4" w:space="0" w:color="auto"/>
            </w:tcBorders>
            <w:shd w:val="clear" w:color="auto" w:fill="68BAD6"/>
            <w:vAlign w:val="center"/>
          </w:tcPr>
          <w:p w:rsidR="001C31F4" w:rsidRPr="00B5666A" w:rsidRDefault="00B5666A" w:rsidP="00B5666A">
            <w:pPr>
              <w:spacing w:after="0"/>
              <w:jc w:val="center"/>
              <w:rPr>
                <w:rFonts w:asciiTheme="minorHAnsi" w:hAnsiTheme="minorHAnsi" w:cstheme="minorHAnsi"/>
                <w:b/>
                <w:color w:val="FFFFFF" w:themeColor="background1"/>
                <w:sz w:val="20"/>
                <w:szCs w:val="20"/>
                <w:lang w:val="en-US"/>
              </w:rPr>
            </w:pPr>
            <w:r w:rsidRPr="00B5666A">
              <w:rPr>
                <w:rFonts w:asciiTheme="minorHAnsi" w:hAnsiTheme="minorHAnsi" w:cstheme="minorHAnsi"/>
                <w:b/>
                <w:sz w:val="20"/>
                <w:szCs w:val="20"/>
                <w:lang w:val="en-US"/>
              </w:rPr>
              <w:t>STATUS AND TRENDS</w:t>
            </w:r>
          </w:p>
        </w:tc>
      </w:tr>
      <w:tr w:rsidR="001C31F4" w:rsidRPr="00B5666A" w:rsidTr="008D3F0E">
        <w:trPr>
          <w:jc w:val="center"/>
        </w:trPr>
        <w:tc>
          <w:tcPr>
            <w:tcW w:w="1000" w:type="pct"/>
            <w:shd w:val="clear" w:color="auto" w:fill="BFBFBF" w:themeFill="background1" w:themeFillShade="BF"/>
            <w:vAlign w:val="center"/>
          </w:tcPr>
          <w:p w:rsidR="001C31F4" w:rsidRPr="00B5666A" w:rsidRDefault="001C31F4" w:rsidP="00490DE0">
            <w:pPr>
              <w:spacing w:after="0"/>
              <w:jc w:val="center"/>
              <w:rPr>
                <w:sz w:val="20"/>
                <w:szCs w:val="20"/>
                <w:lang w:val="en-AU"/>
              </w:rPr>
            </w:pPr>
            <w:r w:rsidRPr="00B5666A">
              <w:rPr>
                <w:sz w:val="20"/>
                <w:szCs w:val="20"/>
                <w:lang w:val="en-AU"/>
              </w:rPr>
              <w:t>Result</w:t>
            </w:r>
          </w:p>
        </w:tc>
        <w:tc>
          <w:tcPr>
            <w:tcW w:w="1000" w:type="pct"/>
            <w:shd w:val="clear" w:color="auto" w:fill="92D050"/>
            <w:vAlign w:val="center"/>
          </w:tcPr>
          <w:p w:rsidR="001C31F4" w:rsidRPr="00B5666A" w:rsidRDefault="001C31F4" w:rsidP="00490DE0">
            <w:pPr>
              <w:spacing w:after="0"/>
              <w:jc w:val="center"/>
              <w:rPr>
                <w:sz w:val="20"/>
                <w:szCs w:val="20"/>
                <w:lang w:val="en-AU"/>
              </w:rPr>
            </w:pPr>
            <w:r w:rsidRPr="00B5666A">
              <w:rPr>
                <w:sz w:val="20"/>
                <w:szCs w:val="20"/>
                <w:lang w:val="en-AU"/>
              </w:rPr>
              <w:t>Positive</w:t>
            </w:r>
          </w:p>
        </w:tc>
        <w:tc>
          <w:tcPr>
            <w:tcW w:w="1000" w:type="pct"/>
            <w:shd w:val="clear" w:color="auto" w:fill="BFBFBF" w:themeFill="background1" w:themeFillShade="BF"/>
            <w:vAlign w:val="center"/>
          </w:tcPr>
          <w:p w:rsidR="001C31F4" w:rsidRPr="00B5666A" w:rsidRDefault="001C31F4" w:rsidP="00490DE0">
            <w:pPr>
              <w:spacing w:after="0"/>
              <w:jc w:val="center"/>
              <w:rPr>
                <w:sz w:val="20"/>
                <w:szCs w:val="20"/>
                <w:lang w:val="en-AU"/>
              </w:rPr>
            </w:pPr>
            <w:r w:rsidRPr="00B5666A">
              <w:rPr>
                <w:sz w:val="20"/>
                <w:szCs w:val="20"/>
                <w:lang w:val="en-AU"/>
              </w:rPr>
              <w:t>Data availability</w:t>
            </w:r>
          </w:p>
        </w:tc>
        <w:tc>
          <w:tcPr>
            <w:tcW w:w="2000" w:type="pct"/>
            <w:vAlign w:val="center"/>
          </w:tcPr>
          <w:p w:rsidR="001C31F4" w:rsidRPr="00490DE0" w:rsidRDefault="001C31F4" w:rsidP="00490DE0">
            <w:pPr>
              <w:spacing w:after="0"/>
              <w:jc w:val="center"/>
              <w:rPr>
                <w:sz w:val="20"/>
                <w:szCs w:val="20"/>
                <w:lang w:val="en-AU"/>
              </w:rPr>
            </w:pPr>
            <w:r w:rsidRPr="00490DE0">
              <w:rPr>
                <w:sz w:val="20"/>
                <w:szCs w:val="20"/>
                <w:lang w:val="en-AU"/>
              </w:rPr>
              <w:t>Full</w:t>
            </w:r>
          </w:p>
        </w:tc>
      </w:tr>
      <w:tr w:rsidR="001C31F4" w:rsidRPr="00B5666A" w:rsidTr="008D3F0E">
        <w:trPr>
          <w:jc w:val="center"/>
        </w:trPr>
        <w:tc>
          <w:tcPr>
            <w:tcW w:w="1000" w:type="pct"/>
            <w:shd w:val="clear" w:color="auto" w:fill="BFBFBF" w:themeFill="background1" w:themeFillShade="BF"/>
            <w:vAlign w:val="center"/>
          </w:tcPr>
          <w:p w:rsidR="001C31F4" w:rsidRPr="00B5666A" w:rsidRDefault="001C31F4" w:rsidP="00B5666A">
            <w:pPr>
              <w:spacing w:after="0"/>
              <w:jc w:val="center"/>
              <w:rPr>
                <w:sz w:val="20"/>
                <w:szCs w:val="20"/>
                <w:lang w:val="en-AU"/>
              </w:rPr>
            </w:pPr>
            <w:r w:rsidRPr="00B5666A">
              <w:rPr>
                <w:sz w:val="20"/>
                <w:szCs w:val="20"/>
                <w:lang w:val="en-AU"/>
              </w:rPr>
              <w:t>Observations</w:t>
            </w:r>
          </w:p>
        </w:tc>
        <w:tc>
          <w:tcPr>
            <w:tcW w:w="4000" w:type="pct"/>
            <w:gridSpan w:val="3"/>
            <w:vAlign w:val="center"/>
          </w:tcPr>
          <w:p w:rsidR="002606C3" w:rsidRPr="00B5666A" w:rsidRDefault="002606C3" w:rsidP="00B5666A">
            <w:pPr>
              <w:pStyle w:val="ListParagraph"/>
              <w:numPr>
                <w:ilvl w:val="0"/>
                <w:numId w:val="12"/>
              </w:numPr>
              <w:spacing w:after="60" w:line="240" w:lineRule="auto"/>
              <w:ind w:left="284" w:hanging="284"/>
              <w:contextualSpacing w:val="0"/>
              <w:jc w:val="both"/>
              <w:rPr>
                <w:sz w:val="20"/>
                <w:szCs w:val="20"/>
                <w:lang w:val="en-AU"/>
              </w:rPr>
            </w:pPr>
            <w:r w:rsidRPr="00B5666A">
              <w:rPr>
                <w:sz w:val="20"/>
                <w:szCs w:val="20"/>
                <w:lang w:val="en-AU"/>
              </w:rPr>
              <w:t xml:space="preserve">This indicator </w:t>
            </w:r>
            <w:r w:rsidR="007168AC" w:rsidRPr="00B5666A">
              <w:rPr>
                <w:sz w:val="20"/>
                <w:szCs w:val="20"/>
                <w:lang w:val="en-AU"/>
              </w:rPr>
              <w:t>captures the</w:t>
            </w:r>
            <w:r w:rsidRPr="00B5666A">
              <w:rPr>
                <w:sz w:val="20"/>
                <w:szCs w:val="20"/>
                <w:lang w:val="en-AU"/>
              </w:rPr>
              <w:t xml:space="preserve"> national public commitment towards education in relation to the economic wealth being generated. By mapping education expenditure with GDP it avoids comparison problems with other countries which may have different sized public sectors. The indicator is also useful for comparing expenditure trends in a country which has altered the size of its public sector across time. Generally, this indicator is used in tandem with </w:t>
            </w:r>
            <w:r w:rsidR="00047B50" w:rsidRPr="00B5666A">
              <w:rPr>
                <w:sz w:val="20"/>
                <w:szCs w:val="20"/>
                <w:lang w:val="en-AU"/>
              </w:rPr>
              <w:t>“</w:t>
            </w:r>
            <w:r w:rsidRPr="00B5666A">
              <w:rPr>
                <w:sz w:val="20"/>
                <w:szCs w:val="20"/>
                <w:lang w:val="en-AU"/>
              </w:rPr>
              <w:t>education share of public expenditure</w:t>
            </w:r>
            <w:r w:rsidR="00047B50" w:rsidRPr="00B5666A">
              <w:rPr>
                <w:sz w:val="20"/>
                <w:szCs w:val="20"/>
                <w:lang w:val="en-AU"/>
              </w:rPr>
              <w:t>”</w:t>
            </w:r>
            <w:r w:rsidRPr="00B5666A">
              <w:rPr>
                <w:sz w:val="20"/>
                <w:szCs w:val="20"/>
                <w:lang w:val="en-AU"/>
              </w:rPr>
              <w:t>.</w:t>
            </w:r>
          </w:p>
          <w:p w:rsidR="002606C3" w:rsidRPr="00B5666A" w:rsidRDefault="002606C3" w:rsidP="00B5666A">
            <w:pPr>
              <w:pStyle w:val="ListParagraph"/>
              <w:numPr>
                <w:ilvl w:val="0"/>
                <w:numId w:val="12"/>
              </w:numPr>
              <w:spacing w:after="60" w:line="240" w:lineRule="auto"/>
              <w:ind w:left="284" w:hanging="284"/>
              <w:contextualSpacing w:val="0"/>
              <w:jc w:val="both"/>
              <w:rPr>
                <w:sz w:val="20"/>
                <w:szCs w:val="20"/>
                <w:lang w:val="en-AU"/>
              </w:rPr>
            </w:pPr>
            <w:r w:rsidRPr="00B5666A">
              <w:rPr>
                <w:sz w:val="20"/>
                <w:szCs w:val="20"/>
                <w:lang w:val="en-AU"/>
              </w:rPr>
              <w:t>Education expenditure as a proportion of GDP increased from 3.3% in 2011 to 3.5% in 2012</w:t>
            </w:r>
            <w:r w:rsidR="00047B50" w:rsidRPr="00B5666A">
              <w:rPr>
                <w:sz w:val="20"/>
                <w:szCs w:val="20"/>
                <w:lang w:val="en-AU"/>
              </w:rPr>
              <w:t xml:space="preserve"> </w:t>
            </w:r>
            <w:r w:rsidR="009B6D6D">
              <w:rPr>
                <w:sz w:val="20"/>
                <w:szCs w:val="20"/>
                <w:lang w:val="en-AU"/>
              </w:rPr>
              <w:t>(see Figure 4</w:t>
            </w:r>
            <w:r w:rsidR="00047B50" w:rsidRPr="00B5666A">
              <w:rPr>
                <w:sz w:val="20"/>
                <w:szCs w:val="20"/>
                <w:lang w:val="en-AU"/>
              </w:rPr>
              <w:t>, above)</w:t>
            </w:r>
            <w:r w:rsidRPr="00B5666A">
              <w:rPr>
                <w:sz w:val="20"/>
                <w:szCs w:val="20"/>
                <w:lang w:val="en-AU"/>
              </w:rPr>
              <w:t>. Education as a percentage of GDP rose from 2.5% in 2001 to a high point of 3.7% by 2009. In 2007 when the latest comparison figures are available, Indonesian education expenditure as a share of GDP (3.6%) was equal to the East Asia regional average.</w:t>
            </w:r>
          </w:p>
          <w:p w:rsidR="001C31F4" w:rsidRPr="00B5666A" w:rsidRDefault="002606C3" w:rsidP="00B5666A">
            <w:pPr>
              <w:pStyle w:val="ListParagraph"/>
              <w:numPr>
                <w:ilvl w:val="0"/>
                <w:numId w:val="12"/>
              </w:numPr>
              <w:spacing w:after="60" w:line="240" w:lineRule="auto"/>
              <w:ind w:left="284" w:hanging="284"/>
              <w:contextualSpacing w:val="0"/>
              <w:jc w:val="both"/>
              <w:rPr>
                <w:sz w:val="20"/>
                <w:szCs w:val="20"/>
                <w:lang w:val="en-AU"/>
              </w:rPr>
            </w:pPr>
            <w:r w:rsidRPr="00B5666A">
              <w:rPr>
                <w:sz w:val="20"/>
                <w:szCs w:val="20"/>
                <w:lang w:val="en-AU"/>
              </w:rPr>
              <w:t>While nation</w:t>
            </w:r>
            <w:r w:rsidR="00047B50" w:rsidRPr="00B5666A">
              <w:rPr>
                <w:sz w:val="20"/>
                <w:szCs w:val="20"/>
                <w:lang w:val="en-AU"/>
              </w:rPr>
              <w:t>al</w:t>
            </w:r>
            <w:r w:rsidRPr="00B5666A">
              <w:rPr>
                <w:sz w:val="20"/>
                <w:szCs w:val="20"/>
                <w:lang w:val="en-AU"/>
              </w:rPr>
              <w:t xml:space="preserve"> education expenditure grew at the same pace as national public expenditure for the period 2008-12, it has grown unevenly but marginally faster than GDP during this period.</w:t>
            </w:r>
          </w:p>
        </w:tc>
      </w:tr>
      <w:tr w:rsidR="001C31F4" w:rsidRPr="00B5666A" w:rsidTr="008D3F0E">
        <w:trPr>
          <w:tblHeader/>
          <w:jc w:val="center"/>
        </w:trPr>
        <w:tc>
          <w:tcPr>
            <w:tcW w:w="5000" w:type="pct"/>
            <w:gridSpan w:val="4"/>
            <w:shd w:val="clear" w:color="auto" w:fill="68BAD6"/>
            <w:vAlign w:val="center"/>
          </w:tcPr>
          <w:p w:rsidR="001C31F4" w:rsidRPr="00B5666A" w:rsidRDefault="00B5666A" w:rsidP="00B5666A">
            <w:pPr>
              <w:spacing w:after="0"/>
              <w:jc w:val="center"/>
              <w:rPr>
                <w:rFonts w:asciiTheme="minorHAnsi" w:hAnsiTheme="minorHAnsi" w:cstheme="minorHAnsi"/>
                <w:b/>
                <w:color w:val="FFFFFF" w:themeColor="background1"/>
                <w:sz w:val="20"/>
                <w:szCs w:val="20"/>
                <w:lang w:val="en-US"/>
              </w:rPr>
            </w:pPr>
            <w:r w:rsidRPr="00B5666A">
              <w:rPr>
                <w:rFonts w:asciiTheme="minorHAnsi" w:hAnsiTheme="minorHAnsi" w:cstheme="minorHAnsi"/>
                <w:b/>
                <w:sz w:val="20"/>
                <w:szCs w:val="20"/>
                <w:lang w:val="en-US"/>
              </w:rPr>
              <w:t>IMPLICATIONS AND MATTERS ARISING</w:t>
            </w:r>
          </w:p>
        </w:tc>
      </w:tr>
      <w:tr w:rsidR="001C31F4" w:rsidRPr="00B5666A" w:rsidTr="008D3F0E">
        <w:trPr>
          <w:jc w:val="center"/>
        </w:trPr>
        <w:tc>
          <w:tcPr>
            <w:tcW w:w="1000" w:type="pct"/>
            <w:shd w:val="clear" w:color="auto" w:fill="BFBFBF" w:themeFill="background1" w:themeFillShade="BF"/>
            <w:vAlign w:val="center"/>
          </w:tcPr>
          <w:p w:rsidR="001C31F4" w:rsidRPr="00B5666A" w:rsidRDefault="001C31F4" w:rsidP="00B5666A">
            <w:pPr>
              <w:spacing w:after="0"/>
              <w:jc w:val="center"/>
              <w:rPr>
                <w:sz w:val="20"/>
                <w:szCs w:val="20"/>
                <w:lang w:val="en-AU"/>
              </w:rPr>
            </w:pPr>
            <w:r w:rsidRPr="00B5666A">
              <w:rPr>
                <w:sz w:val="20"/>
                <w:szCs w:val="20"/>
                <w:lang w:val="en-AU"/>
              </w:rPr>
              <w:t>For the performance of the education sector</w:t>
            </w:r>
          </w:p>
        </w:tc>
        <w:tc>
          <w:tcPr>
            <w:tcW w:w="4000" w:type="pct"/>
            <w:gridSpan w:val="3"/>
            <w:vAlign w:val="center"/>
          </w:tcPr>
          <w:p w:rsidR="001C31F4" w:rsidRPr="00B5666A" w:rsidRDefault="002606C3" w:rsidP="00490DE0">
            <w:pPr>
              <w:pStyle w:val="ListParagraph"/>
              <w:numPr>
                <w:ilvl w:val="0"/>
                <w:numId w:val="12"/>
              </w:numPr>
              <w:spacing w:after="60" w:line="240" w:lineRule="auto"/>
              <w:ind w:left="284" w:hanging="284"/>
              <w:contextualSpacing w:val="0"/>
              <w:jc w:val="both"/>
              <w:rPr>
                <w:sz w:val="20"/>
                <w:szCs w:val="20"/>
                <w:lang w:val="en-AU"/>
              </w:rPr>
            </w:pPr>
            <w:r w:rsidRPr="00B5666A">
              <w:rPr>
                <w:sz w:val="20"/>
                <w:szCs w:val="20"/>
                <w:lang w:val="en-AU"/>
              </w:rPr>
              <w:t>Expressed as a percentage of GDP, future growth in public allocations will become contingent on an increase in public expenditures as a proportion of GDP. In a year such as 2012 where government grows public expenditures at a faster rate than GDP, then public expenditure as a proportion of GDP will increase if government enforces its policy setting of a minimum 20% allocation for education expenditure. Education expenditure as a percentage of GDP may decline if (i) fiscal settings reduce public expenditures as a proportion of GDP, and (ii) the government does not exceed the 20% target for education as a proportion of total public expenditure.</w:t>
            </w:r>
          </w:p>
        </w:tc>
      </w:tr>
    </w:tbl>
    <w:p w:rsidR="001C31F4" w:rsidRDefault="001C31F4" w:rsidP="001C31F4">
      <w:pPr>
        <w:rPr>
          <w:rStyle w:val="Heading3Char"/>
        </w:rPr>
      </w:pPr>
      <w:r w:rsidRPr="00DA26AA">
        <w:rPr>
          <w:rStyle w:val="Heading3Char"/>
        </w:rPr>
        <w:lastRenderedPageBreak/>
        <w:t>KPI 3: Education Non-salary Expenditure as Share of Total Expenditure</w:t>
      </w:r>
    </w:p>
    <w:p w:rsidR="001C31F4" w:rsidRDefault="00DB052E" w:rsidP="001A3FC6">
      <w:pPr>
        <w:pStyle w:val="Caption"/>
      </w:pPr>
      <w:bookmarkStart w:id="36" w:name="_Toc374182054"/>
      <w:bookmarkStart w:id="37" w:name="_Toc381604789"/>
      <w:r>
        <w:t xml:space="preserve">Figure </w:t>
      </w:r>
      <w:r w:rsidR="00962BFF">
        <w:t>5</w:t>
      </w:r>
      <w:r>
        <w:t xml:space="preserve">: </w:t>
      </w:r>
      <w:r w:rsidR="001C31F4" w:rsidRPr="00430BA7">
        <w:t>Composition</w:t>
      </w:r>
      <w:r w:rsidR="001C31F4">
        <w:t xml:space="preserve"> of </w:t>
      </w:r>
      <w:r w:rsidR="001C31F4" w:rsidRPr="00662491">
        <w:t xml:space="preserve">Aggregate District </w:t>
      </w:r>
      <w:r w:rsidR="001C31F4">
        <w:t xml:space="preserve">Education </w:t>
      </w:r>
      <w:r w:rsidR="001C31F4" w:rsidRPr="00662491">
        <w:t xml:space="preserve">Expenditure, </w:t>
      </w:r>
      <w:r w:rsidR="001C31F4">
        <w:t>2009-2011</w:t>
      </w:r>
      <w:bookmarkEnd w:id="36"/>
      <w:bookmarkEnd w:id="37"/>
    </w:p>
    <w:p w:rsidR="001C31F4" w:rsidRDefault="001C31F4" w:rsidP="00DB55DD">
      <w:pPr>
        <w:spacing w:after="360"/>
        <w:jc w:val="center"/>
        <w:rPr>
          <w:rStyle w:val="Heading3Char"/>
        </w:rPr>
      </w:pPr>
      <w:r>
        <w:rPr>
          <w:rFonts w:ascii="Cambria" w:hAnsi="Cambria"/>
          <w:b/>
          <w:i/>
          <w:noProof/>
          <w:color w:val="9D3333"/>
          <w:spacing w:val="5"/>
          <w:szCs w:val="24"/>
          <w:lang w:val="en-AU" w:eastAsia="en-AU"/>
        </w:rPr>
        <w:drawing>
          <wp:inline distT="0" distB="0" distL="0" distR="0" wp14:anchorId="408F8D71" wp14:editId="5E31FAB2">
            <wp:extent cx="5574371" cy="2405448"/>
            <wp:effectExtent l="0" t="0" r="762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72125" cy="2404479"/>
                    </a:xfrm>
                    <a:prstGeom prst="rect">
                      <a:avLst/>
                    </a:prstGeom>
                    <a:noFill/>
                  </pic:spPr>
                </pic:pic>
              </a:graphicData>
            </a:graphic>
          </wp:inline>
        </w:drawing>
      </w:r>
    </w:p>
    <w:tbl>
      <w:tblPr>
        <w:tblStyle w:val="TableGrid3"/>
        <w:tblW w:w="5000" w:type="pct"/>
        <w:jc w:val="center"/>
        <w:tblBorders>
          <w:top w:val="single" w:sz="12" w:space="0" w:color="auto"/>
          <w:left w:val="single" w:sz="12" w:space="0" w:color="auto"/>
          <w:bottom w:val="single" w:sz="12" w:space="0" w:color="auto"/>
          <w:right w:val="single" w:sz="12" w:space="0" w:color="auto"/>
        </w:tblBorders>
        <w:tblLayout w:type="fixed"/>
        <w:tblCellMar>
          <w:top w:w="28" w:type="dxa"/>
          <w:bottom w:w="28" w:type="dxa"/>
        </w:tblCellMar>
        <w:tblLook w:val="04A0" w:firstRow="1" w:lastRow="0" w:firstColumn="1" w:lastColumn="0" w:noHBand="0" w:noVBand="1"/>
      </w:tblPr>
      <w:tblGrid>
        <w:gridCol w:w="1849"/>
        <w:gridCol w:w="1849"/>
        <w:gridCol w:w="1849"/>
        <w:gridCol w:w="3698"/>
      </w:tblGrid>
      <w:tr w:rsidR="002606C3" w:rsidRPr="00490DE0" w:rsidTr="00DB55DD">
        <w:trPr>
          <w:tblHeader/>
          <w:jc w:val="center"/>
        </w:trPr>
        <w:tc>
          <w:tcPr>
            <w:tcW w:w="1000" w:type="pct"/>
            <w:tcBorders>
              <w:top w:val="single" w:sz="12" w:space="0" w:color="auto"/>
              <w:bottom w:val="single" w:sz="4" w:space="0" w:color="auto"/>
              <w:right w:val="single" w:sz="4" w:space="0" w:color="FFFFFF" w:themeColor="background1"/>
            </w:tcBorders>
            <w:shd w:val="clear" w:color="auto" w:fill="003880"/>
            <w:vAlign w:val="center"/>
          </w:tcPr>
          <w:p w:rsidR="002606C3" w:rsidRPr="00490DE0" w:rsidRDefault="00490DE0" w:rsidP="00490DE0">
            <w:pPr>
              <w:spacing w:after="0"/>
              <w:jc w:val="center"/>
              <w:rPr>
                <w:rFonts w:asciiTheme="minorHAnsi" w:hAnsiTheme="minorHAnsi" w:cstheme="minorHAnsi"/>
                <w:b/>
                <w:color w:val="FFFFFF" w:themeColor="background1"/>
                <w:sz w:val="20"/>
                <w:szCs w:val="20"/>
                <w:lang w:val="en-US"/>
              </w:rPr>
            </w:pPr>
            <w:r w:rsidRPr="00490DE0">
              <w:rPr>
                <w:rFonts w:asciiTheme="minorHAnsi" w:hAnsiTheme="minorHAnsi" w:cstheme="minorHAnsi"/>
                <w:b/>
                <w:color w:val="FFFFFF" w:themeColor="background1"/>
                <w:sz w:val="20"/>
                <w:szCs w:val="20"/>
                <w:lang w:val="en-US"/>
              </w:rPr>
              <w:t>KPI 3</w:t>
            </w:r>
          </w:p>
        </w:tc>
        <w:tc>
          <w:tcPr>
            <w:tcW w:w="4000" w:type="pct"/>
            <w:gridSpan w:val="3"/>
            <w:tcBorders>
              <w:top w:val="single" w:sz="12" w:space="0" w:color="auto"/>
              <w:left w:val="single" w:sz="4" w:space="0" w:color="FFFFFF" w:themeColor="background1"/>
              <w:bottom w:val="single" w:sz="4" w:space="0" w:color="auto"/>
            </w:tcBorders>
            <w:shd w:val="clear" w:color="auto" w:fill="003880"/>
            <w:vAlign w:val="center"/>
          </w:tcPr>
          <w:p w:rsidR="002606C3" w:rsidRPr="00490DE0" w:rsidRDefault="00490DE0" w:rsidP="00490DE0">
            <w:pPr>
              <w:spacing w:after="0"/>
              <w:jc w:val="center"/>
              <w:rPr>
                <w:rFonts w:asciiTheme="minorHAnsi" w:hAnsiTheme="minorHAnsi" w:cstheme="minorHAnsi"/>
                <w:b/>
                <w:color w:val="FFFFFF" w:themeColor="background1"/>
                <w:sz w:val="20"/>
                <w:szCs w:val="20"/>
                <w:lang w:val="en-US"/>
              </w:rPr>
            </w:pPr>
            <w:r w:rsidRPr="00490DE0">
              <w:rPr>
                <w:rFonts w:asciiTheme="minorHAnsi" w:hAnsiTheme="minorHAnsi" w:cstheme="minorHAnsi"/>
                <w:b/>
                <w:bCs/>
                <w:color w:val="FFFFFF" w:themeColor="background1"/>
                <w:sz w:val="20"/>
                <w:szCs w:val="20"/>
                <w:lang w:val="en-US"/>
              </w:rPr>
              <w:t>EDUCATION NON-SALARY EXPENDITURE AS SHARE OF TOTAL EXPENDITURE</w:t>
            </w:r>
          </w:p>
        </w:tc>
      </w:tr>
      <w:tr w:rsidR="002606C3" w:rsidRPr="00490DE0" w:rsidTr="00DB55DD">
        <w:trPr>
          <w:tblHeader/>
          <w:jc w:val="center"/>
        </w:trPr>
        <w:tc>
          <w:tcPr>
            <w:tcW w:w="5000" w:type="pct"/>
            <w:gridSpan w:val="4"/>
            <w:tcBorders>
              <w:top w:val="single" w:sz="4" w:space="0" w:color="auto"/>
            </w:tcBorders>
            <w:shd w:val="clear" w:color="auto" w:fill="68BAD6"/>
            <w:vAlign w:val="center"/>
          </w:tcPr>
          <w:p w:rsidR="002606C3" w:rsidRPr="00490DE0" w:rsidRDefault="00490DE0" w:rsidP="00490DE0">
            <w:pPr>
              <w:spacing w:after="0"/>
              <w:jc w:val="center"/>
              <w:rPr>
                <w:rFonts w:asciiTheme="minorHAnsi" w:hAnsiTheme="minorHAnsi" w:cstheme="minorHAnsi"/>
                <w:b/>
                <w:color w:val="FFFFFF" w:themeColor="background1"/>
                <w:sz w:val="20"/>
                <w:szCs w:val="20"/>
                <w:lang w:val="en-US"/>
              </w:rPr>
            </w:pPr>
            <w:r w:rsidRPr="00490DE0">
              <w:rPr>
                <w:rFonts w:asciiTheme="minorHAnsi" w:hAnsiTheme="minorHAnsi" w:cstheme="minorHAnsi"/>
                <w:b/>
                <w:sz w:val="20"/>
                <w:szCs w:val="20"/>
                <w:lang w:val="en-US"/>
              </w:rPr>
              <w:t>STATUS AND TRENDS</w:t>
            </w:r>
          </w:p>
        </w:tc>
      </w:tr>
      <w:tr w:rsidR="002606C3" w:rsidRPr="00490DE0" w:rsidTr="00DB55DD">
        <w:trPr>
          <w:jc w:val="center"/>
        </w:trPr>
        <w:tc>
          <w:tcPr>
            <w:tcW w:w="1000" w:type="pct"/>
            <w:shd w:val="clear" w:color="auto" w:fill="BFBFBF" w:themeFill="background1" w:themeFillShade="BF"/>
            <w:vAlign w:val="center"/>
          </w:tcPr>
          <w:p w:rsidR="002606C3" w:rsidRPr="00490DE0" w:rsidRDefault="002606C3" w:rsidP="00490DE0">
            <w:pPr>
              <w:spacing w:after="0"/>
              <w:jc w:val="center"/>
              <w:rPr>
                <w:sz w:val="20"/>
                <w:szCs w:val="20"/>
                <w:lang w:val="en-AU"/>
              </w:rPr>
            </w:pPr>
            <w:r w:rsidRPr="00490DE0">
              <w:rPr>
                <w:sz w:val="20"/>
                <w:szCs w:val="20"/>
                <w:lang w:val="en-AU"/>
              </w:rPr>
              <w:t>Result</w:t>
            </w:r>
          </w:p>
        </w:tc>
        <w:tc>
          <w:tcPr>
            <w:tcW w:w="1000" w:type="pct"/>
            <w:shd w:val="clear" w:color="auto" w:fill="92D050"/>
            <w:vAlign w:val="center"/>
          </w:tcPr>
          <w:p w:rsidR="002606C3" w:rsidRPr="00490DE0" w:rsidRDefault="002606C3" w:rsidP="00490DE0">
            <w:pPr>
              <w:spacing w:after="0"/>
              <w:jc w:val="center"/>
              <w:rPr>
                <w:sz w:val="20"/>
                <w:szCs w:val="20"/>
                <w:lang w:val="en-AU"/>
              </w:rPr>
            </w:pPr>
            <w:r w:rsidRPr="00490DE0">
              <w:rPr>
                <w:sz w:val="20"/>
                <w:szCs w:val="20"/>
                <w:lang w:val="en-AU"/>
              </w:rPr>
              <w:t>Positive</w:t>
            </w:r>
          </w:p>
        </w:tc>
        <w:tc>
          <w:tcPr>
            <w:tcW w:w="1000" w:type="pct"/>
            <w:shd w:val="clear" w:color="auto" w:fill="BFBFBF" w:themeFill="background1" w:themeFillShade="BF"/>
            <w:vAlign w:val="center"/>
          </w:tcPr>
          <w:p w:rsidR="002606C3" w:rsidRPr="00490DE0" w:rsidRDefault="002606C3" w:rsidP="00490DE0">
            <w:pPr>
              <w:spacing w:after="0"/>
              <w:jc w:val="center"/>
              <w:rPr>
                <w:sz w:val="20"/>
                <w:szCs w:val="20"/>
                <w:lang w:val="en-AU"/>
              </w:rPr>
            </w:pPr>
            <w:r w:rsidRPr="00490DE0">
              <w:rPr>
                <w:sz w:val="20"/>
                <w:szCs w:val="20"/>
                <w:lang w:val="en-AU"/>
              </w:rPr>
              <w:t>Data availability</w:t>
            </w:r>
          </w:p>
        </w:tc>
        <w:tc>
          <w:tcPr>
            <w:tcW w:w="2000" w:type="pct"/>
            <w:vAlign w:val="center"/>
          </w:tcPr>
          <w:p w:rsidR="002606C3" w:rsidRPr="00490DE0" w:rsidRDefault="00E21C05" w:rsidP="00E21C05">
            <w:pPr>
              <w:spacing w:after="0"/>
              <w:jc w:val="both"/>
              <w:rPr>
                <w:rFonts w:cs="Calibri"/>
                <w:sz w:val="20"/>
                <w:szCs w:val="20"/>
                <w:lang w:val="en-AU"/>
              </w:rPr>
            </w:pPr>
            <w:r>
              <w:rPr>
                <w:sz w:val="20"/>
                <w:szCs w:val="20"/>
                <w:lang w:val="en-AU"/>
              </w:rPr>
              <w:t>Limited to 2011.</w:t>
            </w:r>
            <w:r w:rsidR="00047B50" w:rsidRPr="00490DE0">
              <w:rPr>
                <w:sz w:val="20"/>
                <w:szCs w:val="20"/>
                <w:lang w:val="en-AU"/>
              </w:rPr>
              <w:t xml:space="preserve"> District supplied data from 2009 onwards. Data only refers to the district tier of government and does not include considerable non-salary payments likely to be flowing from central level government to districts and schools.</w:t>
            </w:r>
          </w:p>
        </w:tc>
      </w:tr>
      <w:tr w:rsidR="002606C3" w:rsidRPr="00490DE0" w:rsidTr="00DB55DD">
        <w:trPr>
          <w:jc w:val="center"/>
        </w:trPr>
        <w:tc>
          <w:tcPr>
            <w:tcW w:w="1000" w:type="pct"/>
            <w:shd w:val="clear" w:color="auto" w:fill="BFBFBF" w:themeFill="background1" w:themeFillShade="BF"/>
            <w:vAlign w:val="center"/>
          </w:tcPr>
          <w:p w:rsidR="002606C3" w:rsidRPr="00490DE0" w:rsidRDefault="002606C3" w:rsidP="00490DE0">
            <w:pPr>
              <w:spacing w:after="0"/>
              <w:jc w:val="center"/>
              <w:rPr>
                <w:sz w:val="20"/>
                <w:szCs w:val="20"/>
                <w:lang w:val="en-AU"/>
              </w:rPr>
            </w:pPr>
            <w:r w:rsidRPr="00490DE0">
              <w:rPr>
                <w:sz w:val="20"/>
                <w:szCs w:val="20"/>
                <w:lang w:val="en-AU"/>
              </w:rPr>
              <w:t>Observations</w:t>
            </w:r>
          </w:p>
        </w:tc>
        <w:tc>
          <w:tcPr>
            <w:tcW w:w="4000" w:type="pct"/>
            <w:gridSpan w:val="3"/>
            <w:vAlign w:val="center"/>
          </w:tcPr>
          <w:p w:rsidR="002606C3" w:rsidRPr="00490DE0" w:rsidRDefault="002606C3" w:rsidP="00490DE0">
            <w:pPr>
              <w:pStyle w:val="ListParagraph"/>
              <w:numPr>
                <w:ilvl w:val="0"/>
                <w:numId w:val="12"/>
              </w:numPr>
              <w:spacing w:after="60" w:line="240" w:lineRule="auto"/>
              <w:ind w:left="284" w:hanging="284"/>
              <w:contextualSpacing w:val="0"/>
              <w:jc w:val="both"/>
              <w:rPr>
                <w:sz w:val="20"/>
                <w:szCs w:val="20"/>
                <w:lang w:val="en-AU"/>
              </w:rPr>
            </w:pPr>
            <w:r w:rsidRPr="00490DE0">
              <w:rPr>
                <w:sz w:val="20"/>
                <w:szCs w:val="20"/>
                <w:lang w:val="en-AU"/>
              </w:rPr>
              <w:t>School systems require a substantial share of non-salary related expenditures to (i) provide a full range of resources (apart from teachers) to schools, and (ii) maintain buildings and provide for additional capital and equipment needs.</w:t>
            </w:r>
          </w:p>
          <w:p w:rsidR="002606C3" w:rsidRPr="00490DE0" w:rsidRDefault="002606C3" w:rsidP="00490DE0">
            <w:pPr>
              <w:pStyle w:val="ListParagraph"/>
              <w:numPr>
                <w:ilvl w:val="0"/>
                <w:numId w:val="12"/>
              </w:numPr>
              <w:spacing w:after="60" w:line="240" w:lineRule="auto"/>
              <w:ind w:left="284" w:hanging="284"/>
              <w:contextualSpacing w:val="0"/>
              <w:jc w:val="both"/>
              <w:rPr>
                <w:sz w:val="20"/>
                <w:szCs w:val="20"/>
                <w:lang w:val="en-AU"/>
              </w:rPr>
            </w:pPr>
            <w:r w:rsidRPr="00490DE0">
              <w:rPr>
                <w:sz w:val="20"/>
                <w:szCs w:val="20"/>
                <w:lang w:val="en-AU"/>
              </w:rPr>
              <w:t>In 2011 the salary share of expenditures of total district level expenditures</w:t>
            </w:r>
            <w:r w:rsidR="009A7748" w:rsidRPr="00490DE0">
              <w:rPr>
                <w:sz w:val="20"/>
                <w:szCs w:val="20"/>
                <w:lang w:val="en-AU"/>
              </w:rPr>
              <w:t xml:space="preserve"> had come down to 75% from 86% the year before (see Figure </w:t>
            </w:r>
            <w:r w:rsidR="009B6D6D">
              <w:rPr>
                <w:sz w:val="20"/>
                <w:szCs w:val="20"/>
                <w:lang w:val="en-AU"/>
              </w:rPr>
              <w:t>5</w:t>
            </w:r>
            <w:r w:rsidR="009A7748" w:rsidRPr="00490DE0">
              <w:rPr>
                <w:sz w:val="20"/>
                <w:szCs w:val="20"/>
                <w:lang w:val="en-AU"/>
              </w:rPr>
              <w:t>)</w:t>
            </w:r>
            <w:r w:rsidRPr="00490DE0">
              <w:rPr>
                <w:sz w:val="20"/>
                <w:szCs w:val="20"/>
                <w:lang w:val="en-AU"/>
              </w:rPr>
              <w:t>. In the context of the additional salary costs associated with the teacher certification process, this is a very positive achievement.</w:t>
            </w:r>
          </w:p>
          <w:p w:rsidR="002606C3" w:rsidRPr="00490DE0" w:rsidRDefault="002606C3" w:rsidP="00490DE0">
            <w:pPr>
              <w:pStyle w:val="ListParagraph"/>
              <w:numPr>
                <w:ilvl w:val="0"/>
                <w:numId w:val="12"/>
              </w:numPr>
              <w:spacing w:after="60" w:line="240" w:lineRule="auto"/>
              <w:ind w:left="284" w:hanging="284"/>
              <w:contextualSpacing w:val="0"/>
              <w:jc w:val="both"/>
              <w:rPr>
                <w:sz w:val="20"/>
                <w:szCs w:val="20"/>
                <w:lang w:val="en-AU"/>
              </w:rPr>
            </w:pPr>
            <w:r w:rsidRPr="00490DE0">
              <w:rPr>
                <w:sz w:val="20"/>
                <w:szCs w:val="20"/>
                <w:lang w:val="en-AU"/>
              </w:rPr>
              <w:t>New budget allocations were especially strong for capital items which doubled from 7% of total district budgets in 2010 to 14% in 2011.</w:t>
            </w:r>
          </w:p>
          <w:p w:rsidR="002606C3" w:rsidRPr="00490DE0" w:rsidRDefault="002606C3" w:rsidP="00490DE0">
            <w:pPr>
              <w:pStyle w:val="ListParagraph"/>
              <w:numPr>
                <w:ilvl w:val="0"/>
                <w:numId w:val="12"/>
              </w:numPr>
              <w:spacing w:after="60" w:line="240" w:lineRule="auto"/>
              <w:ind w:left="284" w:hanging="284"/>
              <w:contextualSpacing w:val="0"/>
              <w:jc w:val="both"/>
              <w:rPr>
                <w:sz w:val="20"/>
                <w:szCs w:val="20"/>
                <w:lang w:val="en-AU"/>
              </w:rPr>
            </w:pPr>
            <w:r w:rsidRPr="00490DE0">
              <w:rPr>
                <w:sz w:val="20"/>
                <w:szCs w:val="20"/>
                <w:lang w:val="en-AU"/>
              </w:rPr>
              <w:t>Budget allocations for operational costs also grew strongly from 6% in 2010 to 10% in 2011.</w:t>
            </w:r>
          </w:p>
        </w:tc>
      </w:tr>
      <w:tr w:rsidR="002606C3" w:rsidRPr="00490DE0" w:rsidTr="00DB55DD">
        <w:trPr>
          <w:tblHeader/>
          <w:jc w:val="center"/>
        </w:trPr>
        <w:tc>
          <w:tcPr>
            <w:tcW w:w="5000" w:type="pct"/>
            <w:gridSpan w:val="4"/>
            <w:shd w:val="clear" w:color="auto" w:fill="68BAD6"/>
            <w:vAlign w:val="center"/>
          </w:tcPr>
          <w:p w:rsidR="002606C3" w:rsidRPr="00490DE0" w:rsidRDefault="00490DE0" w:rsidP="00490DE0">
            <w:pPr>
              <w:spacing w:after="0"/>
              <w:jc w:val="center"/>
              <w:rPr>
                <w:rFonts w:asciiTheme="minorHAnsi" w:hAnsiTheme="minorHAnsi" w:cstheme="minorHAnsi"/>
                <w:b/>
                <w:color w:val="FFFFFF" w:themeColor="background1"/>
                <w:sz w:val="20"/>
                <w:szCs w:val="20"/>
                <w:lang w:val="en-US"/>
              </w:rPr>
            </w:pPr>
            <w:r w:rsidRPr="00490DE0">
              <w:rPr>
                <w:rFonts w:asciiTheme="minorHAnsi" w:hAnsiTheme="minorHAnsi" w:cstheme="minorHAnsi"/>
                <w:b/>
                <w:sz w:val="20"/>
                <w:szCs w:val="20"/>
                <w:lang w:val="en-US"/>
              </w:rPr>
              <w:t>IMPLICATIONS AND MATTERS ARISING</w:t>
            </w:r>
          </w:p>
        </w:tc>
      </w:tr>
      <w:tr w:rsidR="002606C3" w:rsidRPr="00490DE0" w:rsidTr="00DB55DD">
        <w:trPr>
          <w:jc w:val="center"/>
        </w:trPr>
        <w:tc>
          <w:tcPr>
            <w:tcW w:w="1000" w:type="pct"/>
            <w:shd w:val="clear" w:color="auto" w:fill="BFBFBF" w:themeFill="background1" w:themeFillShade="BF"/>
            <w:vAlign w:val="center"/>
          </w:tcPr>
          <w:p w:rsidR="002606C3" w:rsidRPr="00490DE0" w:rsidRDefault="002606C3" w:rsidP="00490DE0">
            <w:pPr>
              <w:spacing w:after="0"/>
              <w:jc w:val="center"/>
              <w:rPr>
                <w:sz w:val="20"/>
                <w:szCs w:val="20"/>
                <w:lang w:val="en-AU"/>
              </w:rPr>
            </w:pPr>
            <w:r w:rsidRPr="00490DE0">
              <w:rPr>
                <w:sz w:val="20"/>
                <w:szCs w:val="20"/>
                <w:lang w:val="en-AU"/>
              </w:rPr>
              <w:t>For the performance of the education sector</w:t>
            </w:r>
          </w:p>
        </w:tc>
        <w:tc>
          <w:tcPr>
            <w:tcW w:w="4000" w:type="pct"/>
            <w:gridSpan w:val="3"/>
            <w:vAlign w:val="center"/>
          </w:tcPr>
          <w:p w:rsidR="002606C3" w:rsidRPr="00490DE0" w:rsidRDefault="002606C3" w:rsidP="00490DE0">
            <w:pPr>
              <w:pStyle w:val="ListParagraph"/>
              <w:numPr>
                <w:ilvl w:val="0"/>
                <w:numId w:val="12"/>
              </w:numPr>
              <w:spacing w:after="60" w:line="240" w:lineRule="auto"/>
              <w:ind w:left="284" w:hanging="284"/>
              <w:contextualSpacing w:val="0"/>
              <w:jc w:val="both"/>
              <w:rPr>
                <w:rFonts w:ascii="Gill Sans MT" w:hAnsi="Gill Sans MT" w:cs="Calibri"/>
                <w:sz w:val="20"/>
                <w:szCs w:val="20"/>
                <w:lang w:val="en-AU"/>
              </w:rPr>
            </w:pPr>
            <w:r w:rsidRPr="00490DE0">
              <w:rPr>
                <w:sz w:val="20"/>
                <w:szCs w:val="20"/>
                <w:lang w:val="en-AU"/>
              </w:rPr>
              <w:t>In 2011 there was a significant year</w:t>
            </w:r>
            <w:r w:rsidR="009A7748" w:rsidRPr="00490DE0">
              <w:rPr>
                <w:sz w:val="20"/>
                <w:szCs w:val="20"/>
                <w:lang w:val="en-AU"/>
              </w:rPr>
              <w:t>-</w:t>
            </w:r>
            <w:r w:rsidRPr="00490DE0">
              <w:rPr>
                <w:sz w:val="20"/>
                <w:szCs w:val="20"/>
                <w:lang w:val="en-AU"/>
              </w:rPr>
              <w:t>to</w:t>
            </w:r>
            <w:r w:rsidR="009A7748" w:rsidRPr="00490DE0">
              <w:rPr>
                <w:sz w:val="20"/>
                <w:szCs w:val="20"/>
                <w:lang w:val="en-AU"/>
              </w:rPr>
              <w:t>-</w:t>
            </w:r>
            <w:r w:rsidRPr="00490DE0">
              <w:rPr>
                <w:sz w:val="20"/>
                <w:szCs w:val="20"/>
                <w:lang w:val="en-AU"/>
              </w:rPr>
              <w:t xml:space="preserve">year improvement in the share of resources being allocated </w:t>
            </w:r>
            <w:r w:rsidR="009A7748" w:rsidRPr="00490DE0">
              <w:rPr>
                <w:sz w:val="20"/>
                <w:szCs w:val="20"/>
                <w:lang w:val="en-AU"/>
              </w:rPr>
              <w:t xml:space="preserve">to </w:t>
            </w:r>
            <w:r w:rsidRPr="00490DE0">
              <w:rPr>
                <w:sz w:val="20"/>
                <w:szCs w:val="20"/>
                <w:lang w:val="en-AU"/>
              </w:rPr>
              <w:t>non-salary expenses within the education budget. Unfortunately there is little room for complacency in this respect due to the ongoing fiscal impact of remuneration for teachers attaining teacher certification. Certified teachers will garner at least 100% pay increases once they are certified. The cumulative impact of these increases will act to severely constrain future increases in non-salary expenditures. It will be increasingly important for districts and schools to ensure that non-salary expenditures are effective and efficiently distributed.</w:t>
            </w:r>
          </w:p>
        </w:tc>
      </w:tr>
      <w:tr w:rsidR="002606C3" w:rsidRPr="00490DE0" w:rsidTr="00DB55DD">
        <w:trPr>
          <w:jc w:val="center"/>
        </w:trPr>
        <w:tc>
          <w:tcPr>
            <w:tcW w:w="1000" w:type="pct"/>
            <w:shd w:val="clear" w:color="auto" w:fill="BFBFBF" w:themeFill="background1" w:themeFillShade="BF"/>
            <w:vAlign w:val="center"/>
          </w:tcPr>
          <w:p w:rsidR="002606C3" w:rsidRPr="00490DE0" w:rsidRDefault="002606C3" w:rsidP="00490DE0">
            <w:pPr>
              <w:spacing w:after="0"/>
              <w:jc w:val="center"/>
              <w:rPr>
                <w:sz w:val="20"/>
                <w:szCs w:val="20"/>
                <w:lang w:val="en-AU"/>
              </w:rPr>
            </w:pPr>
            <w:r w:rsidRPr="00490DE0">
              <w:rPr>
                <w:sz w:val="20"/>
                <w:szCs w:val="20"/>
                <w:lang w:val="en-AU"/>
              </w:rPr>
              <w:t>For the performance of the Education Partnership</w:t>
            </w:r>
          </w:p>
        </w:tc>
        <w:tc>
          <w:tcPr>
            <w:tcW w:w="4000" w:type="pct"/>
            <w:gridSpan w:val="3"/>
            <w:vAlign w:val="center"/>
          </w:tcPr>
          <w:p w:rsidR="002606C3" w:rsidRPr="00490DE0" w:rsidRDefault="002606C3" w:rsidP="00490DE0">
            <w:pPr>
              <w:pStyle w:val="ListParagraph"/>
              <w:numPr>
                <w:ilvl w:val="0"/>
                <w:numId w:val="12"/>
              </w:numPr>
              <w:spacing w:after="60" w:line="240" w:lineRule="auto"/>
              <w:ind w:left="284" w:hanging="284"/>
              <w:contextualSpacing w:val="0"/>
              <w:jc w:val="both"/>
              <w:rPr>
                <w:sz w:val="20"/>
                <w:szCs w:val="20"/>
                <w:lang w:val="en-AU"/>
              </w:rPr>
            </w:pPr>
            <w:r w:rsidRPr="00490DE0">
              <w:rPr>
                <w:sz w:val="20"/>
                <w:szCs w:val="20"/>
                <w:lang w:val="en-AU"/>
              </w:rPr>
              <w:t xml:space="preserve">District budget allocations for non-salary items in education will be very important </w:t>
            </w:r>
            <w:r w:rsidR="00BC2D2F" w:rsidRPr="00490DE0">
              <w:rPr>
                <w:sz w:val="20"/>
                <w:szCs w:val="20"/>
                <w:lang w:val="en-AU"/>
              </w:rPr>
              <w:t xml:space="preserve">to support </w:t>
            </w:r>
            <w:r w:rsidRPr="00490DE0">
              <w:rPr>
                <w:sz w:val="20"/>
                <w:szCs w:val="20"/>
                <w:lang w:val="en-AU"/>
              </w:rPr>
              <w:t xml:space="preserve">the improvement in the quality of education. In particular the Professional Development of principals and teachers will require the financial support of districts beyond the EP funded interventions. </w:t>
            </w:r>
            <w:r w:rsidR="00BC2D2F" w:rsidRPr="00490DE0">
              <w:rPr>
                <w:sz w:val="20"/>
                <w:szCs w:val="20"/>
                <w:lang w:val="en-AU"/>
              </w:rPr>
              <w:t xml:space="preserve">EP districts which have very </w:t>
            </w:r>
            <w:r w:rsidR="00BC2D2F" w:rsidRPr="00490DE0">
              <w:rPr>
                <w:sz w:val="20"/>
                <w:szCs w:val="20"/>
                <w:lang w:val="en-AU"/>
              </w:rPr>
              <w:lastRenderedPageBreak/>
              <w:t>little funding allocated for operational activities (outside of salaries) should be monitored and engaged in a policy dialogue to understand current allocations and future plans.</w:t>
            </w:r>
          </w:p>
        </w:tc>
      </w:tr>
    </w:tbl>
    <w:p w:rsidR="001A3FC6" w:rsidRDefault="001A3FC6" w:rsidP="00DB55DD">
      <w:pPr>
        <w:pStyle w:val="Heading3"/>
      </w:pPr>
    </w:p>
    <w:p w:rsidR="001A3FC6" w:rsidRDefault="001A3FC6">
      <w:pPr>
        <w:spacing w:after="0"/>
        <w:rPr>
          <w:rFonts w:asciiTheme="minorHAnsi" w:hAnsiTheme="minorHAnsi" w:cstheme="minorHAnsi"/>
          <w:b/>
          <w:bCs/>
          <w:i/>
          <w:iCs/>
          <w:color w:val="003880"/>
          <w:sz w:val="24"/>
          <w:szCs w:val="28"/>
        </w:rPr>
      </w:pPr>
      <w:r>
        <w:br w:type="page"/>
      </w:r>
    </w:p>
    <w:p w:rsidR="007664CD" w:rsidRDefault="007664CD" w:rsidP="00DB55DD">
      <w:pPr>
        <w:pStyle w:val="Heading3"/>
      </w:pPr>
      <w:r>
        <w:lastRenderedPageBreak/>
        <w:t xml:space="preserve">KPI 4: Expenditure on Basic Education as % of All Education Expenditure &amp; </w:t>
      </w:r>
    </w:p>
    <w:p w:rsidR="007664CD" w:rsidRDefault="007664CD" w:rsidP="00DB55DD">
      <w:pPr>
        <w:pStyle w:val="Heading3"/>
      </w:pPr>
      <w:r>
        <w:t>KPI 5: Expenditure on Non Formal Education as % of All Education Expenditure</w:t>
      </w:r>
    </w:p>
    <w:p w:rsidR="009A7748" w:rsidRDefault="008D3F0E" w:rsidP="001A3FC6">
      <w:pPr>
        <w:pStyle w:val="Caption"/>
      </w:pPr>
      <w:bookmarkStart w:id="38" w:name="_Toc381604790"/>
      <w:bookmarkStart w:id="39" w:name="_Toc374182056"/>
      <w:r>
        <w:t xml:space="preserve">Figure </w:t>
      </w:r>
      <w:r w:rsidR="00962BFF">
        <w:t>6</w:t>
      </w:r>
      <w:r w:rsidR="00DB052E">
        <w:t xml:space="preserve">: </w:t>
      </w:r>
      <w:r w:rsidR="009A7748">
        <w:t>Education Expenditure by Sub-Sector, 2008 and 2009</w:t>
      </w:r>
      <w:bookmarkEnd w:id="38"/>
    </w:p>
    <w:p w:rsidR="009A7748" w:rsidRDefault="009A7748" w:rsidP="00DB55DD">
      <w:pPr>
        <w:spacing w:after="360"/>
        <w:jc w:val="center"/>
      </w:pPr>
      <w:r>
        <w:rPr>
          <w:noProof/>
          <w:lang w:val="en-AU" w:eastAsia="en-AU"/>
        </w:rPr>
        <w:drawing>
          <wp:inline distT="0" distB="0" distL="0" distR="0" wp14:anchorId="3E6B65EA" wp14:editId="3931A763">
            <wp:extent cx="5305168" cy="2504303"/>
            <wp:effectExtent l="0" t="0" r="10160" b="1079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A7748" w:rsidRPr="00665600" w:rsidRDefault="00DB052E" w:rsidP="001A3FC6">
      <w:pPr>
        <w:pStyle w:val="Caption"/>
      </w:pPr>
      <w:bookmarkStart w:id="40" w:name="_Toc381604791"/>
      <w:r>
        <w:t xml:space="preserve">Figure </w:t>
      </w:r>
      <w:r w:rsidR="00962BFF">
        <w:t>7</w:t>
      </w:r>
      <w:r>
        <w:t xml:space="preserve">: </w:t>
      </w:r>
      <w:r w:rsidR="009A7748">
        <w:t>Basic Education Share of Central Level Expenditures for MoEC and MoRA, 2006-2009</w:t>
      </w:r>
      <w:bookmarkEnd w:id="40"/>
    </w:p>
    <w:p w:rsidR="009A7748" w:rsidRDefault="009A7748" w:rsidP="00DB55DD">
      <w:pPr>
        <w:spacing w:after="360"/>
        <w:jc w:val="center"/>
      </w:pPr>
      <w:r>
        <w:rPr>
          <w:noProof/>
          <w:lang w:val="en-AU" w:eastAsia="en-AU"/>
        </w:rPr>
        <w:drawing>
          <wp:inline distT="0" distB="0" distL="0" distR="0" wp14:anchorId="40EF5197" wp14:editId="3819D26A">
            <wp:extent cx="5580689" cy="2767913"/>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81650" cy="2768390"/>
                    </a:xfrm>
                    <a:prstGeom prst="rect">
                      <a:avLst/>
                    </a:prstGeom>
                    <a:noFill/>
                  </pic:spPr>
                </pic:pic>
              </a:graphicData>
            </a:graphic>
          </wp:inline>
        </w:drawing>
      </w:r>
    </w:p>
    <w:p w:rsidR="001A3FC6" w:rsidRDefault="001A3FC6">
      <w:r>
        <w:br w:type="page"/>
      </w:r>
    </w:p>
    <w:tbl>
      <w:tblPr>
        <w:tblStyle w:val="TableGrid3"/>
        <w:tblW w:w="5000" w:type="pct"/>
        <w:jc w:val="center"/>
        <w:tblBorders>
          <w:top w:val="single" w:sz="12" w:space="0" w:color="auto"/>
          <w:left w:val="single" w:sz="12" w:space="0" w:color="auto"/>
          <w:bottom w:val="single" w:sz="12" w:space="0" w:color="auto"/>
          <w:right w:val="single" w:sz="12" w:space="0" w:color="auto"/>
        </w:tblBorders>
        <w:tblLayout w:type="fixed"/>
        <w:tblCellMar>
          <w:top w:w="28" w:type="dxa"/>
          <w:bottom w:w="28" w:type="dxa"/>
        </w:tblCellMar>
        <w:tblLook w:val="04A0" w:firstRow="1" w:lastRow="0" w:firstColumn="1" w:lastColumn="0" w:noHBand="0" w:noVBand="1"/>
      </w:tblPr>
      <w:tblGrid>
        <w:gridCol w:w="1849"/>
        <w:gridCol w:w="1849"/>
        <w:gridCol w:w="1849"/>
        <w:gridCol w:w="3698"/>
      </w:tblGrid>
      <w:tr w:rsidR="00430BA7" w:rsidRPr="00490DE0" w:rsidTr="001A3FC6">
        <w:trPr>
          <w:tblHeader/>
          <w:jc w:val="center"/>
        </w:trPr>
        <w:tc>
          <w:tcPr>
            <w:tcW w:w="1000" w:type="pct"/>
            <w:tcBorders>
              <w:top w:val="single" w:sz="12" w:space="0" w:color="auto"/>
              <w:bottom w:val="single" w:sz="4" w:space="0" w:color="auto"/>
              <w:right w:val="single" w:sz="4" w:space="0" w:color="FFFFFF" w:themeColor="background1"/>
            </w:tcBorders>
            <w:shd w:val="clear" w:color="auto" w:fill="003880"/>
            <w:vAlign w:val="center"/>
          </w:tcPr>
          <w:p w:rsidR="00430BA7" w:rsidRPr="00490DE0" w:rsidRDefault="00490DE0" w:rsidP="00490DE0">
            <w:pPr>
              <w:spacing w:after="0"/>
              <w:jc w:val="center"/>
              <w:rPr>
                <w:rFonts w:asciiTheme="minorHAnsi" w:hAnsiTheme="minorHAnsi" w:cstheme="minorHAnsi"/>
                <w:b/>
                <w:color w:val="FFFFFF" w:themeColor="background1"/>
                <w:sz w:val="20"/>
                <w:szCs w:val="20"/>
                <w:lang w:val="en-US"/>
              </w:rPr>
            </w:pPr>
            <w:r w:rsidRPr="00490DE0">
              <w:rPr>
                <w:rFonts w:asciiTheme="minorHAnsi" w:hAnsiTheme="minorHAnsi" w:cstheme="minorHAnsi"/>
                <w:b/>
                <w:color w:val="FFFFFF" w:themeColor="background1"/>
                <w:sz w:val="20"/>
                <w:szCs w:val="20"/>
                <w:lang w:val="en-US"/>
              </w:rPr>
              <w:lastRenderedPageBreak/>
              <w:t>KPI 4&amp;5</w:t>
            </w:r>
          </w:p>
        </w:tc>
        <w:tc>
          <w:tcPr>
            <w:tcW w:w="4000" w:type="pct"/>
            <w:gridSpan w:val="3"/>
            <w:tcBorders>
              <w:top w:val="single" w:sz="12" w:space="0" w:color="auto"/>
              <w:left w:val="single" w:sz="4" w:space="0" w:color="FFFFFF" w:themeColor="background1"/>
              <w:bottom w:val="single" w:sz="4" w:space="0" w:color="auto"/>
            </w:tcBorders>
            <w:shd w:val="clear" w:color="auto" w:fill="003880"/>
            <w:vAlign w:val="center"/>
          </w:tcPr>
          <w:p w:rsidR="00350655" w:rsidRPr="00490DE0" w:rsidRDefault="00490DE0" w:rsidP="00490DE0">
            <w:pPr>
              <w:spacing w:after="0"/>
              <w:jc w:val="center"/>
              <w:rPr>
                <w:rFonts w:asciiTheme="minorHAnsi" w:hAnsiTheme="minorHAnsi" w:cstheme="minorHAnsi"/>
                <w:b/>
                <w:bCs/>
                <w:color w:val="FFFFFF" w:themeColor="background1"/>
                <w:sz w:val="20"/>
                <w:szCs w:val="20"/>
                <w:lang w:val="en-US"/>
              </w:rPr>
            </w:pPr>
            <w:r w:rsidRPr="00490DE0">
              <w:rPr>
                <w:rFonts w:asciiTheme="minorHAnsi" w:hAnsiTheme="minorHAnsi" w:cstheme="minorHAnsi"/>
                <w:b/>
                <w:bCs/>
                <w:color w:val="FFFFFF" w:themeColor="background1"/>
                <w:sz w:val="20"/>
                <w:szCs w:val="20"/>
                <w:lang w:val="en-US"/>
              </w:rPr>
              <w:t xml:space="preserve">EXPENDITURE ON BASIC EDUCATION AS % OF ALL EDUCATION EXPENDITURE &amp; </w:t>
            </w:r>
          </w:p>
          <w:p w:rsidR="00430BA7" w:rsidRPr="00490DE0" w:rsidRDefault="00490DE0" w:rsidP="00490DE0">
            <w:pPr>
              <w:spacing w:after="0"/>
              <w:jc w:val="center"/>
              <w:rPr>
                <w:rFonts w:asciiTheme="minorHAnsi" w:hAnsiTheme="minorHAnsi" w:cstheme="minorHAnsi"/>
                <w:b/>
                <w:color w:val="FFFFFF" w:themeColor="background1"/>
                <w:sz w:val="20"/>
                <w:szCs w:val="20"/>
                <w:lang w:val="en-US"/>
              </w:rPr>
            </w:pPr>
            <w:r w:rsidRPr="00490DE0">
              <w:rPr>
                <w:rFonts w:asciiTheme="minorHAnsi" w:hAnsiTheme="minorHAnsi" w:cstheme="minorHAnsi"/>
                <w:b/>
                <w:bCs/>
                <w:color w:val="FFFFFF" w:themeColor="background1"/>
                <w:sz w:val="20"/>
                <w:szCs w:val="20"/>
                <w:lang w:val="en-US"/>
              </w:rPr>
              <w:t xml:space="preserve">EXPENDITURE ON NON FORMAL EDUCATION AS % OF ALL EDUCATION EXPENDITURE </w:t>
            </w:r>
          </w:p>
        </w:tc>
      </w:tr>
      <w:tr w:rsidR="00430BA7" w:rsidRPr="00490DE0" w:rsidTr="001A3FC6">
        <w:trPr>
          <w:tblHeader/>
          <w:jc w:val="center"/>
        </w:trPr>
        <w:tc>
          <w:tcPr>
            <w:tcW w:w="5000" w:type="pct"/>
            <w:gridSpan w:val="4"/>
            <w:tcBorders>
              <w:top w:val="single" w:sz="4" w:space="0" w:color="auto"/>
            </w:tcBorders>
            <w:shd w:val="clear" w:color="auto" w:fill="68BAD6"/>
            <w:vAlign w:val="center"/>
          </w:tcPr>
          <w:p w:rsidR="00430BA7" w:rsidRPr="00490DE0" w:rsidRDefault="00490DE0" w:rsidP="00490DE0">
            <w:pPr>
              <w:spacing w:after="0"/>
              <w:jc w:val="center"/>
              <w:rPr>
                <w:rFonts w:asciiTheme="minorHAnsi" w:hAnsiTheme="minorHAnsi" w:cstheme="minorHAnsi"/>
                <w:b/>
                <w:color w:val="FFFFFF" w:themeColor="background1"/>
                <w:sz w:val="20"/>
                <w:szCs w:val="20"/>
                <w:lang w:val="en-US"/>
              </w:rPr>
            </w:pPr>
            <w:r w:rsidRPr="00490DE0">
              <w:rPr>
                <w:rFonts w:asciiTheme="minorHAnsi" w:hAnsiTheme="minorHAnsi" w:cstheme="minorHAnsi"/>
                <w:b/>
                <w:sz w:val="20"/>
                <w:szCs w:val="20"/>
                <w:lang w:val="en-US"/>
              </w:rPr>
              <w:t>STATUS AND TRENDS</w:t>
            </w:r>
          </w:p>
        </w:tc>
      </w:tr>
      <w:tr w:rsidR="00350655" w:rsidRPr="00490DE0" w:rsidTr="001A3FC6">
        <w:trPr>
          <w:jc w:val="center"/>
        </w:trPr>
        <w:tc>
          <w:tcPr>
            <w:tcW w:w="1000" w:type="pct"/>
            <w:shd w:val="clear" w:color="auto" w:fill="BFBFBF" w:themeFill="background1" w:themeFillShade="BF"/>
            <w:vAlign w:val="center"/>
          </w:tcPr>
          <w:p w:rsidR="00430BA7" w:rsidRPr="00490DE0" w:rsidRDefault="00430BA7" w:rsidP="00490DE0">
            <w:pPr>
              <w:spacing w:after="0"/>
              <w:jc w:val="center"/>
              <w:rPr>
                <w:sz w:val="20"/>
                <w:szCs w:val="20"/>
                <w:lang w:val="en-AU"/>
              </w:rPr>
            </w:pPr>
            <w:r w:rsidRPr="00490DE0">
              <w:rPr>
                <w:sz w:val="20"/>
                <w:szCs w:val="20"/>
                <w:lang w:val="en-AU"/>
              </w:rPr>
              <w:t>Result</w:t>
            </w:r>
          </w:p>
        </w:tc>
        <w:tc>
          <w:tcPr>
            <w:tcW w:w="1000" w:type="pct"/>
            <w:shd w:val="clear" w:color="auto" w:fill="FFC000"/>
            <w:vAlign w:val="center"/>
          </w:tcPr>
          <w:p w:rsidR="00350655" w:rsidRPr="00490DE0" w:rsidRDefault="00350655" w:rsidP="00490DE0">
            <w:pPr>
              <w:spacing w:after="0"/>
              <w:jc w:val="center"/>
              <w:rPr>
                <w:sz w:val="20"/>
                <w:szCs w:val="20"/>
                <w:lang w:val="en-AU"/>
              </w:rPr>
            </w:pPr>
            <w:r w:rsidRPr="00490DE0">
              <w:rPr>
                <w:sz w:val="20"/>
                <w:szCs w:val="20"/>
                <w:lang w:val="en-AU"/>
              </w:rPr>
              <w:t>Positive for Basic Education</w:t>
            </w:r>
          </w:p>
          <w:p w:rsidR="00430BA7" w:rsidRPr="00490DE0" w:rsidRDefault="00350655" w:rsidP="00490DE0">
            <w:pPr>
              <w:spacing w:after="0"/>
              <w:jc w:val="center"/>
              <w:rPr>
                <w:sz w:val="20"/>
                <w:szCs w:val="20"/>
                <w:lang w:val="en-AU"/>
              </w:rPr>
            </w:pPr>
            <w:r w:rsidRPr="00490DE0">
              <w:rPr>
                <w:sz w:val="20"/>
                <w:szCs w:val="20"/>
                <w:lang w:val="en-AU"/>
              </w:rPr>
              <w:t>Negative for Non Formal</w:t>
            </w:r>
          </w:p>
        </w:tc>
        <w:tc>
          <w:tcPr>
            <w:tcW w:w="1000" w:type="pct"/>
            <w:shd w:val="clear" w:color="auto" w:fill="BFBFBF" w:themeFill="background1" w:themeFillShade="BF"/>
            <w:vAlign w:val="center"/>
          </w:tcPr>
          <w:p w:rsidR="00430BA7" w:rsidRPr="00490DE0" w:rsidRDefault="00430BA7" w:rsidP="00490DE0">
            <w:pPr>
              <w:spacing w:after="0"/>
              <w:jc w:val="center"/>
              <w:rPr>
                <w:sz w:val="20"/>
                <w:szCs w:val="20"/>
                <w:lang w:val="en-AU"/>
              </w:rPr>
            </w:pPr>
            <w:r w:rsidRPr="00490DE0">
              <w:rPr>
                <w:sz w:val="20"/>
                <w:szCs w:val="20"/>
                <w:lang w:val="en-AU"/>
              </w:rPr>
              <w:t>Data availability</w:t>
            </w:r>
          </w:p>
        </w:tc>
        <w:tc>
          <w:tcPr>
            <w:tcW w:w="2000" w:type="pct"/>
            <w:vAlign w:val="center"/>
          </w:tcPr>
          <w:p w:rsidR="00430BA7" w:rsidRPr="00490DE0" w:rsidRDefault="00E21C05" w:rsidP="00E21C05">
            <w:pPr>
              <w:spacing w:after="0"/>
              <w:jc w:val="both"/>
              <w:rPr>
                <w:sz w:val="20"/>
                <w:szCs w:val="20"/>
                <w:lang w:val="en-AU"/>
              </w:rPr>
            </w:pPr>
            <w:r>
              <w:rPr>
                <w:sz w:val="20"/>
                <w:szCs w:val="20"/>
                <w:lang w:val="en-AU"/>
              </w:rPr>
              <w:t xml:space="preserve">Data updated to year </w:t>
            </w:r>
            <w:r w:rsidR="00350655" w:rsidRPr="00490DE0">
              <w:rPr>
                <w:sz w:val="20"/>
                <w:szCs w:val="20"/>
                <w:lang w:val="en-AU"/>
              </w:rPr>
              <w:t>2009. Analysis of central level expenditures for basic education is provided to give some idea of resourcing.</w:t>
            </w:r>
          </w:p>
        </w:tc>
      </w:tr>
      <w:tr w:rsidR="00430BA7" w:rsidRPr="00490DE0" w:rsidTr="001A3FC6">
        <w:trPr>
          <w:jc w:val="center"/>
        </w:trPr>
        <w:tc>
          <w:tcPr>
            <w:tcW w:w="1000" w:type="pct"/>
            <w:shd w:val="clear" w:color="auto" w:fill="BFBFBF" w:themeFill="background1" w:themeFillShade="BF"/>
            <w:vAlign w:val="center"/>
          </w:tcPr>
          <w:p w:rsidR="00430BA7" w:rsidRPr="00490DE0" w:rsidRDefault="00430BA7" w:rsidP="00490DE0">
            <w:pPr>
              <w:spacing w:after="0"/>
              <w:jc w:val="center"/>
              <w:rPr>
                <w:sz w:val="20"/>
                <w:szCs w:val="20"/>
                <w:lang w:val="en-AU"/>
              </w:rPr>
            </w:pPr>
            <w:r w:rsidRPr="00490DE0">
              <w:rPr>
                <w:sz w:val="20"/>
                <w:szCs w:val="20"/>
                <w:lang w:val="en-AU"/>
              </w:rPr>
              <w:t>Observations</w:t>
            </w:r>
          </w:p>
        </w:tc>
        <w:tc>
          <w:tcPr>
            <w:tcW w:w="4000" w:type="pct"/>
            <w:gridSpan w:val="3"/>
            <w:vAlign w:val="center"/>
          </w:tcPr>
          <w:p w:rsidR="00350655" w:rsidRPr="00490DE0" w:rsidRDefault="00350655" w:rsidP="00490DE0">
            <w:pPr>
              <w:pStyle w:val="ListParagraph"/>
              <w:numPr>
                <w:ilvl w:val="0"/>
                <w:numId w:val="12"/>
              </w:numPr>
              <w:spacing w:after="60" w:line="240" w:lineRule="auto"/>
              <w:ind w:left="284" w:hanging="284"/>
              <w:contextualSpacing w:val="0"/>
              <w:jc w:val="both"/>
              <w:rPr>
                <w:sz w:val="20"/>
                <w:szCs w:val="20"/>
                <w:lang w:val="en-AU"/>
              </w:rPr>
            </w:pPr>
            <w:r w:rsidRPr="00490DE0">
              <w:rPr>
                <w:sz w:val="20"/>
                <w:szCs w:val="20"/>
                <w:lang w:val="en-AU"/>
              </w:rPr>
              <w:t>Basic education in 2009 accounted for approximately 56% of total funding</w:t>
            </w:r>
            <w:r w:rsidR="009A7748" w:rsidRPr="00490DE0">
              <w:rPr>
                <w:sz w:val="20"/>
                <w:szCs w:val="20"/>
                <w:lang w:val="en-AU"/>
              </w:rPr>
              <w:t xml:space="preserve"> (see Figure 6, above)</w:t>
            </w:r>
            <w:r w:rsidRPr="00490DE0">
              <w:rPr>
                <w:sz w:val="20"/>
                <w:szCs w:val="20"/>
                <w:lang w:val="en-AU"/>
              </w:rPr>
              <w:t xml:space="preserve">, which is significantly down from more than 70% in 2004. Senior secondary will begin to make a stronger resource claim in future as </w:t>
            </w:r>
            <w:r w:rsidR="009A7748" w:rsidRPr="00490DE0">
              <w:rPr>
                <w:sz w:val="20"/>
                <w:szCs w:val="20"/>
                <w:lang w:val="en-AU"/>
              </w:rPr>
              <w:t xml:space="preserve">the universal </w:t>
            </w:r>
            <w:r w:rsidRPr="00490DE0">
              <w:rPr>
                <w:sz w:val="20"/>
                <w:szCs w:val="20"/>
                <w:lang w:val="en-AU"/>
              </w:rPr>
              <w:t xml:space="preserve">policy expands access. Districts carry the bulk of expenditure for basic education and remain a key site for interventions. </w:t>
            </w:r>
          </w:p>
          <w:p w:rsidR="00350655" w:rsidRPr="00490DE0" w:rsidRDefault="00350655" w:rsidP="00490DE0">
            <w:pPr>
              <w:pStyle w:val="ListParagraph"/>
              <w:numPr>
                <w:ilvl w:val="0"/>
                <w:numId w:val="12"/>
              </w:numPr>
              <w:spacing w:after="60" w:line="240" w:lineRule="auto"/>
              <w:ind w:left="284" w:hanging="284"/>
              <w:contextualSpacing w:val="0"/>
              <w:jc w:val="both"/>
              <w:rPr>
                <w:sz w:val="20"/>
                <w:szCs w:val="20"/>
                <w:lang w:val="en-AU"/>
              </w:rPr>
            </w:pPr>
            <w:r w:rsidRPr="00490DE0">
              <w:rPr>
                <w:sz w:val="20"/>
                <w:szCs w:val="20"/>
                <w:lang w:val="en-AU"/>
              </w:rPr>
              <w:t>Analysis of central level expenditures for the period 2006-2009 shows commitment to Basic Education is holding firm within M</w:t>
            </w:r>
            <w:r w:rsidR="009A7748" w:rsidRPr="00490DE0">
              <w:rPr>
                <w:sz w:val="20"/>
                <w:szCs w:val="20"/>
                <w:lang w:val="en-AU"/>
              </w:rPr>
              <w:t>o</w:t>
            </w:r>
            <w:r w:rsidRPr="00490DE0">
              <w:rPr>
                <w:sz w:val="20"/>
                <w:szCs w:val="20"/>
                <w:lang w:val="en-AU"/>
              </w:rPr>
              <w:t>EC at around 50%</w:t>
            </w:r>
            <w:r w:rsidR="009A7748" w:rsidRPr="00490DE0">
              <w:rPr>
                <w:sz w:val="20"/>
                <w:szCs w:val="20"/>
                <w:lang w:val="en-AU"/>
              </w:rPr>
              <w:t xml:space="preserve"> (see Figure </w:t>
            </w:r>
            <w:r w:rsidR="009B6D6D">
              <w:rPr>
                <w:sz w:val="20"/>
                <w:szCs w:val="20"/>
                <w:lang w:val="en-AU"/>
              </w:rPr>
              <w:t>7</w:t>
            </w:r>
            <w:r w:rsidR="009A7748" w:rsidRPr="00490DE0">
              <w:rPr>
                <w:sz w:val="20"/>
                <w:szCs w:val="20"/>
                <w:lang w:val="en-AU"/>
              </w:rPr>
              <w:t>, above)</w:t>
            </w:r>
            <w:r w:rsidRPr="00490DE0">
              <w:rPr>
                <w:sz w:val="20"/>
                <w:szCs w:val="20"/>
                <w:lang w:val="en-AU"/>
              </w:rPr>
              <w:t xml:space="preserve">. Within MoRA there was greater fluctuation with basic education dropping to as low as 17% of education </w:t>
            </w:r>
            <w:r w:rsidR="007168AC" w:rsidRPr="00490DE0">
              <w:rPr>
                <w:sz w:val="20"/>
                <w:szCs w:val="20"/>
                <w:lang w:val="en-AU"/>
              </w:rPr>
              <w:t>expenditure in</w:t>
            </w:r>
            <w:r w:rsidRPr="00490DE0">
              <w:rPr>
                <w:sz w:val="20"/>
                <w:szCs w:val="20"/>
                <w:lang w:val="en-AU"/>
              </w:rPr>
              <w:t xml:space="preserve"> 2008 before climbing again in 2009 to 31%</w:t>
            </w:r>
            <w:r w:rsidR="009A7748" w:rsidRPr="00490DE0">
              <w:rPr>
                <w:sz w:val="20"/>
                <w:szCs w:val="20"/>
                <w:lang w:val="en-AU"/>
              </w:rPr>
              <w:t xml:space="preserve"> (see Figure 7)</w:t>
            </w:r>
            <w:r w:rsidRPr="00490DE0">
              <w:rPr>
                <w:sz w:val="20"/>
                <w:szCs w:val="20"/>
                <w:lang w:val="en-AU"/>
              </w:rPr>
              <w:t xml:space="preserve">. It is unclear what has been driving the fluctuations in basic education share of MoRA expenditures. </w:t>
            </w:r>
          </w:p>
          <w:p w:rsidR="00430BA7" w:rsidRPr="00490DE0" w:rsidRDefault="00350655" w:rsidP="00E21C05">
            <w:pPr>
              <w:pStyle w:val="ListParagraph"/>
              <w:numPr>
                <w:ilvl w:val="0"/>
                <w:numId w:val="12"/>
              </w:numPr>
              <w:spacing w:after="60" w:line="240" w:lineRule="auto"/>
              <w:ind w:left="284" w:hanging="284"/>
              <w:contextualSpacing w:val="0"/>
              <w:jc w:val="both"/>
              <w:rPr>
                <w:sz w:val="20"/>
                <w:szCs w:val="20"/>
                <w:lang w:val="en-AU"/>
              </w:rPr>
            </w:pPr>
            <w:r w:rsidRPr="00490DE0">
              <w:rPr>
                <w:sz w:val="20"/>
                <w:szCs w:val="20"/>
                <w:lang w:val="en-AU"/>
              </w:rPr>
              <w:t xml:space="preserve">The financial allocations for non-formal education </w:t>
            </w:r>
            <w:r w:rsidR="00E21C05">
              <w:rPr>
                <w:sz w:val="20"/>
                <w:szCs w:val="20"/>
                <w:lang w:val="en-AU"/>
              </w:rPr>
              <w:t xml:space="preserve">in 2004 were </w:t>
            </w:r>
            <w:r w:rsidRPr="00490DE0">
              <w:rPr>
                <w:sz w:val="20"/>
                <w:szCs w:val="20"/>
                <w:lang w:val="en-AU"/>
              </w:rPr>
              <w:t>very low at 1% of total sector expenditure.</w:t>
            </w:r>
          </w:p>
        </w:tc>
      </w:tr>
      <w:tr w:rsidR="00430BA7" w:rsidRPr="00490DE0" w:rsidTr="001A3FC6">
        <w:trPr>
          <w:tblHeader/>
          <w:jc w:val="center"/>
        </w:trPr>
        <w:tc>
          <w:tcPr>
            <w:tcW w:w="5000" w:type="pct"/>
            <w:gridSpan w:val="4"/>
            <w:shd w:val="clear" w:color="auto" w:fill="68BAD6"/>
            <w:vAlign w:val="center"/>
          </w:tcPr>
          <w:p w:rsidR="00430BA7" w:rsidRPr="00490DE0" w:rsidRDefault="00490DE0" w:rsidP="00490DE0">
            <w:pPr>
              <w:spacing w:after="0"/>
              <w:jc w:val="center"/>
              <w:rPr>
                <w:rFonts w:asciiTheme="minorHAnsi" w:hAnsiTheme="minorHAnsi" w:cstheme="minorHAnsi"/>
                <w:b/>
                <w:color w:val="FFFFFF" w:themeColor="background1"/>
                <w:sz w:val="20"/>
                <w:szCs w:val="20"/>
                <w:lang w:val="en-US"/>
              </w:rPr>
            </w:pPr>
            <w:r w:rsidRPr="00490DE0">
              <w:rPr>
                <w:rFonts w:asciiTheme="minorHAnsi" w:hAnsiTheme="minorHAnsi" w:cstheme="minorHAnsi"/>
                <w:b/>
                <w:sz w:val="20"/>
                <w:szCs w:val="20"/>
                <w:lang w:val="en-US"/>
              </w:rPr>
              <w:t>IMPLICATIONS AND MATTERS ARISING</w:t>
            </w:r>
          </w:p>
        </w:tc>
      </w:tr>
      <w:tr w:rsidR="00430BA7" w:rsidRPr="00490DE0" w:rsidTr="001A3FC6">
        <w:trPr>
          <w:jc w:val="center"/>
        </w:trPr>
        <w:tc>
          <w:tcPr>
            <w:tcW w:w="1000" w:type="pct"/>
            <w:shd w:val="clear" w:color="auto" w:fill="BFBFBF" w:themeFill="background1" w:themeFillShade="BF"/>
            <w:vAlign w:val="center"/>
          </w:tcPr>
          <w:p w:rsidR="00430BA7" w:rsidRPr="00490DE0" w:rsidRDefault="00430BA7" w:rsidP="00490DE0">
            <w:pPr>
              <w:spacing w:after="0"/>
              <w:jc w:val="center"/>
              <w:rPr>
                <w:sz w:val="20"/>
                <w:szCs w:val="20"/>
                <w:lang w:val="en-AU"/>
              </w:rPr>
            </w:pPr>
            <w:r w:rsidRPr="00490DE0">
              <w:rPr>
                <w:sz w:val="20"/>
                <w:szCs w:val="20"/>
                <w:lang w:val="en-AU"/>
              </w:rPr>
              <w:t>For the performance of the education sector</w:t>
            </w:r>
          </w:p>
        </w:tc>
        <w:tc>
          <w:tcPr>
            <w:tcW w:w="4000" w:type="pct"/>
            <w:gridSpan w:val="3"/>
            <w:vAlign w:val="center"/>
          </w:tcPr>
          <w:p w:rsidR="00350655" w:rsidRPr="00490DE0" w:rsidRDefault="00350655" w:rsidP="00DB55DD">
            <w:pPr>
              <w:pStyle w:val="ListParagraph"/>
              <w:numPr>
                <w:ilvl w:val="0"/>
                <w:numId w:val="12"/>
              </w:numPr>
              <w:spacing w:after="60" w:line="240" w:lineRule="auto"/>
              <w:ind w:left="284" w:hanging="284"/>
              <w:contextualSpacing w:val="0"/>
              <w:jc w:val="both"/>
              <w:rPr>
                <w:sz w:val="20"/>
                <w:szCs w:val="20"/>
                <w:lang w:val="en-AU"/>
              </w:rPr>
            </w:pPr>
            <w:r w:rsidRPr="00490DE0">
              <w:rPr>
                <w:sz w:val="20"/>
                <w:szCs w:val="20"/>
                <w:lang w:val="en-AU"/>
              </w:rPr>
              <w:t>Maintaining the share of basic education will be important even as access to secondary education is expanded. Investment in basic education builds a strong base in literacy and numeracy</w:t>
            </w:r>
            <w:r w:rsidR="009A7748" w:rsidRPr="00490DE0">
              <w:rPr>
                <w:sz w:val="20"/>
                <w:szCs w:val="20"/>
                <w:lang w:val="en-AU"/>
              </w:rPr>
              <w:t>,</w:t>
            </w:r>
            <w:r w:rsidRPr="00490DE0">
              <w:rPr>
                <w:sz w:val="20"/>
                <w:szCs w:val="20"/>
                <w:lang w:val="en-AU"/>
              </w:rPr>
              <w:t xml:space="preserve"> and economic development suffers when basic education expenditure is neglected in </w:t>
            </w:r>
            <w:r w:rsidR="007168AC" w:rsidRPr="00490DE0">
              <w:rPr>
                <w:sz w:val="20"/>
                <w:szCs w:val="20"/>
                <w:lang w:val="en-AU"/>
              </w:rPr>
              <w:t>favour</w:t>
            </w:r>
            <w:r w:rsidRPr="00490DE0">
              <w:rPr>
                <w:sz w:val="20"/>
                <w:szCs w:val="20"/>
                <w:lang w:val="en-AU"/>
              </w:rPr>
              <w:t xml:space="preserve"> of investment at higher levels.</w:t>
            </w:r>
          </w:p>
          <w:p w:rsidR="00430BA7" w:rsidRPr="00490DE0" w:rsidRDefault="00350655" w:rsidP="00DB55DD">
            <w:pPr>
              <w:pStyle w:val="ListParagraph"/>
              <w:numPr>
                <w:ilvl w:val="0"/>
                <w:numId w:val="12"/>
              </w:numPr>
              <w:spacing w:after="60" w:line="240" w:lineRule="auto"/>
              <w:ind w:left="284" w:hanging="284"/>
              <w:contextualSpacing w:val="0"/>
              <w:jc w:val="both"/>
              <w:rPr>
                <w:sz w:val="20"/>
                <w:szCs w:val="20"/>
                <w:lang w:val="en-AU"/>
              </w:rPr>
            </w:pPr>
            <w:r w:rsidRPr="00490DE0">
              <w:rPr>
                <w:sz w:val="20"/>
                <w:szCs w:val="20"/>
                <w:lang w:val="en-AU"/>
              </w:rPr>
              <w:t>NFE expenditure was approximately 1% of total expenditure for education in 2004. While a key advantage of NFE is its cost-effectiveness, increased levels of investment are needed to maximise the possible economic and social returns.</w:t>
            </w:r>
          </w:p>
        </w:tc>
      </w:tr>
    </w:tbl>
    <w:p w:rsidR="00430BA7" w:rsidRDefault="00430BA7" w:rsidP="00430BA7"/>
    <w:bookmarkEnd w:id="39"/>
    <w:p w:rsidR="007664CD" w:rsidRDefault="007664CD" w:rsidP="007664CD">
      <w:pPr>
        <w:rPr>
          <w:b/>
          <w:i/>
        </w:rPr>
      </w:pPr>
    </w:p>
    <w:p w:rsidR="00D03D4C" w:rsidRDefault="00D03D4C" w:rsidP="001C31F4">
      <w:pPr>
        <w:rPr>
          <w:rStyle w:val="Heading3Char"/>
        </w:rPr>
        <w:sectPr w:rsidR="00D03D4C" w:rsidSect="00DB55DD">
          <w:headerReference w:type="first" r:id="rId44"/>
          <w:footerReference w:type="first" r:id="rId45"/>
          <w:footnotePr>
            <w:numRestart w:val="eachSect"/>
          </w:footnotePr>
          <w:endnotePr>
            <w:numRestart w:val="eachSect"/>
          </w:endnotePr>
          <w:pgSz w:w="11909" w:h="16834" w:code="9"/>
          <w:pgMar w:top="357" w:right="1440" w:bottom="1304" w:left="1440" w:header="431" w:footer="425" w:gutter="0"/>
          <w:cols w:space="720"/>
          <w:titlePg/>
          <w:docGrid w:linePitch="360"/>
        </w:sectPr>
      </w:pPr>
    </w:p>
    <w:p w:rsidR="00DF49DF" w:rsidRDefault="00DF49DF" w:rsidP="00DB55DD">
      <w:pPr>
        <w:tabs>
          <w:tab w:val="left" w:pos="2977"/>
        </w:tabs>
        <w:spacing w:before="6960"/>
        <w:ind w:right="1701"/>
        <w:jc w:val="right"/>
        <w:rPr>
          <w:b/>
          <w:color w:val="FFFFFF" w:themeColor="background1"/>
          <w:sz w:val="36"/>
          <w:szCs w:val="36"/>
        </w:rPr>
      </w:pPr>
      <w:r>
        <w:rPr>
          <w:b/>
          <w:color w:val="FFFFFF" w:themeColor="background1"/>
          <w:sz w:val="36"/>
          <w:szCs w:val="36"/>
        </w:rPr>
        <w:lastRenderedPageBreak/>
        <w:t>Financial Performance at District Level</w:t>
      </w:r>
    </w:p>
    <w:p w:rsidR="00245A84" w:rsidRDefault="00245A84" w:rsidP="00245A84">
      <w:pPr>
        <w:sectPr w:rsidR="00245A84" w:rsidSect="00EF388E">
          <w:headerReference w:type="first" r:id="rId46"/>
          <w:footerReference w:type="first" r:id="rId47"/>
          <w:footnotePr>
            <w:numRestart w:val="eachSect"/>
          </w:footnotePr>
          <w:endnotePr>
            <w:numRestart w:val="eachSect"/>
          </w:endnotePr>
          <w:pgSz w:w="11909" w:h="16834" w:code="9"/>
          <w:pgMar w:top="357" w:right="1440" w:bottom="1304" w:left="1440" w:header="431" w:footer="425" w:gutter="0"/>
          <w:cols w:space="720"/>
          <w:titlePg/>
          <w:docGrid w:linePitch="360"/>
        </w:sectPr>
      </w:pPr>
    </w:p>
    <w:p w:rsidR="00DF49DF" w:rsidRPr="00DB55DD" w:rsidRDefault="00DB55DD" w:rsidP="00DB55DD">
      <w:pPr>
        <w:pStyle w:val="Heading1"/>
        <w:spacing w:after="1320"/>
        <w:ind w:left="357" w:hanging="357"/>
        <w:rPr>
          <w:color w:val="68BAD6"/>
        </w:rPr>
      </w:pPr>
      <w:bookmarkStart w:id="41" w:name="_Toc385504516"/>
      <w:bookmarkStart w:id="42" w:name="_Toc372401521"/>
      <w:r w:rsidRPr="00DB55DD">
        <w:rPr>
          <w:color w:val="68BAD6"/>
        </w:rPr>
        <w:lastRenderedPageBreak/>
        <w:t>FINANCIAL PERFORMANCE AT DISTRICT LEVEL</w:t>
      </w:r>
      <w:bookmarkEnd w:id="41"/>
    </w:p>
    <w:p w:rsidR="00DF49DF" w:rsidRPr="00DB55DD" w:rsidRDefault="00D50E38" w:rsidP="00DB55DD">
      <w:pPr>
        <w:pStyle w:val="Heading2"/>
        <w:spacing w:before="360" w:after="240"/>
        <w:ind w:left="567" w:hanging="567"/>
        <w:rPr>
          <w:rFonts w:asciiTheme="minorHAnsi" w:hAnsiTheme="minorHAnsi"/>
          <w:b/>
          <w:sz w:val="32"/>
          <w:szCs w:val="22"/>
        </w:rPr>
      </w:pPr>
      <w:r w:rsidRPr="00DB55DD">
        <w:rPr>
          <w:rFonts w:asciiTheme="minorHAnsi" w:hAnsiTheme="minorHAnsi"/>
          <w:b/>
          <w:sz w:val="32"/>
          <w:szCs w:val="22"/>
        </w:rPr>
        <w:t>Introduction</w:t>
      </w:r>
    </w:p>
    <w:p w:rsidR="00DF49DF" w:rsidRDefault="00DF49DF" w:rsidP="00DB55DD">
      <w:pPr>
        <w:spacing w:line="276" w:lineRule="auto"/>
        <w:jc w:val="both"/>
      </w:pPr>
      <w:r>
        <w:t xml:space="preserve">District-level expenditure patterns are increasingly important </w:t>
      </w:r>
      <w:r w:rsidR="009A7748">
        <w:t>because</w:t>
      </w:r>
      <w:r>
        <w:t xml:space="preserve"> districts have increased responsibility for education management under decentralisation. Monitoring patterns of expenditure by districts will become an increasingly important role for MoEC and MoRA </w:t>
      </w:r>
      <w:r w:rsidR="009A7748">
        <w:t>so th</w:t>
      </w:r>
      <w:r w:rsidR="00CB72F6">
        <w:t>ey</w:t>
      </w:r>
      <w:r w:rsidR="009A7748">
        <w:t xml:space="preserve"> can better </w:t>
      </w:r>
      <w:r>
        <w:t xml:space="preserve">ensure that national funding norms and procedures are being implemented appropriately. The wide range of districts’ poverty status and the importance of education in lifting district populations out of poverty also mean that vulnerable groups stand to benefit most from well-targeted investments in education. </w:t>
      </w:r>
    </w:p>
    <w:p w:rsidR="007D6663" w:rsidRDefault="00357390" w:rsidP="00DB55DD">
      <w:pPr>
        <w:spacing w:line="276" w:lineRule="auto"/>
        <w:jc w:val="both"/>
      </w:pPr>
      <w:r>
        <w:t xml:space="preserve">These district level analyses also can support the </w:t>
      </w:r>
      <w:r w:rsidR="007D6663">
        <w:t xml:space="preserve">Australian government funded EP at the district level. Most directly, the sustainability and </w:t>
      </w:r>
      <w:r>
        <w:t>success of Component 2 will depend on districts being able and willing to finance professional development of key personnel, e.g</w:t>
      </w:r>
      <w:r w:rsidR="007D6663">
        <w:t xml:space="preserve">. principals and supervisors. </w:t>
      </w:r>
      <w:r w:rsidR="00CC4734">
        <w:t>As such, it is important to m</w:t>
      </w:r>
      <w:r w:rsidR="007D6663">
        <w:t xml:space="preserve">onitor </w:t>
      </w:r>
      <w:r w:rsidR="00CC4734">
        <w:t xml:space="preserve">trends in </w:t>
      </w:r>
      <w:r w:rsidR="007D6663">
        <w:t>district level education financing.</w:t>
      </w:r>
    </w:p>
    <w:p w:rsidR="00DF49DF" w:rsidRDefault="00DF49DF" w:rsidP="00DB55DD">
      <w:pPr>
        <w:spacing w:line="276" w:lineRule="auto"/>
        <w:jc w:val="both"/>
      </w:pPr>
      <w:r>
        <w:t>This section provides comparisons of district-level education expenditures for 2006-201</w:t>
      </w:r>
      <w:r w:rsidR="007D6663">
        <w:t>2</w:t>
      </w:r>
      <w:r>
        <w:t xml:space="preserve">. The year 2006 is a useful benchmark to identify the nature and extent of education spending at the district level </w:t>
      </w:r>
      <w:r w:rsidR="00CC4734">
        <w:t xml:space="preserve">because it is </w:t>
      </w:r>
      <w:r>
        <w:t xml:space="preserve">before the commencement of the </w:t>
      </w:r>
      <w:r w:rsidR="00386A5D">
        <w:t xml:space="preserve">Australian government funded </w:t>
      </w:r>
      <w:r>
        <w:t>expenditures</w:t>
      </w:r>
      <w:r w:rsidR="00386A5D">
        <w:t xml:space="preserve"> through the BEP program that preceded the current EP</w:t>
      </w:r>
      <w:r>
        <w:t>.</w:t>
      </w:r>
    </w:p>
    <w:p w:rsidR="00DF49DF" w:rsidRDefault="00DF49DF" w:rsidP="00DB55DD">
      <w:pPr>
        <w:spacing w:line="276" w:lineRule="auto"/>
        <w:jc w:val="both"/>
      </w:pPr>
      <w:r>
        <w:t xml:space="preserve">The district-level analysis provides comparisons in district expenditures between (i) rural and urban districts, (ii) </w:t>
      </w:r>
      <w:r w:rsidR="00386A5D">
        <w:t>EP</w:t>
      </w:r>
      <w:r w:rsidR="004971BD">
        <w:t xml:space="preserve"> </w:t>
      </w:r>
      <w:r w:rsidR="00235E42">
        <w:t>and non-</w:t>
      </w:r>
      <w:r>
        <w:t>EP districts</w:t>
      </w:r>
      <w:r w:rsidR="00386A5D">
        <w:t xml:space="preserve"> (with some reference to the earlier Australian funded BEP districts</w:t>
      </w:r>
      <w:r>
        <w:t xml:space="preserve">, (ii) districts sorted into poverty quintile rankings, (iv) provinces, and (v) island groups. </w:t>
      </w:r>
    </w:p>
    <w:p w:rsidR="00831064" w:rsidRDefault="00831064" w:rsidP="00DB55DD">
      <w:pPr>
        <w:spacing w:line="276" w:lineRule="auto"/>
        <w:jc w:val="both"/>
      </w:pPr>
      <w:r>
        <w:t>The district poverty analysis is drive</w:t>
      </w:r>
      <w:r w:rsidR="00CC4734">
        <w:t>n</w:t>
      </w:r>
      <w:r>
        <w:t xml:space="preserve"> by the distribution of all districts (rural and urban) into poverty quintiles. This means there are approximately 100 districts in each quintile. </w:t>
      </w:r>
      <w:r w:rsidR="00CC4734">
        <w:t>Q</w:t>
      </w:r>
      <w:r>
        <w:t xml:space="preserve">uintile 1 (richest) </w:t>
      </w:r>
      <w:r w:rsidR="00CC4734">
        <w:t xml:space="preserve">‘hosts’ </w:t>
      </w:r>
      <w:r>
        <w:t>the 100 districts which have the lowest percentage of individuals living in poverty. This measure of poverty is taken from the BSP PO poverty index that is widely used for measuring poverty in Indonesia.</w:t>
      </w:r>
    </w:p>
    <w:p w:rsidR="00A0329D" w:rsidRDefault="00DF49DF" w:rsidP="00DB55DD">
      <w:pPr>
        <w:spacing w:line="276" w:lineRule="auto"/>
        <w:jc w:val="both"/>
      </w:pPr>
      <w:r>
        <w:t xml:space="preserve">The </w:t>
      </w:r>
      <w:r w:rsidR="00CC4734">
        <w:t>ASFR</w:t>
      </w:r>
      <w:r>
        <w:t xml:space="preserve"> is based on data collected electronically for the period 2010 to 2012. District data prior to this period have been collected directly from the SIKD section of MoF. The SIKD collected in hard copy format the budget and actual expenditures of all districts and provinces</w:t>
      </w:r>
      <w:r w:rsidR="006E3954">
        <w:t xml:space="preserve">. </w:t>
      </w:r>
      <w:r w:rsidR="00386A5D">
        <w:t>The non-financial data (teacher and enrolments) ha</w:t>
      </w:r>
      <w:r w:rsidR="006E3954">
        <w:t>ve</w:t>
      </w:r>
      <w:r w:rsidR="00386A5D">
        <w:t xml:space="preserve"> been collected from M</w:t>
      </w:r>
      <w:r w:rsidR="00CC4734">
        <w:t>o</w:t>
      </w:r>
      <w:r w:rsidR="00386A5D">
        <w:t xml:space="preserve">EC. </w:t>
      </w:r>
      <w:r w:rsidR="00A0329D">
        <w:t>Since 20</w:t>
      </w:r>
      <w:r w:rsidR="00235E42">
        <w:t>10</w:t>
      </w:r>
      <w:r w:rsidR="00A0329D">
        <w:t xml:space="preserve">, these data have been supplemented by data collected electronically from the MoF. The 2010 </w:t>
      </w:r>
      <w:r w:rsidR="00CC4734">
        <w:t xml:space="preserve">ASFR </w:t>
      </w:r>
      <w:r w:rsidR="00A0329D">
        <w:t>was the first to have an entire year that was derived entirely from electronic records provided by SIKD MoF. The data provided by the MoF is subjected to logic tests and assessed for it completeness.</w:t>
      </w:r>
    </w:p>
    <w:p w:rsidR="00235E42" w:rsidRDefault="00235E42" w:rsidP="00DB55DD">
      <w:pPr>
        <w:spacing w:line="276" w:lineRule="auto"/>
        <w:jc w:val="both"/>
      </w:pPr>
      <w:r>
        <w:t xml:space="preserve">The </w:t>
      </w:r>
      <w:r w:rsidR="00CC4734">
        <w:t>d</w:t>
      </w:r>
      <w:r>
        <w:t xml:space="preserve">istrict analysis utilizes </w:t>
      </w:r>
      <w:r w:rsidR="00CC4734">
        <w:t>five</w:t>
      </w:r>
      <w:r>
        <w:t xml:space="preserve"> KPI</w:t>
      </w:r>
      <w:r w:rsidR="00CC4734">
        <w:t>s</w:t>
      </w:r>
      <w:r>
        <w:t xml:space="preserve"> to examine district financing of education across Indonesia. The financial data only captures district government expenditures within each district. The financial analysis does not therefore capture the allocations made by central or provincial governments which may flow into the education sector within each district. It does not capture the M</w:t>
      </w:r>
      <w:r w:rsidR="00CC4734">
        <w:t>o</w:t>
      </w:r>
      <w:r>
        <w:t xml:space="preserve">RA allocations for public and private </w:t>
      </w:r>
      <w:r w:rsidR="00837A39">
        <w:t>Madrasah</w:t>
      </w:r>
      <w:r>
        <w:t xml:space="preserve"> which are central government allocations. The district analysis is therefore only useful as an indicator of district government priorities and expenditure patterns.</w:t>
      </w:r>
    </w:p>
    <w:p w:rsidR="00CB72F6" w:rsidRDefault="00CB72F6" w:rsidP="00DB55DD">
      <w:pPr>
        <w:spacing w:line="276" w:lineRule="auto"/>
        <w:jc w:val="both"/>
      </w:pPr>
      <w:r>
        <w:lastRenderedPageBreak/>
        <w:t>The figure below presents the number of districts which have supplied data to MOF and MOEC that has been used monitor the KPIs of the district level analysis.</w:t>
      </w:r>
    </w:p>
    <w:p w:rsidR="00DF49DF" w:rsidRDefault="008D3F0E" w:rsidP="001A3FC6">
      <w:pPr>
        <w:pStyle w:val="Caption"/>
      </w:pPr>
      <w:bookmarkStart w:id="43" w:name="_Toc374182057"/>
      <w:bookmarkStart w:id="44" w:name="_Toc381604792"/>
      <w:r>
        <w:t xml:space="preserve">Figure </w:t>
      </w:r>
      <w:r w:rsidR="00962BFF">
        <w:t>8</w:t>
      </w:r>
      <w:r w:rsidR="001A3FC6">
        <w:t xml:space="preserve">: </w:t>
      </w:r>
      <w:r w:rsidR="00DF49DF">
        <w:t xml:space="preserve">Number of Districts Included in </w:t>
      </w:r>
      <w:r w:rsidR="00CC4734">
        <w:t xml:space="preserve">ASFR </w:t>
      </w:r>
      <w:r w:rsidR="00DF49DF">
        <w:t>Analysis, (2006-2012)</w:t>
      </w:r>
      <w:bookmarkEnd w:id="43"/>
      <w:bookmarkEnd w:id="44"/>
    </w:p>
    <w:p w:rsidR="00DF49DF" w:rsidRDefault="00DF49DF" w:rsidP="00DB55DD">
      <w:pPr>
        <w:spacing w:after="360"/>
        <w:jc w:val="both"/>
      </w:pPr>
      <w:r>
        <w:rPr>
          <w:noProof/>
          <w:lang w:val="en-AU" w:eastAsia="en-AU"/>
        </w:rPr>
        <w:drawing>
          <wp:inline distT="0" distB="0" distL="0" distR="0" wp14:anchorId="51AA0E10" wp14:editId="03EA68B0">
            <wp:extent cx="5539563" cy="3402419"/>
            <wp:effectExtent l="19050" t="19050" r="23495" b="266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38248" cy="3401611"/>
                    </a:xfrm>
                    <a:prstGeom prst="rect">
                      <a:avLst/>
                    </a:prstGeom>
                    <a:noFill/>
                    <a:ln>
                      <a:solidFill>
                        <a:schemeClr val="accent1"/>
                      </a:solidFill>
                    </a:ln>
                  </pic:spPr>
                </pic:pic>
              </a:graphicData>
            </a:graphic>
          </wp:inline>
        </w:drawing>
      </w:r>
    </w:p>
    <w:p w:rsidR="00DF49DF" w:rsidRPr="00DB55DD" w:rsidRDefault="00A87C70" w:rsidP="00DB55DD">
      <w:pPr>
        <w:pStyle w:val="Heading2"/>
        <w:spacing w:before="360" w:after="240"/>
        <w:ind w:left="567" w:hanging="567"/>
        <w:rPr>
          <w:rFonts w:asciiTheme="minorHAnsi" w:hAnsiTheme="minorHAnsi"/>
          <w:b/>
          <w:sz w:val="32"/>
          <w:szCs w:val="22"/>
        </w:rPr>
      </w:pPr>
      <w:r w:rsidRPr="00DB55DD">
        <w:rPr>
          <w:rFonts w:asciiTheme="minorHAnsi" w:hAnsiTheme="minorHAnsi"/>
          <w:b/>
          <w:sz w:val="32"/>
          <w:szCs w:val="22"/>
        </w:rPr>
        <w:t>Key Performance Indicators</w:t>
      </w:r>
    </w:p>
    <w:p w:rsidR="006A4E0A" w:rsidRDefault="006A4E0A" w:rsidP="00DB55DD">
      <w:pPr>
        <w:pStyle w:val="Heading3"/>
      </w:pPr>
      <w:r>
        <w:t>KPI 6: District Financial Commitment to Education</w:t>
      </w:r>
    </w:p>
    <w:p w:rsidR="006A4E0A" w:rsidRDefault="001A3FC6" w:rsidP="001A3FC6">
      <w:pPr>
        <w:pStyle w:val="Caption"/>
      </w:pPr>
      <w:bookmarkStart w:id="45" w:name="_Toc374182058"/>
      <w:bookmarkStart w:id="46" w:name="_Toc381604793"/>
      <w:r>
        <w:t xml:space="preserve">Figure </w:t>
      </w:r>
      <w:r w:rsidR="00962BFF">
        <w:t>9</w:t>
      </w:r>
      <w:r>
        <w:t xml:space="preserve">: </w:t>
      </w:r>
      <w:r w:rsidR="006A4E0A" w:rsidRPr="000E586C">
        <w:t>Educatio</w:t>
      </w:r>
      <w:r w:rsidR="006A4E0A">
        <w:t>n Expenditure as % of Total District Budget (APBD 2006-2012)</w:t>
      </w:r>
      <w:bookmarkEnd w:id="45"/>
      <w:bookmarkEnd w:id="46"/>
    </w:p>
    <w:p w:rsidR="006A4E0A" w:rsidRDefault="006A4E0A" w:rsidP="00DB55DD">
      <w:pPr>
        <w:spacing w:after="360"/>
        <w:jc w:val="center"/>
      </w:pPr>
      <w:r>
        <w:rPr>
          <w:noProof/>
          <w:lang w:val="en-AU" w:eastAsia="en-AU"/>
        </w:rPr>
        <w:drawing>
          <wp:inline distT="0" distB="0" distL="0" distR="0" wp14:anchorId="52BED87D" wp14:editId="7E842838">
            <wp:extent cx="5562600" cy="312420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66410" cy="3126340"/>
                    </a:xfrm>
                    <a:prstGeom prst="rect">
                      <a:avLst/>
                    </a:prstGeom>
                    <a:noFill/>
                    <a:ln>
                      <a:solidFill>
                        <a:schemeClr val="accent1"/>
                      </a:solidFill>
                    </a:ln>
                  </pic:spPr>
                </pic:pic>
              </a:graphicData>
            </a:graphic>
          </wp:inline>
        </w:drawing>
      </w:r>
    </w:p>
    <w:p w:rsidR="006A4E0A" w:rsidRDefault="006A4E0A" w:rsidP="006A4E0A"/>
    <w:tbl>
      <w:tblPr>
        <w:tblStyle w:val="TableGrid3"/>
        <w:tblW w:w="5000" w:type="pct"/>
        <w:jc w:val="center"/>
        <w:tblLayout w:type="fixed"/>
        <w:tblCellMar>
          <w:top w:w="28" w:type="dxa"/>
          <w:bottom w:w="28" w:type="dxa"/>
        </w:tblCellMar>
        <w:tblLook w:val="04A0" w:firstRow="1" w:lastRow="0" w:firstColumn="1" w:lastColumn="0" w:noHBand="0" w:noVBand="1"/>
      </w:tblPr>
      <w:tblGrid>
        <w:gridCol w:w="1849"/>
        <w:gridCol w:w="1849"/>
        <w:gridCol w:w="1849"/>
        <w:gridCol w:w="3698"/>
      </w:tblGrid>
      <w:tr w:rsidR="006A4E0A" w:rsidRPr="00DB55DD" w:rsidTr="00DB55DD">
        <w:trPr>
          <w:tblHeader/>
          <w:jc w:val="center"/>
        </w:trPr>
        <w:tc>
          <w:tcPr>
            <w:tcW w:w="1000" w:type="pct"/>
            <w:tcBorders>
              <w:bottom w:val="single" w:sz="4" w:space="0" w:color="auto"/>
              <w:right w:val="single" w:sz="4" w:space="0" w:color="FFFFFF" w:themeColor="background1"/>
            </w:tcBorders>
            <w:shd w:val="clear" w:color="auto" w:fill="003880"/>
            <w:vAlign w:val="center"/>
          </w:tcPr>
          <w:p w:rsidR="006A4E0A" w:rsidRPr="00DB55DD" w:rsidRDefault="00DB55DD" w:rsidP="00DB55DD">
            <w:pPr>
              <w:spacing w:after="0"/>
              <w:jc w:val="center"/>
              <w:rPr>
                <w:rFonts w:asciiTheme="minorHAnsi" w:hAnsiTheme="minorHAnsi" w:cstheme="minorHAnsi"/>
                <w:b/>
                <w:color w:val="FFFFFF" w:themeColor="background1"/>
                <w:sz w:val="20"/>
                <w:szCs w:val="20"/>
                <w:lang w:val="en-US"/>
              </w:rPr>
            </w:pPr>
            <w:r w:rsidRPr="00DB55DD">
              <w:rPr>
                <w:rFonts w:asciiTheme="minorHAnsi" w:hAnsiTheme="minorHAnsi" w:cstheme="minorHAnsi"/>
                <w:b/>
                <w:color w:val="FFFFFF" w:themeColor="background1"/>
                <w:sz w:val="20"/>
                <w:szCs w:val="20"/>
                <w:lang w:val="en-US"/>
              </w:rPr>
              <w:t>KPI 6</w:t>
            </w:r>
          </w:p>
        </w:tc>
        <w:tc>
          <w:tcPr>
            <w:tcW w:w="7216" w:type="dxa"/>
            <w:gridSpan w:val="3"/>
            <w:tcBorders>
              <w:left w:val="single" w:sz="4" w:space="0" w:color="FFFFFF" w:themeColor="background1"/>
              <w:bottom w:val="single" w:sz="4" w:space="0" w:color="auto"/>
            </w:tcBorders>
            <w:shd w:val="clear" w:color="auto" w:fill="003880"/>
            <w:vAlign w:val="center"/>
          </w:tcPr>
          <w:p w:rsidR="006A4E0A" w:rsidRPr="00DB55DD" w:rsidRDefault="00DB55DD" w:rsidP="00DB55DD">
            <w:pPr>
              <w:spacing w:after="0"/>
              <w:jc w:val="center"/>
              <w:rPr>
                <w:rFonts w:asciiTheme="minorHAnsi" w:hAnsiTheme="minorHAnsi" w:cstheme="minorHAnsi"/>
                <w:b/>
                <w:color w:val="FFFFFF" w:themeColor="background1"/>
                <w:sz w:val="20"/>
                <w:szCs w:val="20"/>
                <w:lang w:val="en-US"/>
              </w:rPr>
            </w:pPr>
            <w:r w:rsidRPr="00DB55DD">
              <w:rPr>
                <w:rFonts w:asciiTheme="minorHAnsi" w:hAnsiTheme="minorHAnsi" w:cstheme="minorHAnsi"/>
                <w:b/>
                <w:color w:val="FFFFFF" w:themeColor="background1"/>
                <w:sz w:val="20"/>
                <w:szCs w:val="20"/>
                <w:lang w:val="en-US"/>
              </w:rPr>
              <w:t xml:space="preserve">DISTRICT FINANCIAL COMMITMENT TO EDUCATION </w:t>
            </w:r>
          </w:p>
        </w:tc>
      </w:tr>
      <w:tr w:rsidR="006A4E0A" w:rsidRPr="00DB55DD" w:rsidTr="00DB55DD">
        <w:trPr>
          <w:tblHeader/>
          <w:jc w:val="center"/>
        </w:trPr>
        <w:tc>
          <w:tcPr>
            <w:tcW w:w="9019" w:type="dxa"/>
            <w:gridSpan w:val="4"/>
            <w:tcBorders>
              <w:bottom w:val="single" w:sz="4" w:space="0" w:color="auto"/>
            </w:tcBorders>
            <w:shd w:val="clear" w:color="auto" w:fill="68BAD6"/>
            <w:vAlign w:val="center"/>
          </w:tcPr>
          <w:p w:rsidR="006A4E0A" w:rsidRPr="00DB55DD" w:rsidRDefault="00DB55DD" w:rsidP="00DB55DD">
            <w:pPr>
              <w:spacing w:after="0"/>
              <w:jc w:val="center"/>
              <w:rPr>
                <w:rFonts w:asciiTheme="minorHAnsi" w:hAnsiTheme="minorHAnsi" w:cstheme="minorHAnsi"/>
                <w:b/>
                <w:color w:val="FFFFFF" w:themeColor="background1"/>
                <w:sz w:val="20"/>
                <w:szCs w:val="20"/>
                <w:lang w:val="en-US"/>
              </w:rPr>
            </w:pPr>
            <w:r w:rsidRPr="00DB55DD">
              <w:rPr>
                <w:rFonts w:asciiTheme="minorHAnsi" w:hAnsiTheme="minorHAnsi" w:cstheme="minorHAnsi"/>
                <w:b/>
                <w:sz w:val="20"/>
                <w:szCs w:val="20"/>
                <w:lang w:val="en-US"/>
              </w:rPr>
              <w:t>STATUS AND TRENDS</w:t>
            </w:r>
          </w:p>
        </w:tc>
      </w:tr>
      <w:tr w:rsidR="006A4E0A" w:rsidRPr="00DB55DD" w:rsidTr="00DB55DD">
        <w:trPr>
          <w:jc w:val="center"/>
        </w:trPr>
        <w:tc>
          <w:tcPr>
            <w:tcW w:w="1000" w:type="pct"/>
            <w:tcBorders>
              <w:bottom w:val="single" w:sz="4" w:space="0" w:color="auto"/>
            </w:tcBorders>
            <w:shd w:val="clear" w:color="auto" w:fill="BFBFBF" w:themeFill="background1" w:themeFillShade="BF"/>
            <w:vAlign w:val="center"/>
          </w:tcPr>
          <w:p w:rsidR="006A4E0A" w:rsidRPr="00DB55DD" w:rsidRDefault="006A4E0A" w:rsidP="00DB55DD">
            <w:pPr>
              <w:spacing w:after="0"/>
              <w:jc w:val="center"/>
              <w:rPr>
                <w:sz w:val="20"/>
                <w:szCs w:val="20"/>
                <w:lang w:val="en-AU"/>
              </w:rPr>
            </w:pPr>
            <w:r w:rsidRPr="00DB55DD">
              <w:rPr>
                <w:sz w:val="20"/>
                <w:szCs w:val="20"/>
                <w:lang w:val="en-AU"/>
              </w:rPr>
              <w:t>Result</w:t>
            </w:r>
          </w:p>
        </w:tc>
        <w:tc>
          <w:tcPr>
            <w:tcW w:w="1000" w:type="pct"/>
            <w:shd w:val="clear" w:color="auto" w:fill="FFC000"/>
            <w:vAlign w:val="center"/>
          </w:tcPr>
          <w:p w:rsidR="006A4E0A" w:rsidRPr="00DB55DD" w:rsidRDefault="006A4E0A" w:rsidP="00DB55DD">
            <w:pPr>
              <w:spacing w:after="0"/>
              <w:jc w:val="center"/>
              <w:rPr>
                <w:sz w:val="20"/>
                <w:szCs w:val="20"/>
                <w:lang w:val="en-AU"/>
              </w:rPr>
            </w:pPr>
            <w:r w:rsidRPr="00DB55DD">
              <w:rPr>
                <w:sz w:val="20"/>
                <w:szCs w:val="20"/>
                <w:lang w:val="en-AU"/>
              </w:rPr>
              <w:t>Neutral</w:t>
            </w:r>
          </w:p>
        </w:tc>
        <w:tc>
          <w:tcPr>
            <w:tcW w:w="1000" w:type="pct"/>
            <w:shd w:val="clear" w:color="auto" w:fill="BFBFBF" w:themeFill="background1" w:themeFillShade="BF"/>
            <w:vAlign w:val="center"/>
          </w:tcPr>
          <w:p w:rsidR="006A4E0A" w:rsidRPr="00DB55DD" w:rsidRDefault="006A4E0A" w:rsidP="00DB55DD">
            <w:pPr>
              <w:spacing w:after="0"/>
              <w:jc w:val="center"/>
              <w:rPr>
                <w:sz w:val="20"/>
                <w:szCs w:val="20"/>
                <w:lang w:val="en-AU"/>
              </w:rPr>
            </w:pPr>
            <w:r w:rsidRPr="00DB55DD">
              <w:rPr>
                <w:sz w:val="20"/>
                <w:szCs w:val="20"/>
                <w:lang w:val="en-AU"/>
              </w:rPr>
              <w:t>Data availability</w:t>
            </w:r>
          </w:p>
        </w:tc>
        <w:tc>
          <w:tcPr>
            <w:tcW w:w="3608" w:type="dxa"/>
            <w:vAlign w:val="center"/>
          </w:tcPr>
          <w:p w:rsidR="006A4E0A" w:rsidRPr="00DB55DD" w:rsidRDefault="006A4E0A" w:rsidP="00DB55DD">
            <w:pPr>
              <w:spacing w:after="0"/>
              <w:rPr>
                <w:sz w:val="20"/>
                <w:szCs w:val="20"/>
                <w:lang w:val="en-AU"/>
              </w:rPr>
            </w:pPr>
            <w:r w:rsidRPr="00DB55DD">
              <w:rPr>
                <w:sz w:val="20"/>
                <w:szCs w:val="20"/>
                <w:lang w:val="en-AU"/>
              </w:rPr>
              <w:t>Financial data for 2012 was available for 487 districts and enrolment data for 496 districts out of a total 497 districts.</w:t>
            </w:r>
          </w:p>
        </w:tc>
      </w:tr>
      <w:tr w:rsidR="006A4E0A" w:rsidRPr="00DB55DD" w:rsidTr="00DB55DD">
        <w:trPr>
          <w:jc w:val="center"/>
        </w:trPr>
        <w:tc>
          <w:tcPr>
            <w:tcW w:w="1000" w:type="pct"/>
            <w:shd w:val="clear" w:color="auto" w:fill="BFBFBF" w:themeFill="background1" w:themeFillShade="BF"/>
            <w:vAlign w:val="center"/>
          </w:tcPr>
          <w:p w:rsidR="006A4E0A" w:rsidRPr="00DB55DD" w:rsidRDefault="006A4E0A" w:rsidP="00DB55DD">
            <w:pPr>
              <w:spacing w:after="0"/>
              <w:jc w:val="center"/>
              <w:rPr>
                <w:sz w:val="20"/>
                <w:szCs w:val="20"/>
                <w:lang w:val="en-AU"/>
              </w:rPr>
            </w:pPr>
            <w:r w:rsidRPr="00DB55DD">
              <w:rPr>
                <w:sz w:val="20"/>
                <w:szCs w:val="20"/>
                <w:lang w:val="en-AU"/>
              </w:rPr>
              <w:t>Observations</w:t>
            </w:r>
          </w:p>
        </w:tc>
        <w:tc>
          <w:tcPr>
            <w:tcW w:w="7216" w:type="dxa"/>
            <w:gridSpan w:val="3"/>
            <w:vAlign w:val="center"/>
          </w:tcPr>
          <w:p w:rsidR="00BB0D64" w:rsidRPr="00DB55DD" w:rsidRDefault="00BB0D64" w:rsidP="00DB55DD">
            <w:pPr>
              <w:pStyle w:val="ListParagraph"/>
              <w:numPr>
                <w:ilvl w:val="0"/>
                <w:numId w:val="12"/>
              </w:numPr>
              <w:spacing w:after="60" w:line="240" w:lineRule="auto"/>
              <w:ind w:left="284" w:hanging="284"/>
              <w:contextualSpacing w:val="0"/>
              <w:jc w:val="both"/>
              <w:rPr>
                <w:sz w:val="20"/>
                <w:szCs w:val="20"/>
                <w:lang w:val="en-AU"/>
              </w:rPr>
            </w:pPr>
            <w:r w:rsidRPr="00DB55DD">
              <w:rPr>
                <w:sz w:val="20"/>
                <w:szCs w:val="20"/>
                <w:lang w:val="en-AU"/>
              </w:rPr>
              <w:t xml:space="preserve">Average district level education expenditures across Indonesia have increased from 27% of the total district budget (APBD) in 2006 to </w:t>
            </w:r>
            <w:r w:rsidR="00686110" w:rsidRPr="00DB55DD">
              <w:rPr>
                <w:sz w:val="20"/>
                <w:szCs w:val="20"/>
                <w:lang w:val="en-AU"/>
              </w:rPr>
              <w:t xml:space="preserve">just over </w:t>
            </w:r>
            <w:r w:rsidRPr="00DB55DD">
              <w:rPr>
                <w:sz w:val="20"/>
                <w:szCs w:val="20"/>
                <w:lang w:val="en-AU"/>
              </w:rPr>
              <w:t>35% in 2012</w:t>
            </w:r>
            <w:r w:rsidR="009B6D6D">
              <w:rPr>
                <w:sz w:val="20"/>
                <w:szCs w:val="20"/>
                <w:lang w:val="en-AU"/>
              </w:rPr>
              <w:t xml:space="preserve"> (see Figure 9</w:t>
            </w:r>
            <w:r w:rsidR="00686110" w:rsidRPr="00DB55DD">
              <w:rPr>
                <w:sz w:val="20"/>
                <w:szCs w:val="20"/>
                <w:lang w:val="en-AU"/>
              </w:rPr>
              <w:t>, above)</w:t>
            </w:r>
            <w:r w:rsidRPr="00DB55DD">
              <w:rPr>
                <w:sz w:val="20"/>
                <w:szCs w:val="20"/>
                <w:lang w:val="en-AU"/>
              </w:rPr>
              <w:t>.</w:t>
            </w:r>
          </w:p>
          <w:p w:rsidR="00BB0D64" w:rsidRPr="00DB55DD" w:rsidRDefault="00BB0D64" w:rsidP="00DB55DD">
            <w:pPr>
              <w:pStyle w:val="ListParagraph"/>
              <w:numPr>
                <w:ilvl w:val="0"/>
                <w:numId w:val="12"/>
              </w:numPr>
              <w:spacing w:after="60" w:line="240" w:lineRule="auto"/>
              <w:ind w:left="284" w:hanging="284"/>
              <w:contextualSpacing w:val="0"/>
              <w:jc w:val="both"/>
              <w:rPr>
                <w:sz w:val="20"/>
                <w:szCs w:val="20"/>
                <w:lang w:val="en-AU"/>
              </w:rPr>
            </w:pPr>
            <w:r w:rsidRPr="00DB55DD">
              <w:rPr>
                <w:sz w:val="20"/>
                <w:szCs w:val="20"/>
                <w:lang w:val="en-AU"/>
              </w:rPr>
              <w:t xml:space="preserve">The strong increase in 2011 was reversed in 2012 with </w:t>
            </w:r>
            <w:r w:rsidR="00686110" w:rsidRPr="00DB55DD">
              <w:rPr>
                <w:sz w:val="20"/>
                <w:szCs w:val="20"/>
                <w:lang w:val="en-AU"/>
              </w:rPr>
              <w:t xml:space="preserve">the </w:t>
            </w:r>
            <w:r w:rsidRPr="00DB55DD">
              <w:rPr>
                <w:sz w:val="20"/>
                <w:szCs w:val="20"/>
                <w:lang w:val="en-AU"/>
              </w:rPr>
              <w:t>education share dropping just over 1% from 36.7%.</w:t>
            </w:r>
          </w:p>
          <w:p w:rsidR="00BB0D64" w:rsidRPr="00DB55DD" w:rsidRDefault="00BB0D64" w:rsidP="00DB55DD">
            <w:pPr>
              <w:pStyle w:val="ListParagraph"/>
              <w:numPr>
                <w:ilvl w:val="0"/>
                <w:numId w:val="12"/>
              </w:numPr>
              <w:spacing w:after="60" w:line="240" w:lineRule="auto"/>
              <w:ind w:left="284" w:hanging="284"/>
              <w:contextualSpacing w:val="0"/>
              <w:jc w:val="both"/>
              <w:rPr>
                <w:sz w:val="20"/>
                <w:szCs w:val="20"/>
                <w:lang w:val="en-AU"/>
              </w:rPr>
            </w:pPr>
            <w:r w:rsidRPr="00DB55DD">
              <w:rPr>
                <w:sz w:val="20"/>
                <w:szCs w:val="20"/>
                <w:lang w:val="en-AU"/>
              </w:rPr>
              <w:t>This small reduction in the average education share of district budgets in 2012 came after a sharp increase in 2011. This mitigates its negative significance.</w:t>
            </w:r>
          </w:p>
          <w:p w:rsidR="00BB0D64" w:rsidRPr="00DB55DD" w:rsidRDefault="00BB0D64" w:rsidP="00DB55DD">
            <w:pPr>
              <w:pStyle w:val="ListParagraph"/>
              <w:numPr>
                <w:ilvl w:val="0"/>
                <w:numId w:val="12"/>
              </w:numPr>
              <w:spacing w:after="60" w:line="240" w:lineRule="auto"/>
              <w:ind w:left="284" w:hanging="284"/>
              <w:contextualSpacing w:val="0"/>
              <w:jc w:val="both"/>
              <w:rPr>
                <w:sz w:val="20"/>
                <w:szCs w:val="20"/>
                <w:lang w:val="en-AU"/>
              </w:rPr>
            </w:pPr>
            <w:r w:rsidRPr="00DB55DD">
              <w:rPr>
                <w:sz w:val="20"/>
                <w:szCs w:val="20"/>
                <w:lang w:val="en-AU"/>
              </w:rPr>
              <w:t>The overall increased share of education expenditures at the district level from 31% in 2009 to 35% in 2012 demonstrates that districts</w:t>
            </w:r>
            <w:r w:rsidR="00486C1B" w:rsidRPr="00DB55DD">
              <w:rPr>
                <w:sz w:val="20"/>
                <w:szCs w:val="20"/>
                <w:lang w:val="en-AU"/>
              </w:rPr>
              <w:t>,</w:t>
            </w:r>
            <w:r w:rsidRPr="00DB55DD">
              <w:rPr>
                <w:sz w:val="20"/>
                <w:szCs w:val="20"/>
                <w:lang w:val="en-AU"/>
              </w:rPr>
              <w:t xml:space="preserve"> on average</w:t>
            </w:r>
            <w:r w:rsidR="00486C1B" w:rsidRPr="00DB55DD">
              <w:rPr>
                <w:sz w:val="20"/>
                <w:szCs w:val="20"/>
                <w:lang w:val="en-AU"/>
              </w:rPr>
              <w:t>,</w:t>
            </w:r>
            <w:r w:rsidRPr="00DB55DD">
              <w:rPr>
                <w:sz w:val="20"/>
                <w:szCs w:val="20"/>
                <w:lang w:val="en-AU"/>
              </w:rPr>
              <w:t xml:space="preserve"> strengthened their commitment toward education spending during the period 2009-2012. </w:t>
            </w:r>
          </w:p>
          <w:p w:rsidR="00BB0D64" w:rsidRPr="00DB55DD" w:rsidRDefault="00BB0D64" w:rsidP="00DB55DD">
            <w:pPr>
              <w:pStyle w:val="ListParagraph"/>
              <w:numPr>
                <w:ilvl w:val="0"/>
                <w:numId w:val="12"/>
              </w:numPr>
              <w:spacing w:after="60" w:line="240" w:lineRule="auto"/>
              <w:ind w:left="284" w:hanging="284"/>
              <w:contextualSpacing w:val="0"/>
              <w:jc w:val="both"/>
              <w:rPr>
                <w:sz w:val="20"/>
                <w:szCs w:val="20"/>
                <w:lang w:val="en-AU"/>
              </w:rPr>
            </w:pPr>
            <w:r w:rsidRPr="00DB55DD">
              <w:rPr>
                <w:sz w:val="20"/>
                <w:szCs w:val="20"/>
                <w:lang w:val="en-AU"/>
              </w:rPr>
              <w:t>The slight reduction in share of allocations towards education is consistent for urban and rural areas. Rural areas dropped from average 37% share in 2011 to 36% in 2012</w:t>
            </w:r>
            <w:r w:rsidR="00486C1B" w:rsidRPr="00DB55DD">
              <w:rPr>
                <w:sz w:val="20"/>
                <w:szCs w:val="20"/>
                <w:lang w:val="en-AU"/>
              </w:rPr>
              <w:t>,</w:t>
            </w:r>
            <w:r w:rsidRPr="00DB55DD">
              <w:rPr>
                <w:sz w:val="20"/>
                <w:szCs w:val="20"/>
                <w:lang w:val="en-AU"/>
              </w:rPr>
              <w:t xml:space="preserve"> with urban 35% to 34% respectively. </w:t>
            </w:r>
          </w:p>
          <w:p w:rsidR="00BB0D64" w:rsidRPr="00DB55DD" w:rsidRDefault="00BB0D64" w:rsidP="00DB55DD">
            <w:pPr>
              <w:pStyle w:val="ListParagraph"/>
              <w:numPr>
                <w:ilvl w:val="0"/>
                <w:numId w:val="12"/>
              </w:numPr>
              <w:spacing w:after="60" w:line="240" w:lineRule="auto"/>
              <w:ind w:left="284" w:hanging="284"/>
              <w:contextualSpacing w:val="0"/>
              <w:jc w:val="both"/>
              <w:rPr>
                <w:sz w:val="20"/>
                <w:szCs w:val="20"/>
                <w:lang w:val="en-AU"/>
              </w:rPr>
            </w:pPr>
            <w:r w:rsidRPr="00DB55DD">
              <w:rPr>
                <w:sz w:val="20"/>
                <w:szCs w:val="20"/>
                <w:lang w:val="en-AU"/>
              </w:rPr>
              <w:t>While these averages show maintenance of financial commitment to education, it does disguise some variation between districts, provinces and islands. Comparison of the fluctuations of individual districts may not be useful as their expenditure may be significantly affected by one-off large annual investments.</w:t>
            </w:r>
          </w:p>
          <w:p w:rsidR="00BB0D64" w:rsidRPr="00DB55DD" w:rsidRDefault="00BB0D64" w:rsidP="00DB55DD">
            <w:pPr>
              <w:pStyle w:val="ListParagraph"/>
              <w:numPr>
                <w:ilvl w:val="0"/>
                <w:numId w:val="12"/>
              </w:numPr>
              <w:spacing w:after="60" w:line="240" w:lineRule="auto"/>
              <w:ind w:left="284" w:hanging="284"/>
              <w:contextualSpacing w:val="0"/>
              <w:jc w:val="both"/>
              <w:rPr>
                <w:sz w:val="20"/>
                <w:szCs w:val="20"/>
                <w:lang w:val="en-AU"/>
              </w:rPr>
            </w:pPr>
            <w:r w:rsidRPr="00DB55DD">
              <w:rPr>
                <w:sz w:val="20"/>
                <w:szCs w:val="20"/>
                <w:lang w:val="en-AU"/>
              </w:rPr>
              <w:t xml:space="preserve">The lowest average share of budget allocation for education was found in Papua (16%) and Maluku island group (25%). While Maluku has shown growth since 2010, Papua has dropped again from an 18% education share of district budgets in 2010 to 16% in 2012. </w:t>
            </w:r>
          </w:p>
          <w:p w:rsidR="00BB0D64" w:rsidRPr="00DB55DD" w:rsidRDefault="00BB0D64" w:rsidP="00DB55DD">
            <w:pPr>
              <w:pStyle w:val="ListParagraph"/>
              <w:numPr>
                <w:ilvl w:val="0"/>
                <w:numId w:val="12"/>
              </w:numPr>
              <w:spacing w:after="60" w:line="240" w:lineRule="auto"/>
              <w:ind w:left="284" w:hanging="284"/>
              <w:contextualSpacing w:val="0"/>
              <w:jc w:val="both"/>
              <w:rPr>
                <w:sz w:val="20"/>
                <w:szCs w:val="20"/>
                <w:lang w:val="en-AU"/>
              </w:rPr>
            </w:pPr>
            <w:r w:rsidRPr="00DB55DD">
              <w:rPr>
                <w:sz w:val="20"/>
                <w:szCs w:val="20"/>
                <w:lang w:val="en-AU"/>
              </w:rPr>
              <w:t>Districts in Bali had a significant drop in the average education share of district budgets</w:t>
            </w:r>
            <w:r w:rsidR="00103992" w:rsidRPr="00DB55DD">
              <w:rPr>
                <w:sz w:val="20"/>
                <w:szCs w:val="20"/>
                <w:lang w:val="en-AU"/>
              </w:rPr>
              <w:t>,</w:t>
            </w:r>
            <w:r w:rsidRPr="00DB55DD">
              <w:rPr>
                <w:sz w:val="20"/>
                <w:szCs w:val="20"/>
                <w:lang w:val="en-AU"/>
              </w:rPr>
              <w:t xml:space="preserve"> from 39% in 2011 to 34% in 2012.</w:t>
            </w:r>
          </w:p>
          <w:p w:rsidR="00BB0D64" w:rsidRPr="00DB55DD" w:rsidRDefault="00BB0D64" w:rsidP="00DB55DD">
            <w:pPr>
              <w:pStyle w:val="ListParagraph"/>
              <w:numPr>
                <w:ilvl w:val="0"/>
                <w:numId w:val="12"/>
              </w:numPr>
              <w:spacing w:after="60" w:line="240" w:lineRule="auto"/>
              <w:ind w:left="284" w:hanging="284"/>
              <w:contextualSpacing w:val="0"/>
              <w:jc w:val="both"/>
              <w:rPr>
                <w:sz w:val="20"/>
                <w:szCs w:val="20"/>
                <w:lang w:val="en-AU"/>
              </w:rPr>
            </w:pPr>
            <w:r w:rsidRPr="00DB55DD">
              <w:rPr>
                <w:sz w:val="20"/>
                <w:szCs w:val="20"/>
                <w:lang w:val="en-AU"/>
              </w:rPr>
              <w:t>The island groups of Sulawesi, Kalimantan and Maluku went in the opposite direction and posted annual increases in the education share of district expenditures in 2012.</w:t>
            </w:r>
          </w:p>
          <w:p w:rsidR="00BB0D64" w:rsidRPr="00DB55DD" w:rsidRDefault="00BB0D64" w:rsidP="00DB55DD">
            <w:pPr>
              <w:pStyle w:val="ListParagraph"/>
              <w:numPr>
                <w:ilvl w:val="0"/>
                <w:numId w:val="12"/>
              </w:numPr>
              <w:spacing w:after="60" w:line="240" w:lineRule="auto"/>
              <w:ind w:left="284" w:hanging="284"/>
              <w:contextualSpacing w:val="0"/>
              <w:jc w:val="both"/>
              <w:rPr>
                <w:sz w:val="20"/>
                <w:szCs w:val="20"/>
                <w:lang w:val="en-AU"/>
              </w:rPr>
            </w:pPr>
            <w:r w:rsidRPr="00DB55DD">
              <w:rPr>
                <w:sz w:val="20"/>
                <w:szCs w:val="20"/>
                <w:lang w:val="en-AU"/>
              </w:rPr>
              <w:t xml:space="preserve">Nationally, 30 districts allocated less than 15% of their total district budget (APBD) </w:t>
            </w:r>
            <w:r w:rsidR="00103992" w:rsidRPr="00DB55DD">
              <w:rPr>
                <w:sz w:val="20"/>
                <w:szCs w:val="20"/>
                <w:lang w:val="en-AU"/>
              </w:rPr>
              <w:t xml:space="preserve">to </w:t>
            </w:r>
            <w:r w:rsidRPr="00DB55DD">
              <w:rPr>
                <w:sz w:val="20"/>
                <w:szCs w:val="20"/>
                <w:lang w:val="en-AU"/>
              </w:rPr>
              <w:t>education in 2012. Of the 30 districts, 22 are in the poorest quintile, and 17 of these are found in Papua.</w:t>
            </w:r>
          </w:p>
          <w:p w:rsidR="00BB0D64" w:rsidRPr="00DB55DD" w:rsidRDefault="00103992" w:rsidP="00DB55DD">
            <w:pPr>
              <w:pStyle w:val="ListParagraph"/>
              <w:numPr>
                <w:ilvl w:val="0"/>
                <w:numId w:val="12"/>
              </w:numPr>
              <w:spacing w:after="60" w:line="240" w:lineRule="auto"/>
              <w:ind w:left="284" w:hanging="284"/>
              <w:contextualSpacing w:val="0"/>
              <w:jc w:val="both"/>
              <w:rPr>
                <w:sz w:val="20"/>
                <w:szCs w:val="20"/>
                <w:lang w:val="en-AU"/>
              </w:rPr>
            </w:pPr>
            <w:r w:rsidRPr="00DB55DD">
              <w:rPr>
                <w:sz w:val="20"/>
                <w:szCs w:val="20"/>
                <w:lang w:val="en-AU"/>
              </w:rPr>
              <w:t xml:space="preserve">Nineteen </w:t>
            </w:r>
            <w:r w:rsidR="00BB0D64" w:rsidRPr="00DB55DD">
              <w:rPr>
                <w:sz w:val="20"/>
                <w:szCs w:val="20"/>
                <w:lang w:val="en-AU"/>
              </w:rPr>
              <w:t xml:space="preserve">districts allocated less than 15% of their total district budget (APBD) </w:t>
            </w:r>
            <w:r w:rsidRPr="00DB55DD">
              <w:rPr>
                <w:sz w:val="20"/>
                <w:szCs w:val="20"/>
                <w:lang w:val="en-AU"/>
              </w:rPr>
              <w:t xml:space="preserve">to </w:t>
            </w:r>
            <w:r w:rsidR="00BB0D64" w:rsidRPr="00DB55DD">
              <w:rPr>
                <w:sz w:val="20"/>
                <w:szCs w:val="20"/>
                <w:lang w:val="en-AU"/>
              </w:rPr>
              <w:t xml:space="preserve">education </w:t>
            </w:r>
            <w:r w:rsidRPr="00DB55DD">
              <w:rPr>
                <w:sz w:val="20"/>
                <w:szCs w:val="20"/>
                <w:lang w:val="en-AU"/>
              </w:rPr>
              <w:t xml:space="preserve">for </w:t>
            </w:r>
            <w:r w:rsidR="00BB0D64" w:rsidRPr="00DB55DD">
              <w:rPr>
                <w:sz w:val="20"/>
                <w:szCs w:val="20"/>
                <w:lang w:val="en-AU"/>
              </w:rPr>
              <w:t>four years in a row during the period 2009-2012.</w:t>
            </w:r>
          </w:p>
          <w:p w:rsidR="00BB0D64" w:rsidRPr="00DB55DD" w:rsidRDefault="00BB0D64" w:rsidP="00DB55DD">
            <w:pPr>
              <w:pStyle w:val="ListParagraph"/>
              <w:numPr>
                <w:ilvl w:val="0"/>
                <w:numId w:val="12"/>
              </w:numPr>
              <w:spacing w:after="60" w:line="240" w:lineRule="auto"/>
              <w:ind w:left="284" w:hanging="284"/>
              <w:contextualSpacing w:val="0"/>
              <w:jc w:val="both"/>
              <w:rPr>
                <w:sz w:val="20"/>
                <w:szCs w:val="20"/>
                <w:lang w:val="en-AU"/>
              </w:rPr>
            </w:pPr>
            <w:r w:rsidRPr="00DB55DD">
              <w:rPr>
                <w:sz w:val="20"/>
                <w:szCs w:val="20"/>
                <w:lang w:val="en-AU"/>
              </w:rPr>
              <w:t>Analysis of districts by their poverty quintile, shows that the poorest districts have consistently committed the lowest proportion of their budget (average 31% in 2012) towards education during the period 2006-2012.</w:t>
            </w:r>
          </w:p>
          <w:p w:rsidR="006A4E0A" w:rsidRPr="00DB55DD" w:rsidRDefault="00BB0D64" w:rsidP="00DB55DD">
            <w:pPr>
              <w:pStyle w:val="ListParagraph"/>
              <w:numPr>
                <w:ilvl w:val="0"/>
                <w:numId w:val="12"/>
              </w:numPr>
              <w:spacing w:after="60" w:line="240" w:lineRule="auto"/>
              <w:ind w:left="284" w:hanging="284"/>
              <w:contextualSpacing w:val="0"/>
              <w:jc w:val="both"/>
              <w:rPr>
                <w:sz w:val="20"/>
                <w:szCs w:val="20"/>
                <w:lang w:val="en-AU"/>
              </w:rPr>
            </w:pPr>
            <w:r w:rsidRPr="00DB55DD">
              <w:rPr>
                <w:sz w:val="20"/>
                <w:szCs w:val="20"/>
                <w:lang w:val="en-AU"/>
              </w:rPr>
              <w:t>The poorest quintiles (4 and 5) are the ones to have record</w:t>
            </w:r>
            <w:r w:rsidR="00F63E0B" w:rsidRPr="00DB55DD">
              <w:rPr>
                <w:sz w:val="20"/>
                <w:szCs w:val="20"/>
                <w:lang w:val="en-AU"/>
              </w:rPr>
              <w:t>ed the biggest annual drop</w:t>
            </w:r>
            <w:r w:rsidRPr="00DB55DD">
              <w:rPr>
                <w:sz w:val="20"/>
                <w:szCs w:val="20"/>
                <w:lang w:val="en-AU"/>
              </w:rPr>
              <w:t xml:space="preserve"> in the education share of district expenditures.</w:t>
            </w:r>
          </w:p>
        </w:tc>
      </w:tr>
      <w:tr w:rsidR="006A4E0A" w:rsidRPr="00DB55DD" w:rsidTr="00DB55DD">
        <w:trPr>
          <w:jc w:val="center"/>
        </w:trPr>
        <w:tc>
          <w:tcPr>
            <w:tcW w:w="1000" w:type="pct"/>
            <w:shd w:val="clear" w:color="auto" w:fill="BFBFBF" w:themeFill="background1" w:themeFillShade="BF"/>
            <w:vAlign w:val="center"/>
          </w:tcPr>
          <w:p w:rsidR="006A4E0A" w:rsidRPr="00DB55DD" w:rsidRDefault="006A4E0A" w:rsidP="00DB55DD">
            <w:pPr>
              <w:spacing w:after="0"/>
              <w:jc w:val="center"/>
              <w:rPr>
                <w:sz w:val="20"/>
                <w:szCs w:val="20"/>
                <w:lang w:val="en-AU"/>
              </w:rPr>
            </w:pPr>
            <w:r w:rsidRPr="00DB55DD">
              <w:rPr>
                <w:sz w:val="20"/>
                <w:szCs w:val="20"/>
                <w:lang w:val="en-AU"/>
              </w:rPr>
              <w:t>Observations about EP districts</w:t>
            </w:r>
          </w:p>
        </w:tc>
        <w:tc>
          <w:tcPr>
            <w:tcW w:w="7216" w:type="dxa"/>
            <w:gridSpan w:val="3"/>
            <w:vAlign w:val="center"/>
          </w:tcPr>
          <w:p w:rsidR="006A4E0A" w:rsidRPr="00DB55DD" w:rsidRDefault="00F63E0B" w:rsidP="00DB55DD">
            <w:pPr>
              <w:pStyle w:val="ListParagraph"/>
              <w:numPr>
                <w:ilvl w:val="0"/>
                <w:numId w:val="12"/>
              </w:numPr>
              <w:spacing w:after="60" w:line="240" w:lineRule="auto"/>
              <w:ind w:left="284" w:hanging="284"/>
              <w:contextualSpacing w:val="0"/>
              <w:jc w:val="both"/>
              <w:rPr>
                <w:sz w:val="20"/>
                <w:szCs w:val="20"/>
                <w:lang w:val="en-AU"/>
              </w:rPr>
            </w:pPr>
            <w:r w:rsidRPr="00DB55DD">
              <w:rPr>
                <w:sz w:val="20"/>
                <w:szCs w:val="20"/>
                <w:lang w:val="en-AU"/>
              </w:rPr>
              <w:t>On average, the EP districts committ</w:t>
            </w:r>
            <w:r w:rsidR="00103992" w:rsidRPr="00DB55DD">
              <w:rPr>
                <w:sz w:val="20"/>
                <w:szCs w:val="20"/>
                <w:lang w:val="en-AU"/>
              </w:rPr>
              <w:t>ed</w:t>
            </w:r>
            <w:r w:rsidRPr="00DB55DD">
              <w:rPr>
                <w:sz w:val="20"/>
                <w:szCs w:val="20"/>
                <w:lang w:val="en-AU"/>
              </w:rPr>
              <w:t xml:space="preserve"> a greater proportion of their budget towards education than the non-participating districts. On average</w:t>
            </w:r>
            <w:r w:rsidR="007168AC" w:rsidRPr="00DB55DD">
              <w:rPr>
                <w:sz w:val="20"/>
                <w:szCs w:val="20"/>
                <w:lang w:val="en-AU"/>
              </w:rPr>
              <w:t>, Component</w:t>
            </w:r>
            <w:r w:rsidRPr="00DB55DD">
              <w:rPr>
                <w:sz w:val="20"/>
                <w:szCs w:val="20"/>
                <w:lang w:val="en-AU"/>
              </w:rPr>
              <w:t xml:space="preserve"> 1 districts allocated 39% of their budget in 2012</w:t>
            </w:r>
            <w:r w:rsidR="00103992" w:rsidRPr="00DB55DD">
              <w:rPr>
                <w:sz w:val="20"/>
                <w:szCs w:val="20"/>
                <w:lang w:val="en-AU"/>
              </w:rPr>
              <w:t>,</w:t>
            </w:r>
            <w:r w:rsidRPr="00DB55DD">
              <w:rPr>
                <w:sz w:val="20"/>
                <w:szCs w:val="20"/>
                <w:lang w:val="en-AU"/>
              </w:rPr>
              <w:t xml:space="preserve"> compared with 32% for the non-participating districts.</w:t>
            </w:r>
          </w:p>
          <w:p w:rsidR="00F63E0B" w:rsidRPr="00DB55DD" w:rsidRDefault="00103992" w:rsidP="00DB55DD">
            <w:pPr>
              <w:pStyle w:val="ListParagraph"/>
              <w:numPr>
                <w:ilvl w:val="0"/>
                <w:numId w:val="12"/>
              </w:numPr>
              <w:spacing w:after="60" w:line="240" w:lineRule="auto"/>
              <w:ind w:left="284" w:hanging="284"/>
              <w:contextualSpacing w:val="0"/>
              <w:jc w:val="both"/>
              <w:rPr>
                <w:sz w:val="20"/>
                <w:szCs w:val="20"/>
                <w:lang w:val="en-AU"/>
              </w:rPr>
            </w:pPr>
            <w:r w:rsidRPr="00DB55DD">
              <w:rPr>
                <w:sz w:val="20"/>
                <w:szCs w:val="20"/>
                <w:lang w:val="en-AU"/>
              </w:rPr>
              <w:t>E</w:t>
            </w:r>
            <w:r w:rsidR="00F63E0B" w:rsidRPr="00DB55DD">
              <w:rPr>
                <w:sz w:val="20"/>
                <w:szCs w:val="20"/>
                <w:lang w:val="en-AU"/>
              </w:rPr>
              <w:t xml:space="preserve">ighteen EP districts contributed less than the 20% national target </w:t>
            </w:r>
            <w:r w:rsidRPr="00DB55DD">
              <w:rPr>
                <w:sz w:val="20"/>
                <w:szCs w:val="20"/>
                <w:lang w:val="en-AU"/>
              </w:rPr>
              <w:t xml:space="preserve">to </w:t>
            </w:r>
            <w:r w:rsidR="00F63E0B" w:rsidRPr="00DB55DD">
              <w:rPr>
                <w:sz w:val="20"/>
                <w:szCs w:val="20"/>
                <w:lang w:val="en-AU"/>
              </w:rPr>
              <w:t>education</w:t>
            </w:r>
            <w:r w:rsidRPr="00DB55DD">
              <w:rPr>
                <w:sz w:val="20"/>
                <w:szCs w:val="20"/>
                <w:lang w:val="en-AU"/>
              </w:rPr>
              <w:t>. They were also</w:t>
            </w:r>
            <w:r w:rsidR="003049B1" w:rsidRPr="00DB55DD">
              <w:rPr>
                <w:sz w:val="20"/>
                <w:szCs w:val="20"/>
                <w:lang w:val="en-AU"/>
              </w:rPr>
              <w:t xml:space="preserve"> </w:t>
            </w:r>
            <w:r w:rsidR="00F63E0B" w:rsidRPr="00DB55DD">
              <w:rPr>
                <w:sz w:val="20"/>
                <w:szCs w:val="20"/>
                <w:lang w:val="en-AU"/>
              </w:rPr>
              <w:t>considerably lower than the national average of 35% for education in 2012.</w:t>
            </w:r>
          </w:p>
          <w:p w:rsidR="00F63E0B" w:rsidRPr="00DB55DD" w:rsidRDefault="00F63E0B" w:rsidP="00DB55DD">
            <w:pPr>
              <w:pStyle w:val="ListParagraph"/>
              <w:numPr>
                <w:ilvl w:val="0"/>
                <w:numId w:val="12"/>
              </w:numPr>
              <w:spacing w:after="60" w:line="240" w:lineRule="auto"/>
              <w:ind w:left="284" w:hanging="284"/>
              <w:contextualSpacing w:val="0"/>
              <w:jc w:val="both"/>
              <w:rPr>
                <w:rFonts w:ascii="Gill Sans MT" w:hAnsi="Gill Sans MT" w:cs="Calibri"/>
                <w:sz w:val="20"/>
                <w:szCs w:val="20"/>
                <w:lang w:val="en-AU"/>
              </w:rPr>
            </w:pPr>
            <w:r w:rsidRPr="00DB55DD">
              <w:rPr>
                <w:sz w:val="20"/>
                <w:szCs w:val="20"/>
                <w:lang w:val="en-AU"/>
              </w:rPr>
              <w:t xml:space="preserve">Reflecting a positive high level of financial commitment towards education, 36 EP </w:t>
            </w:r>
            <w:r w:rsidRPr="00DB55DD">
              <w:rPr>
                <w:sz w:val="20"/>
                <w:szCs w:val="20"/>
                <w:lang w:val="en-AU"/>
              </w:rPr>
              <w:lastRenderedPageBreak/>
              <w:t>districts committed more than 50% of their total district budget towards education</w:t>
            </w:r>
            <w:r w:rsidR="00103992" w:rsidRPr="00DB55DD">
              <w:rPr>
                <w:sz w:val="20"/>
                <w:szCs w:val="20"/>
                <w:lang w:val="en-AU"/>
              </w:rPr>
              <w:t xml:space="preserve"> in 2012</w:t>
            </w:r>
            <w:r w:rsidRPr="00DB55DD">
              <w:rPr>
                <w:sz w:val="20"/>
                <w:szCs w:val="20"/>
                <w:lang w:val="en-AU"/>
              </w:rPr>
              <w:t>.</w:t>
            </w:r>
          </w:p>
        </w:tc>
      </w:tr>
      <w:tr w:rsidR="006A4E0A" w:rsidRPr="00DB55DD" w:rsidTr="00DB55DD">
        <w:trPr>
          <w:jc w:val="center"/>
        </w:trPr>
        <w:tc>
          <w:tcPr>
            <w:tcW w:w="1000" w:type="pct"/>
            <w:shd w:val="clear" w:color="auto" w:fill="BFBFBF" w:themeFill="background1" w:themeFillShade="BF"/>
            <w:vAlign w:val="center"/>
          </w:tcPr>
          <w:p w:rsidR="006A4E0A" w:rsidRPr="00DB55DD" w:rsidRDefault="006A4E0A" w:rsidP="00DB55DD">
            <w:pPr>
              <w:spacing w:after="0"/>
              <w:jc w:val="center"/>
              <w:rPr>
                <w:sz w:val="20"/>
                <w:szCs w:val="20"/>
                <w:lang w:val="en-AU"/>
              </w:rPr>
            </w:pPr>
            <w:r w:rsidRPr="00DB55DD">
              <w:rPr>
                <w:sz w:val="20"/>
                <w:szCs w:val="20"/>
                <w:lang w:val="en-AU"/>
              </w:rPr>
              <w:lastRenderedPageBreak/>
              <w:t>Observations about AIBEP districts</w:t>
            </w:r>
          </w:p>
        </w:tc>
        <w:tc>
          <w:tcPr>
            <w:tcW w:w="7216" w:type="dxa"/>
            <w:gridSpan w:val="3"/>
            <w:vAlign w:val="center"/>
          </w:tcPr>
          <w:p w:rsidR="006A4E0A" w:rsidRPr="00DB55DD" w:rsidRDefault="00F63E0B" w:rsidP="00DB55DD">
            <w:pPr>
              <w:pStyle w:val="ListParagraph"/>
              <w:numPr>
                <w:ilvl w:val="0"/>
                <w:numId w:val="12"/>
              </w:numPr>
              <w:spacing w:after="0" w:line="240" w:lineRule="auto"/>
              <w:contextualSpacing w:val="0"/>
              <w:jc w:val="both"/>
              <w:rPr>
                <w:sz w:val="20"/>
                <w:szCs w:val="20"/>
                <w:lang w:val="en-AU"/>
              </w:rPr>
            </w:pPr>
            <w:r w:rsidRPr="00DB55DD">
              <w:rPr>
                <w:sz w:val="20"/>
                <w:szCs w:val="20"/>
                <w:lang w:val="en-AU"/>
              </w:rPr>
              <w:t>Most positively, the poorest BEP districts have increased their education share of expenditures from 28% in 2009 to 35% by 2012.</w:t>
            </w:r>
          </w:p>
          <w:p w:rsidR="00F63E0B" w:rsidRPr="00DB55DD" w:rsidRDefault="00F63E0B" w:rsidP="00DB55DD">
            <w:pPr>
              <w:pStyle w:val="ListParagraph"/>
              <w:numPr>
                <w:ilvl w:val="0"/>
                <w:numId w:val="12"/>
              </w:numPr>
              <w:spacing w:after="0" w:line="240" w:lineRule="auto"/>
              <w:contextualSpacing w:val="0"/>
              <w:jc w:val="both"/>
              <w:rPr>
                <w:sz w:val="20"/>
                <w:szCs w:val="20"/>
                <w:lang w:val="en-AU"/>
              </w:rPr>
            </w:pPr>
            <w:r w:rsidRPr="00DB55DD">
              <w:rPr>
                <w:sz w:val="20"/>
                <w:szCs w:val="20"/>
                <w:lang w:val="en-AU"/>
              </w:rPr>
              <w:t>More negatively, from 2009 to 2012 there are nine (9) BEP districts which have dedicated less than 20% of their budget towards education in every year. Most of the BEP districts that report spending less than 20% of their budget on education are located on Maluku.</w:t>
            </w:r>
          </w:p>
        </w:tc>
      </w:tr>
      <w:tr w:rsidR="006A4E0A" w:rsidRPr="00DB55DD" w:rsidTr="00DB55DD">
        <w:trPr>
          <w:tblHeader/>
          <w:jc w:val="center"/>
        </w:trPr>
        <w:tc>
          <w:tcPr>
            <w:tcW w:w="9019" w:type="dxa"/>
            <w:gridSpan w:val="4"/>
            <w:tcBorders>
              <w:bottom w:val="single" w:sz="4" w:space="0" w:color="auto"/>
            </w:tcBorders>
            <w:shd w:val="clear" w:color="auto" w:fill="68BAD6"/>
            <w:vAlign w:val="center"/>
          </w:tcPr>
          <w:p w:rsidR="006A4E0A" w:rsidRPr="00DB55DD" w:rsidRDefault="00DB55DD" w:rsidP="00DB55DD">
            <w:pPr>
              <w:spacing w:after="0"/>
              <w:jc w:val="center"/>
              <w:rPr>
                <w:rFonts w:asciiTheme="minorHAnsi" w:hAnsiTheme="minorHAnsi" w:cstheme="minorHAnsi"/>
                <w:b/>
                <w:color w:val="FFFFFF" w:themeColor="background1"/>
                <w:sz w:val="20"/>
                <w:szCs w:val="20"/>
                <w:lang w:val="en-US"/>
              </w:rPr>
            </w:pPr>
            <w:r w:rsidRPr="00DB55DD">
              <w:rPr>
                <w:rFonts w:asciiTheme="minorHAnsi" w:hAnsiTheme="minorHAnsi" w:cstheme="minorHAnsi"/>
                <w:b/>
                <w:sz w:val="20"/>
                <w:szCs w:val="20"/>
                <w:lang w:val="en-US"/>
              </w:rPr>
              <w:t>IMPLICATIONS AND MATTERS ARISING</w:t>
            </w:r>
          </w:p>
        </w:tc>
      </w:tr>
      <w:tr w:rsidR="006A4E0A" w:rsidRPr="00DB55DD" w:rsidTr="00DB55DD">
        <w:trPr>
          <w:jc w:val="center"/>
        </w:trPr>
        <w:tc>
          <w:tcPr>
            <w:tcW w:w="1000" w:type="pct"/>
            <w:shd w:val="clear" w:color="auto" w:fill="BFBFBF" w:themeFill="background1" w:themeFillShade="BF"/>
            <w:vAlign w:val="center"/>
          </w:tcPr>
          <w:p w:rsidR="006A4E0A" w:rsidRPr="00DB55DD" w:rsidRDefault="006A4E0A" w:rsidP="00DB55DD">
            <w:pPr>
              <w:spacing w:after="0"/>
              <w:jc w:val="center"/>
              <w:rPr>
                <w:sz w:val="20"/>
                <w:szCs w:val="20"/>
                <w:lang w:val="en-AU"/>
              </w:rPr>
            </w:pPr>
            <w:r w:rsidRPr="00DB55DD">
              <w:rPr>
                <w:sz w:val="20"/>
                <w:szCs w:val="20"/>
                <w:lang w:val="en-AU"/>
              </w:rPr>
              <w:t>For the performance of the education sector</w:t>
            </w:r>
          </w:p>
        </w:tc>
        <w:tc>
          <w:tcPr>
            <w:tcW w:w="7216" w:type="dxa"/>
            <w:gridSpan w:val="3"/>
            <w:vAlign w:val="center"/>
          </w:tcPr>
          <w:p w:rsidR="00E1246F" w:rsidRPr="00DB55DD" w:rsidRDefault="00E1246F" w:rsidP="00DB55DD">
            <w:pPr>
              <w:pStyle w:val="ListParagraph"/>
              <w:numPr>
                <w:ilvl w:val="0"/>
                <w:numId w:val="12"/>
              </w:numPr>
              <w:spacing w:after="60" w:line="240" w:lineRule="auto"/>
              <w:ind w:left="284" w:hanging="284"/>
              <w:contextualSpacing w:val="0"/>
              <w:jc w:val="both"/>
              <w:rPr>
                <w:sz w:val="20"/>
                <w:szCs w:val="20"/>
                <w:lang w:val="en-AU"/>
              </w:rPr>
            </w:pPr>
            <w:r w:rsidRPr="00DB55DD">
              <w:rPr>
                <w:sz w:val="20"/>
                <w:szCs w:val="20"/>
                <w:lang w:val="en-AU"/>
              </w:rPr>
              <w:t xml:space="preserve">The recurring concern is that some districts with the highest poverty rates are persistently allocating a significantly smaller share (less than 15%) of resources for education than the national average. </w:t>
            </w:r>
          </w:p>
          <w:p w:rsidR="006A4E0A" w:rsidRPr="00DB55DD" w:rsidRDefault="00E1246F" w:rsidP="00DB55DD">
            <w:pPr>
              <w:pStyle w:val="ListParagraph"/>
              <w:numPr>
                <w:ilvl w:val="0"/>
                <w:numId w:val="12"/>
              </w:numPr>
              <w:spacing w:after="60" w:line="240" w:lineRule="auto"/>
              <w:ind w:left="284" w:hanging="284"/>
              <w:contextualSpacing w:val="0"/>
              <w:jc w:val="both"/>
              <w:rPr>
                <w:rFonts w:ascii="Gill Sans MT" w:hAnsi="Gill Sans MT" w:cs="Calibri"/>
                <w:sz w:val="20"/>
                <w:szCs w:val="20"/>
                <w:lang w:val="en-AU"/>
              </w:rPr>
            </w:pPr>
            <w:r w:rsidRPr="00DB55DD">
              <w:rPr>
                <w:sz w:val="20"/>
                <w:szCs w:val="20"/>
                <w:lang w:val="en-AU"/>
              </w:rPr>
              <w:t>Papua and Maluku stand out a</w:t>
            </w:r>
            <w:r w:rsidR="000A4055" w:rsidRPr="00DB55DD">
              <w:rPr>
                <w:sz w:val="20"/>
                <w:szCs w:val="20"/>
                <w:lang w:val="en-AU"/>
              </w:rPr>
              <w:t xml:space="preserve">s two provinces that spend the </w:t>
            </w:r>
            <w:r w:rsidRPr="00DB55DD">
              <w:rPr>
                <w:sz w:val="20"/>
                <w:szCs w:val="20"/>
                <w:lang w:val="en-AU"/>
              </w:rPr>
              <w:t>l</w:t>
            </w:r>
            <w:r w:rsidR="000A4055" w:rsidRPr="00DB55DD">
              <w:rPr>
                <w:sz w:val="20"/>
                <w:szCs w:val="20"/>
                <w:lang w:val="en-AU"/>
              </w:rPr>
              <w:t>e</w:t>
            </w:r>
            <w:r w:rsidRPr="00DB55DD">
              <w:rPr>
                <w:sz w:val="20"/>
                <w:szCs w:val="20"/>
                <w:lang w:val="en-AU"/>
              </w:rPr>
              <w:t xml:space="preserve">ast </w:t>
            </w:r>
            <w:r w:rsidR="00103992" w:rsidRPr="00DB55DD">
              <w:rPr>
                <w:sz w:val="20"/>
                <w:szCs w:val="20"/>
                <w:lang w:val="en-AU"/>
              </w:rPr>
              <w:t xml:space="preserve">on </w:t>
            </w:r>
            <w:r w:rsidRPr="00DB55DD">
              <w:rPr>
                <w:sz w:val="20"/>
                <w:szCs w:val="20"/>
                <w:lang w:val="en-AU"/>
              </w:rPr>
              <w:t xml:space="preserve">education as a proportion of total district funds </w:t>
            </w:r>
          </w:p>
        </w:tc>
      </w:tr>
      <w:tr w:rsidR="006A4E0A" w:rsidRPr="00DB55DD" w:rsidTr="00DB55DD">
        <w:trPr>
          <w:jc w:val="center"/>
        </w:trPr>
        <w:tc>
          <w:tcPr>
            <w:tcW w:w="1000" w:type="pct"/>
            <w:shd w:val="clear" w:color="auto" w:fill="BFBFBF" w:themeFill="background1" w:themeFillShade="BF"/>
            <w:vAlign w:val="center"/>
          </w:tcPr>
          <w:p w:rsidR="006A4E0A" w:rsidRPr="00DB55DD" w:rsidRDefault="006A4E0A" w:rsidP="00DB55DD">
            <w:pPr>
              <w:spacing w:after="0"/>
              <w:jc w:val="center"/>
              <w:rPr>
                <w:sz w:val="20"/>
                <w:szCs w:val="20"/>
                <w:lang w:val="en-AU"/>
              </w:rPr>
            </w:pPr>
            <w:r w:rsidRPr="00DB55DD">
              <w:rPr>
                <w:sz w:val="20"/>
                <w:szCs w:val="20"/>
                <w:lang w:val="en-AU"/>
              </w:rPr>
              <w:t>For the performance of the Education Partnership</w:t>
            </w:r>
          </w:p>
        </w:tc>
        <w:tc>
          <w:tcPr>
            <w:tcW w:w="7216" w:type="dxa"/>
            <w:gridSpan w:val="3"/>
            <w:vAlign w:val="center"/>
          </w:tcPr>
          <w:p w:rsidR="006A4E0A" w:rsidRPr="00DB55DD" w:rsidRDefault="000A4055" w:rsidP="00DB55DD">
            <w:pPr>
              <w:pStyle w:val="ListParagraph"/>
              <w:numPr>
                <w:ilvl w:val="0"/>
                <w:numId w:val="12"/>
              </w:numPr>
              <w:spacing w:after="60" w:line="240" w:lineRule="auto"/>
              <w:ind w:left="284" w:hanging="284"/>
              <w:contextualSpacing w:val="0"/>
              <w:jc w:val="both"/>
              <w:rPr>
                <w:sz w:val="20"/>
                <w:szCs w:val="20"/>
                <w:lang w:val="en-AU"/>
              </w:rPr>
            </w:pPr>
            <w:r w:rsidRPr="00DB55DD">
              <w:rPr>
                <w:sz w:val="20"/>
                <w:szCs w:val="20"/>
                <w:lang w:val="en-AU"/>
              </w:rPr>
              <w:t xml:space="preserve">Focus diagnostic and policy response efforts on the Papua and Maluku island groups to understand and </w:t>
            </w:r>
            <w:r w:rsidR="00931A16" w:rsidRPr="00DB55DD">
              <w:rPr>
                <w:sz w:val="20"/>
                <w:szCs w:val="20"/>
                <w:lang w:val="en-AU"/>
              </w:rPr>
              <w:t xml:space="preserve">improve district school funding </w:t>
            </w:r>
            <w:r w:rsidRPr="00DB55DD">
              <w:rPr>
                <w:sz w:val="20"/>
                <w:szCs w:val="20"/>
                <w:lang w:val="en-AU"/>
              </w:rPr>
              <w:t>in the near future.</w:t>
            </w:r>
          </w:p>
        </w:tc>
      </w:tr>
    </w:tbl>
    <w:p w:rsidR="00486C1B" w:rsidRPr="00DB55DD" w:rsidRDefault="00486C1B" w:rsidP="00402A11">
      <w:pPr>
        <w:spacing w:before="360" w:line="276" w:lineRule="auto"/>
        <w:rPr>
          <w:rStyle w:val="IntenseEmphasis"/>
          <w:rFonts w:asciiTheme="minorHAnsi" w:hAnsiTheme="minorHAnsi" w:cstheme="minorHAnsi"/>
          <w:b w:val="0"/>
          <w:i w:val="0"/>
          <w:color w:val="003880"/>
          <w:sz w:val="24"/>
          <w:szCs w:val="28"/>
        </w:rPr>
      </w:pPr>
      <w:r w:rsidRPr="00DB55DD">
        <w:rPr>
          <w:rStyle w:val="IntenseEmphasis"/>
          <w:rFonts w:asciiTheme="minorHAnsi" w:hAnsiTheme="minorHAnsi" w:cstheme="minorHAnsi"/>
          <w:b w:val="0"/>
          <w:i w:val="0"/>
          <w:color w:val="003880"/>
          <w:sz w:val="24"/>
          <w:szCs w:val="28"/>
        </w:rPr>
        <w:t>Discussion</w:t>
      </w:r>
    </w:p>
    <w:p w:rsidR="006A4E0A" w:rsidRDefault="006A4E0A" w:rsidP="00402A11">
      <w:pPr>
        <w:spacing w:line="276" w:lineRule="auto"/>
        <w:jc w:val="both"/>
      </w:pPr>
      <w:r>
        <w:t>The average total district budget in 2012 (for all areas of expenditure, including education) grew by approximately Rp. 125 billion on 201</w:t>
      </w:r>
      <w:r w:rsidR="003049B1">
        <w:t>1</w:t>
      </w:r>
      <w:r>
        <w:t xml:space="preserve"> allocations (16% growth). This was faster than the growth in the education expenditure</w:t>
      </w:r>
      <w:r w:rsidR="00103992">
        <w:t>,</w:t>
      </w:r>
      <w:r>
        <w:t xml:space="preserve"> which grew at just over 11% year to year (2011-2012</w:t>
      </w:r>
      <w:r w:rsidR="003D0014">
        <w:t xml:space="preserve">; see Figure </w:t>
      </w:r>
      <w:r w:rsidR="008D3F0E">
        <w:t>1</w:t>
      </w:r>
      <w:r w:rsidR="009B6D6D">
        <w:t>0</w:t>
      </w:r>
      <w:r w:rsidR="003D0014">
        <w:t>, below</w:t>
      </w:r>
      <w:r>
        <w:t xml:space="preserve">). </w:t>
      </w:r>
    </w:p>
    <w:p w:rsidR="006A4E0A" w:rsidRDefault="006A4E0A" w:rsidP="00402A11">
      <w:pPr>
        <w:spacing w:line="276" w:lineRule="auto"/>
        <w:jc w:val="both"/>
      </w:pPr>
      <w:r>
        <w:t>While annual district education expenditure in 2012 grew by a healthy 11%, as a proportion of the total district budget, it dropped off on the previous year. This one off event needs to be considered in relation to the previous year when there was a massive growth in education expenditure (more than 30%) which was far greater than the annual growth in total district expenditures.</w:t>
      </w:r>
    </w:p>
    <w:p w:rsidR="006A4E0A" w:rsidRDefault="001A3FC6" w:rsidP="001A3FC6">
      <w:pPr>
        <w:pStyle w:val="Caption"/>
      </w:pPr>
      <w:bookmarkStart w:id="47" w:name="_Toc374182059"/>
      <w:bookmarkStart w:id="48" w:name="_Toc381604794"/>
      <w:r>
        <w:lastRenderedPageBreak/>
        <w:t>Figure 1</w:t>
      </w:r>
      <w:r w:rsidR="00962BFF">
        <w:t>0</w:t>
      </w:r>
      <w:r>
        <w:t xml:space="preserve">: </w:t>
      </w:r>
      <w:r w:rsidR="006A4E0A">
        <w:t>Average District APBD and APBD for Education, 2006-2012</w:t>
      </w:r>
      <w:bookmarkEnd w:id="47"/>
      <w:bookmarkEnd w:id="48"/>
    </w:p>
    <w:p w:rsidR="006A4E0A" w:rsidRPr="00B70EA1" w:rsidRDefault="006A4E0A" w:rsidP="00402A11">
      <w:pPr>
        <w:spacing w:after="360"/>
        <w:jc w:val="center"/>
      </w:pPr>
      <w:r>
        <w:rPr>
          <w:noProof/>
          <w:lang w:val="en-AU" w:eastAsia="en-AU"/>
        </w:rPr>
        <w:drawing>
          <wp:inline distT="0" distB="0" distL="0" distR="0" wp14:anchorId="2F07F35E" wp14:editId="5F101CC3">
            <wp:extent cx="5553075" cy="2809875"/>
            <wp:effectExtent l="19050" t="19050" r="9525"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66410" cy="2816623"/>
                    </a:xfrm>
                    <a:prstGeom prst="rect">
                      <a:avLst/>
                    </a:prstGeom>
                    <a:noFill/>
                    <a:ln>
                      <a:solidFill>
                        <a:schemeClr val="accent1"/>
                      </a:solidFill>
                    </a:ln>
                  </pic:spPr>
                </pic:pic>
              </a:graphicData>
            </a:graphic>
          </wp:inline>
        </w:drawing>
      </w:r>
    </w:p>
    <w:p w:rsidR="006A4E0A" w:rsidRDefault="006A4E0A" w:rsidP="00402A11">
      <w:pPr>
        <w:spacing w:line="276" w:lineRule="auto"/>
        <w:jc w:val="both"/>
      </w:pPr>
      <w:r>
        <w:t>Both urban and rural districts have retained a high allocation of the district budgets towards education (more than 34%). While rural districts have remained largely unchanged in their proportionate share for education, urban areas slightly dropped to 36%</w:t>
      </w:r>
      <w:r w:rsidR="003D0014">
        <w:t xml:space="preserve"> (see Figure 1</w:t>
      </w:r>
      <w:r w:rsidR="009B6D6D">
        <w:t>1</w:t>
      </w:r>
      <w:r w:rsidR="003D0014">
        <w:t>, below)</w:t>
      </w:r>
      <w:r>
        <w:t>.</w:t>
      </w:r>
    </w:p>
    <w:p w:rsidR="006A4E0A" w:rsidRDefault="001A3FC6" w:rsidP="001A3FC6">
      <w:pPr>
        <w:pStyle w:val="Caption"/>
      </w:pPr>
      <w:bookmarkStart w:id="49" w:name="_Toc374182060"/>
      <w:bookmarkStart w:id="50" w:name="_Toc381604795"/>
      <w:r>
        <w:t>Figure 1</w:t>
      </w:r>
      <w:r w:rsidR="00962BFF">
        <w:t>1</w:t>
      </w:r>
      <w:r>
        <w:t xml:space="preserve">: </w:t>
      </w:r>
      <w:r w:rsidR="006A4E0A">
        <w:t xml:space="preserve">Rural and Urban District </w:t>
      </w:r>
      <w:r w:rsidR="006A4E0A" w:rsidRPr="000E586C">
        <w:t>Educatio</w:t>
      </w:r>
      <w:r w:rsidR="006A4E0A">
        <w:t>n Expenditure as % of Total District Budget (APBD 2006-2012)</w:t>
      </w:r>
      <w:bookmarkEnd w:id="49"/>
      <w:bookmarkEnd w:id="50"/>
    </w:p>
    <w:p w:rsidR="006A4E0A" w:rsidRPr="001F7745" w:rsidRDefault="006A4E0A" w:rsidP="00402A11">
      <w:pPr>
        <w:spacing w:after="360"/>
        <w:jc w:val="center"/>
      </w:pPr>
      <w:r>
        <w:rPr>
          <w:noProof/>
          <w:lang w:val="en-AU" w:eastAsia="en-AU"/>
        </w:rPr>
        <w:drawing>
          <wp:inline distT="0" distB="0" distL="0" distR="0" wp14:anchorId="082C46DA" wp14:editId="25A6BCCA">
            <wp:extent cx="5553074" cy="2895600"/>
            <wp:effectExtent l="19050" t="19050" r="1016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66410" cy="2902554"/>
                    </a:xfrm>
                    <a:prstGeom prst="rect">
                      <a:avLst/>
                    </a:prstGeom>
                    <a:noFill/>
                    <a:ln>
                      <a:solidFill>
                        <a:schemeClr val="accent1"/>
                      </a:solidFill>
                    </a:ln>
                  </pic:spPr>
                </pic:pic>
              </a:graphicData>
            </a:graphic>
          </wp:inline>
        </w:drawing>
      </w:r>
    </w:p>
    <w:p w:rsidR="006A4E0A" w:rsidRDefault="006A4E0A" w:rsidP="00402A11">
      <w:pPr>
        <w:spacing w:line="276" w:lineRule="auto"/>
        <w:jc w:val="both"/>
      </w:pPr>
      <w:r>
        <w:t xml:space="preserve">Districts in most poverty quintiles </w:t>
      </w:r>
      <w:r w:rsidR="003D0014">
        <w:t>increased their</w:t>
      </w:r>
      <w:r>
        <w:t xml:space="preserve"> average allocation share for education between 2006 and 2011, with the single major exception of quintile 3 which had a significant fall, and the smaller decrease of poorest districts (quintile 5) in 2010</w:t>
      </w:r>
      <w:r w:rsidR="003D0014">
        <w:t xml:space="preserve"> (see Figure 1</w:t>
      </w:r>
      <w:r w:rsidR="009B6D6D">
        <w:t>2</w:t>
      </w:r>
      <w:r w:rsidR="003D0014">
        <w:t>, below)</w:t>
      </w:r>
      <w:r>
        <w:t>. The year 2011 marked a change with significant increases in the education share of district budgets across districts from all poverty quintiles.</w:t>
      </w:r>
    </w:p>
    <w:p w:rsidR="006A4E0A" w:rsidRDefault="006A4E0A" w:rsidP="00402A11">
      <w:pPr>
        <w:spacing w:line="276" w:lineRule="auto"/>
        <w:jc w:val="both"/>
      </w:pPr>
      <w:r>
        <w:lastRenderedPageBreak/>
        <w:t xml:space="preserve">In 2012 there is a change with reduced allocation share towards education across districts in all poverty quintiles except for the richest which recorded a small increase. </w:t>
      </w:r>
    </w:p>
    <w:p w:rsidR="006A4E0A" w:rsidRDefault="006A4E0A" w:rsidP="00402A11">
      <w:pPr>
        <w:spacing w:line="276" w:lineRule="auto"/>
        <w:jc w:val="both"/>
      </w:pPr>
      <w:r>
        <w:t>Poverty quintile analysis still shows that the poorest districts have consistently committed the lowest proportion of their budget (average 31%) towards education during the period 2006-2012.</w:t>
      </w:r>
    </w:p>
    <w:p w:rsidR="006A4E0A" w:rsidRDefault="006A4E0A" w:rsidP="00402A11">
      <w:pPr>
        <w:spacing w:line="276" w:lineRule="auto"/>
        <w:jc w:val="both"/>
      </w:pPr>
      <w:r>
        <w:t>More concerning is that the poorest quintiles (4 and 5) are the ones to have recorded the biggest drops in the education share of district expenditures. The poorest quintile has had the biggest drop and allocate</w:t>
      </w:r>
      <w:r w:rsidR="00060613">
        <w:t>s</w:t>
      </w:r>
      <w:r>
        <w:t xml:space="preserve"> less </w:t>
      </w:r>
      <w:r w:rsidR="00060613">
        <w:t xml:space="preserve">than any other quintile </w:t>
      </w:r>
      <w:r>
        <w:t>(31.5%).</w:t>
      </w:r>
    </w:p>
    <w:p w:rsidR="006A4E0A" w:rsidRDefault="001A3FC6" w:rsidP="001A3FC6">
      <w:pPr>
        <w:pStyle w:val="Caption"/>
      </w:pPr>
      <w:bookmarkStart w:id="51" w:name="_Toc374182061"/>
      <w:bookmarkStart w:id="52" w:name="_Toc381604796"/>
      <w:r>
        <w:t>Figure 1</w:t>
      </w:r>
      <w:r w:rsidR="00962BFF">
        <w:t>2</w:t>
      </w:r>
      <w:r>
        <w:t xml:space="preserve">: </w:t>
      </w:r>
      <w:r w:rsidR="006A4E0A">
        <w:t xml:space="preserve">Education </w:t>
      </w:r>
      <w:r w:rsidR="006A4E0A" w:rsidRPr="00E42689">
        <w:t>E</w:t>
      </w:r>
      <w:r w:rsidR="006A4E0A">
        <w:t>xpenditure as % of Total District Expenditure by Districts according to Poverty Quintile, (APBD 2006-2012)</w:t>
      </w:r>
      <w:bookmarkEnd w:id="51"/>
      <w:bookmarkEnd w:id="52"/>
    </w:p>
    <w:p w:rsidR="006A4E0A" w:rsidRDefault="006A4E0A" w:rsidP="00402A11">
      <w:pPr>
        <w:spacing w:after="360"/>
        <w:jc w:val="center"/>
      </w:pPr>
      <w:r>
        <w:rPr>
          <w:noProof/>
          <w:lang w:val="en-AU" w:eastAsia="en-AU"/>
        </w:rPr>
        <w:drawing>
          <wp:inline distT="0" distB="0" distL="0" distR="0" wp14:anchorId="08A54F94" wp14:editId="48EA8B1A">
            <wp:extent cx="5558693" cy="3152775"/>
            <wp:effectExtent l="19050" t="19050" r="2349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66410" cy="3157152"/>
                    </a:xfrm>
                    <a:prstGeom prst="rect">
                      <a:avLst/>
                    </a:prstGeom>
                    <a:noFill/>
                    <a:ln>
                      <a:solidFill>
                        <a:schemeClr val="accent1"/>
                      </a:solidFill>
                    </a:ln>
                  </pic:spPr>
                </pic:pic>
              </a:graphicData>
            </a:graphic>
          </wp:inline>
        </w:drawing>
      </w:r>
    </w:p>
    <w:p w:rsidR="006A4E0A" w:rsidRDefault="006A4E0A" w:rsidP="00402A11">
      <w:pPr>
        <w:spacing w:line="276" w:lineRule="auto"/>
        <w:jc w:val="both"/>
      </w:pPr>
      <w:r>
        <w:t xml:space="preserve">From 2009 onwards, the average size of district global budgets (for all sectors) directly corresponds to their poverty quintile status. The richest quintile districts have an average district budget in 2012 of Rp. 1.1 trillion compared to the poorest districts Rp. 700 trillion. The other three quintiles are distributed within this range according to their quintile rank. </w:t>
      </w:r>
    </w:p>
    <w:p w:rsidR="006A4E0A" w:rsidRDefault="006A4E0A" w:rsidP="00402A11">
      <w:pPr>
        <w:spacing w:line="276" w:lineRule="auto"/>
        <w:jc w:val="both"/>
      </w:pPr>
      <w:r>
        <w:t>In education expenditure, the poorest quintile districts are the clear outlier with an average district education budget of Rp. 216 trillion compared to the all the other quintiles which are grouped between Rp. 338 – 363 trillion</w:t>
      </w:r>
      <w:r w:rsidR="004A54AE">
        <w:t xml:space="preserve"> (see Figure 1</w:t>
      </w:r>
      <w:r w:rsidR="009B6D6D">
        <w:t>3</w:t>
      </w:r>
      <w:r w:rsidR="004A54AE">
        <w:t>)</w:t>
      </w:r>
      <w:r>
        <w:t xml:space="preserve">. </w:t>
      </w:r>
    </w:p>
    <w:p w:rsidR="006A4E0A" w:rsidRDefault="001A3FC6" w:rsidP="001A3FC6">
      <w:pPr>
        <w:pStyle w:val="Caption"/>
      </w:pPr>
      <w:bookmarkStart w:id="53" w:name="_Toc374182062"/>
      <w:bookmarkStart w:id="54" w:name="_Toc381604797"/>
      <w:r>
        <w:lastRenderedPageBreak/>
        <w:t>Figure 1</w:t>
      </w:r>
      <w:r w:rsidR="00962BFF">
        <w:t>3</w:t>
      </w:r>
      <w:r>
        <w:t xml:space="preserve">: </w:t>
      </w:r>
      <w:r w:rsidR="006A4E0A">
        <w:t>Average District APBD and APBD for Education, by poverty quintile 2006-2012</w:t>
      </w:r>
      <w:bookmarkEnd w:id="53"/>
      <w:bookmarkEnd w:id="54"/>
    </w:p>
    <w:p w:rsidR="006A4E0A" w:rsidRPr="00A524E7" w:rsidRDefault="006A4E0A" w:rsidP="00402A11">
      <w:pPr>
        <w:spacing w:after="360"/>
        <w:jc w:val="center"/>
      </w:pPr>
      <w:r>
        <w:rPr>
          <w:noProof/>
          <w:lang w:val="en-AU" w:eastAsia="en-AU"/>
        </w:rPr>
        <w:drawing>
          <wp:inline distT="0" distB="0" distL="0" distR="0" wp14:anchorId="68E72FF9" wp14:editId="082840E5">
            <wp:extent cx="5561014" cy="3143250"/>
            <wp:effectExtent l="19050" t="19050" r="2095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66410" cy="3146300"/>
                    </a:xfrm>
                    <a:prstGeom prst="rect">
                      <a:avLst/>
                    </a:prstGeom>
                    <a:noFill/>
                    <a:ln>
                      <a:solidFill>
                        <a:schemeClr val="accent1"/>
                      </a:solidFill>
                    </a:ln>
                  </pic:spPr>
                </pic:pic>
              </a:graphicData>
            </a:graphic>
          </wp:inline>
        </w:drawing>
      </w:r>
    </w:p>
    <w:p w:rsidR="006A4E0A" w:rsidRDefault="006A4E0A" w:rsidP="00402A11">
      <w:pPr>
        <w:spacing w:line="276" w:lineRule="auto"/>
        <w:jc w:val="both"/>
      </w:pPr>
      <w:r>
        <w:t xml:space="preserve">Following the big increases in education expenditure in 2011, there were moderate declines in education share of expenditure in the island groups of Java, Sumatera and Papua. There was a significant drop of more than 5% in Bali. </w:t>
      </w:r>
    </w:p>
    <w:p w:rsidR="006A4E0A" w:rsidRDefault="006A4E0A" w:rsidP="00402A11">
      <w:pPr>
        <w:spacing w:line="276" w:lineRule="auto"/>
        <w:jc w:val="both"/>
      </w:pPr>
      <w:r>
        <w:t>Of particular concern, is that Papua alone remains below the average 20% commitment of district funds towards education. It has further retreated from the 20% commitment</w:t>
      </w:r>
      <w:r w:rsidR="004A54AE">
        <w:t>,</w:t>
      </w:r>
      <w:r>
        <w:t xml:space="preserve"> with expenditures declining from 18% of funds in 2011 to 16% in 2012. </w:t>
      </w:r>
    </w:p>
    <w:p w:rsidR="006A4E0A" w:rsidRDefault="006A4E0A" w:rsidP="00402A11">
      <w:pPr>
        <w:spacing w:line="276" w:lineRule="auto"/>
        <w:jc w:val="both"/>
      </w:pPr>
      <w:r>
        <w:t>The island groups of Sulawesi, Kalimantan and Maluku went in the opposite direction and posted an annual increase the education share of district expenditures in 2012</w:t>
      </w:r>
      <w:r w:rsidR="004A54AE">
        <w:t xml:space="preserve"> (see Figure 1</w:t>
      </w:r>
      <w:r w:rsidR="009B6D6D">
        <w:t>4</w:t>
      </w:r>
      <w:r w:rsidR="004A54AE">
        <w:t>, below)</w:t>
      </w:r>
      <w:r>
        <w:t>.</w:t>
      </w:r>
    </w:p>
    <w:p w:rsidR="006A4E0A" w:rsidRDefault="008D3F0E" w:rsidP="001A3FC6">
      <w:pPr>
        <w:pStyle w:val="Caption"/>
      </w:pPr>
      <w:bookmarkStart w:id="55" w:name="_Toc374182063"/>
      <w:bookmarkStart w:id="56" w:name="_Toc381604798"/>
      <w:r>
        <w:lastRenderedPageBreak/>
        <w:t>Figure 1</w:t>
      </w:r>
      <w:r w:rsidR="00962BFF">
        <w:t>4</w:t>
      </w:r>
      <w:r w:rsidR="001A3FC6">
        <w:t xml:space="preserve">: </w:t>
      </w:r>
      <w:r w:rsidR="006A4E0A">
        <w:t xml:space="preserve">Education </w:t>
      </w:r>
      <w:r w:rsidR="006A4E0A" w:rsidRPr="00E42689">
        <w:t>E</w:t>
      </w:r>
      <w:r w:rsidR="006A4E0A">
        <w:t>xpenditure as % of Total District Expenditure by Island Grouping (APBD 2006-2012)</w:t>
      </w:r>
      <w:bookmarkEnd w:id="55"/>
      <w:bookmarkEnd w:id="56"/>
    </w:p>
    <w:p w:rsidR="006A4E0A" w:rsidRPr="00E961A5" w:rsidRDefault="006A4E0A" w:rsidP="00402A11">
      <w:pPr>
        <w:spacing w:after="360"/>
        <w:jc w:val="center"/>
      </w:pPr>
      <w:r>
        <w:rPr>
          <w:noProof/>
          <w:lang w:val="en-AU" w:eastAsia="en-AU"/>
        </w:rPr>
        <w:drawing>
          <wp:inline distT="0" distB="0" distL="0" distR="0" wp14:anchorId="0B4E5814" wp14:editId="5795A44C">
            <wp:extent cx="5564038" cy="3554084"/>
            <wp:effectExtent l="19050" t="19050" r="17780" b="279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66410" cy="3555599"/>
                    </a:xfrm>
                    <a:prstGeom prst="rect">
                      <a:avLst/>
                    </a:prstGeom>
                    <a:noFill/>
                    <a:ln>
                      <a:solidFill>
                        <a:schemeClr val="accent1"/>
                      </a:solidFill>
                    </a:ln>
                  </pic:spPr>
                </pic:pic>
              </a:graphicData>
            </a:graphic>
          </wp:inline>
        </w:drawing>
      </w:r>
    </w:p>
    <w:p w:rsidR="004A54AE" w:rsidRPr="00DB55DD" w:rsidRDefault="00885710" w:rsidP="00DB55DD">
      <w:pPr>
        <w:spacing w:before="240" w:line="276" w:lineRule="auto"/>
        <w:rPr>
          <w:rStyle w:val="IntenseEmphasis"/>
          <w:rFonts w:asciiTheme="minorHAnsi" w:hAnsiTheme="minorHAnsi" w:cstheme="minorHAnsi"/>
          <w:b w:val="0"/>
          <w:i w:val="0"/>
          <w:color w:val="003880"/>
          <w:sz w:val="24"/>
          <w:szCs w:val="28"/>
        </w:rPr>
      </w:pPr>
      <w:r w:rsidRPr="00DB55DD">
        <w:rPr>
          <w:rStyle w:val="IntenseEmphasis"/>
          <w:rFonts w:asciiTheme="minorHAnsi" w:hAnsiTheme="minorHAnsi" w:cstheme="minorHAnsi"/>
          <w:b w:val="0"/>
          <w:i w:val="0"/>
          <w:color w:val="003880"/>
          <w:sz w:val="24"/>
          <w:szCs w:val="28"/>
        </w:rPr>
        <w:t>Education Partnership (EP) districts</w:t>
      </w:r>
    </w:p>
    <w:p w:rsidR="00060613" w:rsidRDefault="00060613" w:rsidP="00402A11">
      <w:pPr>
        <w:spacing w:line="276" w:lineRule="auto"/>
        <w:jc w:val="both"/>
        <w:rPr>
          <w:color w:val="000000"/>
        </w:rPr>
      </w:pPr>
      <w:r>
        <w:rPr>
          <w:color w:val="000000"/>
        </w:rPr>
        <w:t xml:space="preserve">On average, the districts </w:t>
      </w:r>
      <w:r w:rsidR="004A54AE">
        <w:rPr>
          <w:color w:val="000000"/>
        </w:rPr>
        <w:t xml:space="preserve">participating in the EP (see Annex B) </w:t>
      </w:r>
      <w:r>
        <w:rPr>
          <w:color w:val="000000"/>
        </w:rPr>
        <w:t>have been committing a greater proportion of their budget towards education than the non-participating districts. On average Component 1 districts were the highest and allocated 39% of their budget in 2012</w:t>
      </w:r>
      <w:r w:rsidR="004A54AE">
        <w:rPr>
          <w:color w:val="000000"/>
        </w:rPr>
        <w:t>,</w:t>
      </w:r>
      <w:r>
        <w:rPr>
          <w:color w:val="000000"/>
        </w:rPr>
        <w:t xml:space="preserve"> compared with 32% for the non-participating districts</w:t>
      </w:r>
      <w:r w:rsidR="00B92B35">
        <w:rPr>
          <w:color w:val="000000"/>
        </w:rPr>
        <w:t xml:space="preserve"> (see Figure 1</w:t>
      </w:r>
      <w:r w:rsidR="009B6D6D">
        <w:rPr>
          <w:color w:val="000000"/>
        </w:rPr>
        <w:t>5</w:t>
      </w:r>
      <w:r w:rsidR="00B92B35">
        <w:rPr>
          <w:color w:val="000000"/>
        </w:rPr>
        <w:t>, below)</w:t>
      </w:r>
      <w:r>
        <w:rPr>
          <w:color w:val="000000"/>
        </w:rPr>
        <w:t>.</w:t>
      </w:r>
    </w:p>
    <w:p w:rsidR="00060613" w:rsidRPr="00975E61" w:rsidRDefault="001A3FC6" w:rsidP="001A3FC6">
      <w:pPr>
        <w:pStyle w:val="Caption"/>
        <w:rPr>
          <w:noProof/>
        </w:rPr>
      </w:pPr>
      <w:bookmarkStart w:id="57" w:name="_Toc374182094"/>
      <w:bookmarkStart w:id="58" w:name="_Toc381604799"/>
      <w:r>
        <w:rPr>
          <w:noProof/>
        </w:rPr>
        <w:t>Figure 1</w:t>
      </w:r>
      <w:r w:rsidR="00962BFF">
        <w:rPr>
          <w:noProof/>
        </w:rPr>
        <w:t>5</w:t>
      </w:r>
      <w:r>
        <w:rPr>
          <w:noProof/>
        </w:rPr>
        <w:t xml:space="preserve">: </w:t>
      </w:r>
      <w:r w:rsidR="00060613">
        <w:rPr>
          <w:noProof/>
        </w:rPr>
        <w:t>EP Districts - Average Education Allocations as Proportion of District Budget, 2012</w:t>
      </w:r>
      <w:bookmarkEnd w:id="57"/>
      <w:bookmarkEnd w:id="58"/>
    </w:p>
    <w:p w:rsidR="00060613" w:rsidRDefault="00060613" w:rsidP="00402A11">
      <w:pPr>
        <w:spacing w:after="360"/>
        <w:jc w:val="center"/>
        <w:rPr>
          <w:noProof/>
        </w:rPr>
      </w:pPr>
      <w:r>
        <w:rPr>
          <w:noProof/>
          <w:lang w:val="en-AU" w:eastAsia="en-AU"/>
        </w:rPr>
        <w:drawing>
          <wp:inline distT="0" distB="0" distL="0" distR="0" wp14:anchorId="22CCD7D2" wp14:editId="27804F75">
            <wp:extent cx="5562600" cy="2971800"/>
            <wp:effectExtent l="19050" t="19050" r="19050" b="190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66410" cy="2973835"/>
                    </a:xfrm>
                    <a:prstGeom prst="rect">
                      <a:avLst/>
                    </a:prstGeom>
                    <a:noFill/>
                    <a:ln>
                      <a:solidFill>
                        <a:schemeClr val="accent1"/>
                      </a:solidFill>
                    </a:ln>
                  </pic:spPr>
                </pic:pic>
              </a:graphicData>
            </a:graphic>
          </wp:inline>
        </w:drawing>
      </w:r>
    </w:p>
    <w:p w:rsidR="00060613" w:rsidRDefault="00B92B35" w:rsidP="00402A11">
      <w:pPr>
        <w:spacing w:line="276" w:lineRule="auto"/>
        <w:jc w:val="both"/>
        <w:rPr>
          <w:noProof/>
        </w:rPr>
      </w:pPr>
      <w:r>
        <w:rPr>
          <w:noProof/>
        </w:rPr>
        <w:lastRenderedPageBreak/>
        <w:t>Eighteeen</w:t>
      </w:r>
      <w:r w:rsidR="00060613">
        <w:rPr>
          <w:noProof/>
        </w:rPr>
        <w:t xml:space="preserve"> </w:t>
      </w:r>
      <w:r w:rsidR="00885710">
        <w:rPr>
          <w:noProof/>
        </w:rPr>
        <w:t xml:space="preserve">EP </w:t>
      </w:r>
      <w:r w:rsidR="00060613">
        <w:rPr>
          <w:noProof/>
        </w:rPr>
        <w:t xml:space="preserve">districts contributed less than the 20% national target for education </w:t>
      </w:r>
      <w:r>
        <w:rPr>
          <w:noProof/>
        </w:rPr>
        <w:t xml:space="preserve">and therefore were </w:t>
      </w:r>
      <w:r w:rsidR="00060613">
        <w:rPr>
          <w:noProof/>
        </w:rPr>
        <w:t>considerably lower than the national average of 35% in 2012</w:t>
      </w:r>
      <w:r>
        <w:rPr>
          <w:noProof/>
        </w:rPr>
        <w:t xml:space="preserve"> (see Figure 1</w:t>
      </w:r>
      <w:r w:rsidR="009B6D6D">
        <w:rPr>
          <w:noProof/>
        </w:rPr>
        <w:t>6</w:t>
      </w:r>
      <w:r>
        <w:rPr>
          <w:noProof/>
        </w:rPr>
        <w:t>, below)</w:t>
      </w:r>
      <w:r w:rsidR="00060613">
        <w:rPr>
          <w:noProof/>
        </w:rPr>
        <w:t>.</w:t>
      </w:r>
    </w:p>
    <w:p w:rsidR="00060613" w:rsidRDefault="001A3FC6" w:rsidP="001A3FC6">
      <w:pPr>
        <w:pStyle w:val="Caption"/>
        <w:rPr>
          <w:noProof/>
        </w:rPr>
      </w:pPr>
      <w:bookmarkStart w:id="59" w:name="_Toc374182095"/>
      <w:bookmarkStart w:id="60" w:name="_Toc381604800"/>
      <w:r>
        <w:t>Figure 1</w:t>
      </w:r>
      <w:r w:rsidR="00962BFF">
        <w:t>6</w:t>
      </w:r>
      <w:r>
        <w:t xml:space="preserve">: </w:t>
      </w:r>
      <w:r w:rsidR="00060613">
        <w:t xml:space="preserve">EP </w:t>
      </w:r>
      <w:r w:rsidR="00060613">
        <w:rPr>
          <w:noProof/>
        </w:rPr>
        <w:t>Districts with Low Budget Allocation for Education (&lt; than 20% of district budget), 2012</w:t>
      </w:r>
      <w:bookmarkEnd w:id="59"/>
      <w:bookmarkEnd w:id="60"/>
    </w:p>
    <w:p w:rsidR="00060613" w:rsidRDefault="00060613" w:rsidP="00402A11">
      <w:pPr>
        <w:spacing w:after="360"/>
        <w:jc w:val="center"/>
        <w:rPr>
          <w:noProof/>
        </w:rPr>
      </w:pPr>
      <w:r>
        <w:rPr>
          <w:noProof/>
          <w:lang w:val="en-AU" w:eastAsia="en-AU"/>
        </w:rPr>
        <w:drawing>
          <wp:inline distT="0" distB="0" distL="0" distR="0" wp14:anchorId="00750FE1" wp14:editId="25EECC15">
            <wp:extent cx="5562399" cy="4229100"/>
            <wp:effectExtent l="19050" t="19050" r="19685" b="190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66410" cy="4232149"/>
                    </a:xfrm>
                    <a:prstGeom prst="rect">
                      <a:avLst/>
                    </a:prstGeom>
                    <a:noFill/>
                    <a:ln>
                      <a:solidFill>
                        <a:schemeClr val="accent1"/>
                      </a:solidFill>
                    </a:ln>
                  </pic:spPr>
                </pic:pic>
              </a:graphicData>
            </a:graphic>
          </wp:inline>
        </w:drawing>
      </w:r>
    </w:p>
    <w:p w:rsidR="00060613" w:rsidRDefault="00060613" w:rsidP="00402A11">
      <w:pPr>
        <w:spacing w:line="276" w:lineRule="auto"/>
        <w:jc w:val="both"/>
        <w:rPr>
          <w:noProof/>
        </w:rPr>
      </w:pPr>
      <w:r>
        <w:rPr>
          <w:noProof/>
        </w:rPr>
        <w:t xml:space="preserve">Reflecting a positive high level of financial commitment towards education, 36 participating districts </w:t>
      </w:r>
      <w:r w:rsidR="00B92B35">
        <w:rPr>
          <w:noProof/>
        </w:rPr>
        <w:t xml:space="preserve">in </w:t>
      </w:r>
      <w:r>
        <w:rPr>
          <w:noProof/>
        </w:rPr>
        <w:t>2012 committed more than 50% of their total district budget towards education</w:t>
      </w:r>
      <w:r w:rsidR="009B6D6D">
        <w:rPr>
          <w:noProof/>
        </w:rPr>
        <w:t xml:space="preserve"> (see Figure 17</w:t>
      </w:r>
      <w:r w:rsidR="00B92B35">
        <w:rPr>
          <w:noProof/>
        </w:rPr>
        <w:t>, below)</w:t>
      </w:r>
      <w:r>
        <w:rPr>
          <w:noProof/>
        </w:rPr>
        <w:t>.</w:t>
      </w:r>
    </w:p>
    <w:p w:rsidR="00060613" w:rsidRDefault="001A3FC6" w:rsidP="001A3FC6">
      <w:pPr>
        <w:pStyle w:val="Caption"/>
        <w:rPr>
          <w:noProof/>
        </w:rPr>
      </w:pPr>
      <w:bookmarkStart w:id="61" w:name="_Toc374182096"/>
      <w:bookmarkStart w:id="62" w:name="_Toc381604801"/>
      <w:r>
        <w:rPr>
          <w:noProof/>
        </w:rPr>
        <w:lastRenderedPageBreak/>
        <w:t>Figure 1</w:t>
      </w:r>
      <w:r w:rsidR="00962BFF">
        <w:rPr>
          <w:noProof/>
        </w:rPr>
        <w:t>7</w:t>
      </w:r>
      <w:r>
        <w:rPr>
          <w:noProof/>
        </w:rPr>
        <w:t xml:space="preserve">: </w:t>
      </w:r>
      <w:r w:rsidR="00060613">
        <w:rPr>
          <w:noProof/>
        </w:rPr>
        <w:t>EP Districts with high</w:t>
      </w:r>
      <w:r w:rsidR="004971BD">
        <w:rPr>
          <w:noProof/>
        </w:rPr>
        <w:t xml:space="preserve"> </w:t>
      </w:r>
      <w:r w:rsidR="00060613">
        <w:rPr>
          <w:noProof/>
        </w:rPr>
        <w:t>Budget Allocation for Education (&gt;than 50% of district budget), 2012</w:t>
      </w:r>
      <w:bookmarkEnd w:id="61"/>
      <w:bookmarkEnd w:id="62"/>
    </w:p>
    <w:p w:rsidR="00060613" w:rsidRDefault="00060613" w:rsidP="00402A11">
      <w:pPr>
        <w:spacing w:after="360"/>
        <w:jc w:val="center"/>
        <w:rPr>
          <w:noProof/>
        </w:rPr>
      </w:pPr>
      <w:r>
        <w:rPr>
          <w:noProof/>
          <w:lang w:val="en-AU" w:eastAsia="en-AU"/>
        </w:rPr>
        <w:drawing>
          <wp:inline distT="0" distB="0" distL="0" distR="0" wp14:anchorId="551814F3" wp14:editId="17E89305">
            <wp:extent cx="5562600" cy="6496050"/>
            <wp:effectExtent l="19050" t="19050" r="19050" b="190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66410" cy="6500500"/>
                    </a:xfrm>
                    <a:prstGeom prst="rect">
                      <a:avLst/>
                    </a:prstGeom>
                    <a:noFill/>
                    <a:ln>
                      <a:solidFill>
                        <a:schemeClr val="accent1"/>
                      </a:solidFill>
                    </a:ln>
                  </pic:spPr>
                </pic:pic>
              </a:graphicData>
            </a:graphic>
          </wp:inline>
        </w:drawing>
      </w:r>
    </w:p>
    <w:p w:rsidR="00E1246F" w:rsidRDefault="00E1246F" w:rsidP="00402A11">
      <w:pPr>
        <w:spacing w:line="276" w:lineRule="auto"/>
        <w:jc w:val="both"/>
      </w:pPr>
      <w:r>
        <w:t xml:space="preserve">Nationally, 30 districts had less than 15% expenditure on education in 2012. Of these districts, 19 have allocated less than 15% of their total district budget (APBD) </w:t>
      </w:r>
      <w:r w:rsidRPr="000B495D">
        <w:rPr>
          <w:b/>
          <w:i/>
        </w:rPr>
        <w:t>every year</w:t>
      </w:r>
      <w:r>
        <w:t xml:space="preserve"> during the period 2009-2012. </w:t>
      </w:r>
    </w:p>
    <w:p w:rsidR="00E1246F" w:rsidRDefault="00B92B35" w:rsidP="00402A11">
      <w:pPr>
        <w:spacing w:line="276" w:lineRule="auto"/>
        <w:jc w:val="both"/>
      </w:pPr>
      <w:r>
        <w:t>Figure 1</w:t>
      </w:r>
      <w:r w:rsidR="009B6D6D">
        <w:t>8</w:t>
      </w:r>
      <w:r>
        <w:t>,</w:t>
      </w:r>
      <w:r w:rsidR="00E1246F">
        <w:t xml:space="preserve"> below</w:t>
      </w:r>
      <w:r>
        <w:t>,</w:t>
      </w:r>
      <w:r w:rsidR="00E1246F">
        <w:t xml:space="preserve"> shows every district that allocated less than 15% of their district budget on education in any of the three budget years during 2009-2012. It would be useful to understand why </w:t>
      </w:r>
      <w:r>
        <w:t xml:space="preserve">the </w:t>
      </w:r>
      <w:r w:rsidR="00E1246F">
        <w:t xml:space="preserve">education budget share is so low in these districts and to what extent they represent policy related or demand side factors as well as possible misreporting to the MoF. </w:t>
      </w:r>
    </w:p>
    <w:p w:rsidR="00E1246F" w:rsidRDefault="001A3FC6" w:rsidP="001A3FC6">
      <w:pPr>
        <w:pStyle w:val="Caption"/>
      </w:pPr>
      <w:bookmarkStart w:id="63" w:name="_Toc374182067"/>
      <w:bookmarkStart w:id="64" w:name="_Toc381604802"/>
      <w:r>
        <w:lastRenderedPageBreak/>
        <w:t>Figure 1</w:t>
      </w:r>
      <w:r w:rsidR="00962BFF">
        <w:t>8</w:t>
      </w:r>
      <w:r>
        <w:t xml:space="preserve">: </w:t>
      </w:r>
      <w:r w:rsidR="00E1246F">
        <w:t xml:space="preserve">Districts with very low financial share for education (less than 15% of </w:t>
      </w:r>
      <w:r w:rsidR="00E1246F" w:rsidRPr="00E42689">
        <w:t>APBD Expenditure</w:t>
      </w:r>
      <w:r w:rsidR="00E1246F">
        <w:t>) 2009 -2012</w:t>
      </w:r>
      <w:bookmarkEnd w:id="63"/>
      <w:bookmarkEnd w:id="64"/>
    </w:p>
    <w:p w:rsidR="00E1246F" w:rsidRDefault="00E1246F" w:rsidP="00402A11">
      <w:pPr>
        <w:jc w:val="center"/>
      </w:pPr>
      <w:r>
        <w:rPr>
          <w:noProof/>
          <w:lang w:val="en-AU" w:eastAsia="en-AU"/>
        </w:rPr>
        <w:drawing>
          <wp:inline distT="0" distB="0" distL="0" distR="0" wp14:anchorId="505CF5CA" wp14:editId="194E3175">
            <wp:extent cx="5549002" cy="8115300"/>
            <wp:effectExtent l="19050" t="19050" r="1397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53201" cy="8121441"/>
                    </a:xfrm>
                    <a:prstGeom prst="rect">
                      <a:avLst/>
                    </a:prstGeom>
                    <a:noFill/>
                    <a:ln>
                      <a:solidFill>
                        <a:schemeClr val="accent1"/>
                      </a:solidFill>
                    </a:ln>
                  </pic:spPr>
                </pic:pic>
              </a:graphicData>
            </a:graphic>
          </wp:inline>
        </w:drawing>
      </w:r>
    </w:p>
    <w:p w:rsidR="00E1246F" w:rsidRPr="00402A11" w:rsidRDefault="00E1246F" w:rsidP="00E1246F">
      <w:pPr>
        <w:rPr>
          <w:sz w:val="20"/>
        </w:rPr>
      </w:pPr>
      <w:r w:rsidRPr="00402A11">
        <w:rPr>
          <w:sz w:val="16"/>
        </w:rPr>
        <w:lastRenderedPageBreak/>
        <w:t>* Districts that are blank for one year have exceeded the benchmark for that year</w:t>
      </w:r>
      <w:r w:rsidR="00402A11">
        <w:rPr>
          <w:sz w:val="16"/>
        </w:rPr>
        <w:t>.</w:t>
      </w:r>
    </w:p>
    <w:p w:rsidR="00E1246F" w:rsidRPr="00CB4623" w:rsidRDefault="00E1246F" w:rsidP="00402A11">
      <w:pPr>
        <w:spacing w:line="276" w:lineRule="auto"/>
        <w:jc w:val="both"/>
      </w:pPr>
      <w:r>
        <w:t>Looking at the 30 districts which in 2012 committed less than 15% of th</w:t>
      </w:r>
      <w:r w:rsidR="000B495D">
        <w:t>e</w:t>
      </w:r>
      <w:r>
        <w:t>ir budget towards education, we find that 22 of these districts belong to the poorest quintile of districts. Of these 22 poorest quintile districts, 17 are found in Papua and 5 are in Maluku</w:t>
      </w:r>
      <w:r w:rsidR="00B92B35">
        <w:t xml:space="preserve"> (see Figure </w:t>
      </w:r>
      <w:r w:rsidR="009B6D6D">
        <w:t>19</w:t>
      </w:r>
      <w:r w:rsidR="00B92B35">
        <w:t>, below)</w:t>
      </w:r>
      <w:r>
        <w:t xml:space="preserve">. </w:t>
      </w:r>
    </w:p>
    <w:p w:rsidR="00E1246F" w:rsidRDefault="00962BFF" w:rsidP="001A3FC6">
      <w:pPr>
        <w:pStyle w:val="Caption"/>
      </w:pPr>
      <w:bookmarkStart w:id="65" w:name="_Toc374182068"/>
      <w:bookmarkStart w:id="66" w:name="_Toc381604803"/>
      <w:r>
        <w:t>Figure 19</w:t>
      </w:r>
      <w:r w:rsidR="001A3FC6">
        <w:t xml:space="preserve">: </w:t>
      </w:r>
      <w:r w:rsidR="00E1246F">
        <w:t xml:space="preserve">Poorest Districts with very low financial share for education (less than 15% of </w:t>
      </w:r>
      <w:r w:rsidR="00E1246F" w:rsidRPr="00E42689">
        <w:t>APBD Expenditure</w:t>
      </w:r>
      <w:r w:rsidR="00E1246F">
        <w:t>) 2012</w:t>
      </w:r>
      <w:bookmarkEnd w:id="65"/>
      <w:bookmarkEnd w:id="66"/>
    </w:p>
    <w:p w:rsidR="00E1246F" w:rsidRDefault="00E1246F" w:rsidP="00402A11">
      <w:pPr>
        <w:spacing w:after="360"/>
        <w:jc w:val="center"/>
        <w:rPr>
          <w:b/>
          <w:i/>
        </w:rPr>
      </w:pPr>
      <w:r>
        <w:rPr>
          <w:b/>
          <w:i/>
          <w:noProof/>
          <w:lang w:val="en-AU" w:eastAsia="en-AU"/>
        </w:rPr>
        <w:drawing>
          <wp:inline distT="0" distB="0" distL="0" distR="0" wp14:anchorId="67CC1EA2" wp14:editId="1CC0117C">
            <wp:extent cx="5565879" cy="3665838"/>
            <wp:effectExtent l="19050" t="19050" r="15875" b="114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66410" cy="3666188"/>
                    </a:xfrm>
                    <a:prstGeom prst="rect">
                      <a:avLst/>
                    </a:prstGeom>
                    <a:noFill/>
                    <a:ln>
                      <a:solidFill>
                        <a:schemeClr val="accent1"/>
                      </a:solidFill>
                    </a:ln>
                  </pic:spPr>
                </pic:pic>
              </a:graphicData>
            </a:graphic>
          </wp:inline>
        </w:drawing>
      </w:r>
    </w:p>
    <w:p w:rsidR="000B495D" w:rsidRPr="00314228" w:rsidRDefault="00314228" w:rsidP="00402A11">
      <w:pPr>
        <w:spacing w:line="276" w:lineRule="auto"/>
      </w:pPr>
      <w:r w:rsidRPr="00314228">
        <w:t>It is interesting to look at the experience of the GoA funded BEP districts to see how their education expenditure patterns have evolved during and since the GoA investments.</w:t>
      </w:r>
    </w:p>
    <w:p w:rsidR="006A4E0A" w:rsidRDefault="008D3F0E" w:rsidP="001A3FC6">
      <w:pPr>
        <w:pStyle w:val="Caption"/>
      </w:pPr>
      <w:bookmarkStart w:id="67" w:name="_Toc374182064"/>
      <w:bookmarkStart w:id="68" w:name="_Toc381604804"/>
      <w:r>
        <w:lastRenderedPageBreak/>
        <w:t>Figure 2</w:t>
      </w:r>
      <w:r w:rsidR="00962BFF">
        <w:t>0</w:t>
      </w:r>
      <w:r w:rsidR="001A3FC6">
        <w:t xml:space="preserve">: </w:t>
      </w:r>
      <w:r w:rsidR="006A4E0A" w:rsidRPr="00E42689">
        <w:t xml:space="preserve">APBD Education Expenditure as % of Total </w:t>
      </w:r>
      <w:r w:rsidR="006A4E0A">
        <w:t xml:space="preserve">district Expenditure </w:t>
      </w:r>
      <w:r w:rsidR="006A4E0A" w:rsidRPr="00E42689">
        <w:t>in BEP and Non-BEP Supported Districts</w:t>
      </w:r>
      <w:r w:rsidR="006A4E0A">
        <w:t xml:space="preserve"> (APBD 2006-2012)</w:t>
      </w:r>
      <w:bookmarkEnd w:id="67"/>
      <w:bookmarkEnd w:id="68"/>
    </w:p>
    <w:p w:rsidR="006A4E0A" w:rsidRDefault="006A4E0A" w:rsidP="00402A11">
      <w:pPr>
        <w:pStyle w:val="BodyText"/>
        <w:spacing w:after="360"/>
        <w:jc w:val="center"/>
      </w:pPr>
      <w:r>
        <w:rPr>
          <w:noProof/>
          <w:lang w:eastAsia="en-AU"/>
        </w:rPr>
        <w:drawing>
          <wp:inline distT="0" distB="0" distL="0" distR="0" wp14:anchorId="0F6B735A" wp14:editId="28350B1B">
            <wp:extent cx="5568778" cy="2636108"/>
            <wp:effectExtent l="19050" t="19050" r="13335" b="120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66410" cy="2634987"/>
                    </a:xfrm>
                    <a:prstGeom prst="rect">
                      <a:avLst/>
                    </a:prstGeom>
                    <a:noFill/>
                    <a:ln>
                      <a:solidFill>
                        <a:schemeClr val="accent1"/>
                      </a:solidFill>
                    </a:ln>
                  </pic:spPr>
                </pic:pic>
              </a:graphicData>
            </a:graphic>
          </wp:inline>
        </w:drawing>
      </w:r>
    </w:p>
    <w:p w:rsidR="006A4E0A" w:rsidRDefault="006A4E0A" w:rsidP="00402A11">
      <w:pPr>
        <w:spacing w:line="276" w:lineRule="auto"/>
        <w:jc w:val="both"/>
      </w:pPr>
      <w:r>
        <w:t xml:space="preserve">While BEP districts have committed a share of their district budget that is broadly in line with the national average, there are some BEP districts that have spent considerably less. </w:t>
      </w:r>
    </w:p>
    <w:p w:rsidR="006A4E0A" w:rsidRDefault="006A4E0A" w:rsidP="00402A11">
      <w:pPr>
        <w:spacing w:line="276" w:lineRule="auto"/>
        <w:jc w:val="both"/>
      </w:pPr>
      <w:r>
        <w:t>This report presents three years of results from 2009 to 2012 showing there have been 9 BEP districts which have dedicated less than 20% of their budget towards education in every year.</w:t>
      </w:r>
    </w:p>
    <w:p w:rsidR="006A4E0A" w:rsidRDefault="006A4E0A" w:rsidP="00402A11">
      <w:pPr>
        <w:spacing w:line="276" w:lineRule="auto"/>
        <w:jc w:val="both"/>
      </w:pPr>
      <w:r>
        <w:t xml:space="preserve">Most of the BEP districts that report spending less than 20% of their budget on education in both are located on Maluku. While some of the low figures may be due to poor reporting, the persistence of these low allocations shares in consecutive years suggest there are other factors involved. </w:t>
      </w:r>
    </w:p>
    <w:p w:rsidR="006A4E0A" w:rsidRDefault="001A3FC6" w:rsidP="001A3FC6">
      <w:pPr>
        <w:pStyle w:val="Caption"/>
      </w:pPr>
      <w:bookmarkStart w:id="69" w:name="_Toc374182066"/>
      <w:bookmarkStart w:id="70" w:name="_Toc381604805"/>
      <w:r>
        <w:lastRenderedPageBreak/>
        <w:t>Figure 2</w:t>
      </w:r>
      <w:r w:rsidR="00962BFF">
        <w:t>1</w:t>
      </w:r>
      <w:r>
        <w:t xml:space="preserve">: </w:t>
      </w:r>
      <w:r w:rsidR="006A4E0A">
        <w:t xml:space="preserve">BEP Districts with low financial share for education (less than 20% of </w:t>
      </w:r>
      <w:r w:rsidR="006A4E0A" w:rsidRPr="00E42689">
        <w:t>APBD Expenditure</w:t>
      </w:r>
      <w:r w:rsidR="006A4E0A">
        <w:t>) 2009 and 2012</w:t>
      </w:r>
      <w:bookmarkEnd w:id="69"/>
      <w:bookmarkEnd w:id="70"/>
    </w:p>
    <w:p w:rsidR="006A4E0A" w:rsidRDefault="006A4E0A" w:rsidP="006A4E0A">
      <w:r>
        <w:rPr>
          <w:noProof/>
          <w:lang w:val="en-AU" w:eastAsia="en-AU"/>
        </w:rPr>
        <w:drawing>
          <wp:inline distT="0" distB="0" distL="0" distR="0" wp14:anchorId="15F7C242" wp14:editId="5CE42156">
            <wp:extent cx="5566410" cy="6124383"/>
            <wp:effectExtent l="19050" t="19050" r="15240" b="101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66410" cy="6124383"/>
                    </a:xfrm>
                    <a:prstGeom prst="rect">
                      <a:avLst/>
                    </a:prstGeom>
                    <a:noFill/>
                    <a:ln>
                      <a:solidFill>
                        <a:schemeClr val="accent1"/>
                      </a:solidFill>
                    </a:ln>
                  </pic:spPr>
                </pic:pic>
              </a:graphicData>
            </a:graphic>
          </wp:inline>
        </w:drawing>
      </w:r>
    </w:p>
    <w:p w:rsidR="006A4E0A" w:rsidRPr="00402A11" w:rsidRDefault="006A4E0A" w:rsidP="006A4E0A">
      <w:pPr>
        <w:rPr>
          <w:sz w:val="20"/>
        </w:rPr>
      </w:pPr>
      <w:r w:rsidRPr="00402A11">
        <w:rPr>
          <w:sz w:val="16"/>
        </w:rPr>
        <w:t>* Districts that are blank for one year have exceeded the benchmark for that year</w:t>
      </w:r>
      <w:r w:rsidR="00402A11">
        <w:rPr>
          <w:sz w:val="16"/>
        </w:rPr>
        <w:t>.</w:t>
      </w:r>
    </w:p>
    <w:p w:rsidR="006A4E0A" w:rsidRPr="003C2B30" w:rsidRDefault="006A4E0A" w:rsidP="00402A11">
      <w:pPr>
        <w:keepNext/>
        <w:spacing w:before="360" w:line="276" w:lineRule="auto"/>
        <w:outlineLvl w:val="2"/>
        <w:rPr>
          <w:rStyle w:val="Heading3Char"/>
        </w:rPr>
      </w:pPr>
      <w:r>
        <w:br w:type="page"/>
      </w:r>
      <w:r w:rsidRPr="003C2B30">
        <w:rPr>
          <w:rStyle w:val="Heading3Char"/>
        </w:rPr>
        <w:lastRenderedPageBreak/>
        <w:t>KPI 7: Annual Growth in Education Spending for the Poorest Districts</w:t>
      </w:r>
    </w:p>
    <w:p w:rsidR="006A4E0A" w:rsidRDefault="001A3FC6" w:rsidP="001A3FC6">
      <w:pPr>
        <w:pStyle w:val="Caption"/>
      </w:pPr>
      <w:bookmarkStart w:id="71" w:name="_Toc374182069"/>
      <w:bookmarkStart w:id="72" w:name="_Toc381604806"/>
      <w:r>
        <w:t>Figure 2</w:t>
      </w:r>
      <w:r w:rsidR="00962BFF">
        <w:t>2</w:t>
      </w:r>
      <w:r>
        <w:t xml:space="preserve">: </w:t>
      </w:r>
      <w:r w:rsidR="006A4E0A" w:rsidRPr="00C23B0F">
        <w:t>Annual Growth in APBD Education Expenditure, 200</w:t>
      </w:r>
      <w:r w:rsidR="006A4E0A">
        <w:t>7 -2011, by Poverty Quintile</w:t>
      </w:r>
      <w:bookmarkEnd w:id="71"/>
      <w:bookmarkEnd w:id="72"/>
    </w:p>
    <w:p w:rsidR="006A4E0A" w:rsidRPr="001415DC" w:rsidRDefault="006A4E0A" w:rsidP="00402A11">
      <w:pPr>
        <w:spacing w:after="360"/>
        <w:jc w:val="center"/>
      </w:pPr>
      <w:r>
        <w:rPr>
          <w:noProof/>
          <w:lang w:val="en-AU" w:eastAsia="en-AU"/>
        </w:rPr>
        <w:drawing>
          <wp:inline distT="0" distB="0" distL="0" distR="0" wp14:anchorId="36DFC565" wp14:editId="41A495C6">
            <wp:extent cx="5568778" cy="3369276"/>
            <wp:effectExtent l="19050" t="19050" r="13335" b="222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66410" cy="3367843"/>
                    </a:xfrm>
                    <a:prstGeom prst="rect">
                      <a:avLst/>
                    </a:prstGeom>
                    <a:noFill/>
                    <a:ln>
                      <a:solidFill>
                        <a:schemeClr val="accent1"/>
                      </a:solidFill>
                    </a:ln>
                  </pic:spPr>
                </pic:pic>
              </a:graphicData>
            </a:graphic>
          </wp:inline>
        </w:drawing>
      </w:r>
    </w:p>
    <w:tbl>
      <w:tblPr>
        <w:tblStyle w:val="TableGrid3"/>
        <w:tblW w:w="5000" w:type="pct"/>
        <w:jc w:val="center"/>
        <w:tblLayout w:type="fixed"/>
        <w:tblCellMar>
          <w:top w:w="28" w:type="dxa"/>
          <w:bottom w:w="28" w:type="dxa"/>
        </w:tblCellMar>
        <w:tblLook w:val="04A0" w:firstRow="1" w:lastRow="0" w:firstColumn="1" w:lastColumn="0" w:noHBand="0" w:noVBand="1"/>
      </w:tblPr>
      <w:tblGrid>
        <w:gridCol w:w="1849"/>
        <w:gridCol w:w="1849"/>
        <w:gridCol w:w="1849"/>
        <w:gridCol w:w="3698"/>
      </w:tblGrid>
      <w:tr w:rsidR="007F1806" w:rsidRPr="00402A11" w:rsidTr="00402A11">
        <w:trPr>
          <w:tblHeader/>
          <w:jc w:val="center"/>
        </w:trPr>
        <w:tc>
          <w:tcPr>
            <w:tcW w:w="1000" w:type="pct"/>
            <w:tcBorders>
              <w:top w:val="single" w:sz="12" w:space="0" w:color="auto"/>
              <w:left w:val="single" w:sz="12" w:space="0" w:color="auto"/>
              <w:bottom w:val="single" w:sz="4" w:space="0" w:color="auto"/>
              <w:right w:val="single" w:sz="4" w:space="0" w:color="FFFFFF" w:themeColor="background1"/>
            </w:tcBorders>
            <w:shd w:val="clear" w:color="auto" w:fill="003880"/>
            <w:vAlign w:val="center"/>
          </w:tcPr>
          <w:p w:rsidR="007F1806" w:rsidRPr="00402A11" w:rsidRDefault="00402A11" w:rsidP="00402A11">
            <w:pPr>
              <w:spacing w:after="0"/>
              <w:jc w:val="center"/>
              <w:rPr>
                <w:rFonts w:asciiTheme="minorHAnsi" w:hAnsiTheme="minorHAnsi" w:cstheme="minorHAnsi"/>
                <w:b/>
                <w:color w:val="FFFFFF" w:themeColor="background1"/>
                <w:sz w:val="20"/>
                <w:szCs w:val="20"/>
                <w:lang w:val="en-US"/>
              </w:rPr>
            </w:pPr>
            <w:r w:rsidRPr="00402A11">
              <w:rPr>
                <w:rFonts w:asciiTheme="minorHAnsi" w:hAnsiTheme="minorHAnsi" w:cstheme="minorHAnsi"/>
                <w:b/>
                <w:color w:val="FFFFFF" w:themeColor="background1"/>
                <w:sz w:val="20"/>
                <w:szCs w:val="20"/>
                <w:lang w:val="en-US"/>
              </w:rPr>
              <w:t>KPI 7</w:t>
            </w:r>
          </w:p>
        </w:tc>
        <w:tc>
          <w:tcPr>
            <w:tcW w:w="7216" w:type="dxa"/>
            <w:gridSpan w:val="3"/>
            <w:tcBorders>
              <w:top w:val="single" w:sz="12" w:space="0" w:color="auto"/>
              <w:left w:val="single" w:sz="4" w:space="0" w:color="FFFFFF" w:themeColor="background1"/>
              <w:bottom w:val="single" w:sz="4" w:space="0" w:color="auto"/>
              <w:right w:val="single" w:sz="12" w:space="0" w:color="auto"/>
            </w:tcBorders>
            <w:shd w:val="clear" w:color="auto" w:fill="003880"/>
            <w:vAlign w:val="center"/>
          </w:tcPr>
          <w:p w:rsidR="007F1806" w:rsidRPr="00402A11" w:rsidRDefault="00402A11" w:rsidP="00402A11">
            <w:pPr>
              <w:spacing w:after="0"/>
              <w:jc w:val="center"/>
              <w:rPr>
                <w:rFonts w:asciiTheme="minorHAnsi" w:hAnsiTheme="minorHAnsi" w:cstheme="minorHAnsi"/>
                <w:b/>
                <w:color w:val="FFFFFF" w:themeColor="background1"/>
                <w:sz w:val="20"/>
                <w:szCs w:val="20"/>
                <w:lang w:val="en-US"/>
              </w:rPr>
            </w:pPr>
            <w:r w:rsidRPr="00402A11">
              <w:rPr>
                <w:rFonts w:asciiTheme="minorHAnsi" w:hAnsiTheme="minorHAnsi" w:cstheme="minorHAnsi"/>
                <w:b/>
                <w:bCs/>
                <w:color w:val="FFFFFF" w:themeColor="background1"/>
                <w:sz w:val="20"/>
                <w:szCs w:val="20"/>
                <w:lang w:val="en-US"/>
              </w:rPr>
              <w:t>ANNUAL GROWTH IN EDUCATION SPENDING FOR THE POOREST DISTRICTS</w:t>
            </w:r>
            <w:r w:rsidRPr="00402A11">
              <w:rPr>
                <w:rFonts w:asciiTheme="minorHAnsi" w:hAnsiTheme="minorHAnsi" w:cstheme="minorHAnsi"/>
                <w:b/>
                <w:color w:val="FFFFFF" w:themeColor="background1"/>
                <w:sz w:val="20"/>
                <w:szCs w:val="20"/>
                <w:lang w:val="en-US"/>
              </w:rPr>
              <w:t xml:space="preserve"> </w:t>
            </w:r>
          </w:p>
        </w:tc>
      </w:tr>
      <w:tr w:rsidR="007F1806" w:rsidRPr="00402A11" w:rsidTr="00402A11">
        <w:trPr>
          <w:tblHeader/>
          <w:jc w:val="center"/>
        </w:trPr>
        <w:tc>
          <w:tcPr>
            <w:tcW w:w="9019" w:type="dxa"/>
            <w:gridSpan w:val="4"/>
            <w:tcBorders>
              <w:left w:val="single" w:sz="12" w:space="0" w:color="auto"/>
              <w:bottom w:val="single" w:sz="4" w:space="0" w:color="auto"/>
              <w:right w:val="single" w:sz="12" w:space="0" w:color="auto"/>
            </w:tcBorders>
            <w:shd w:val="clear" w:color="auto" w:fill="68BAD6"/>
            <w:vAlign w:val="center"/>
          </w:tcPr>
          <w:p w:rsidR="007F1806" w:rsidRPr="00402A11" w:rsidRDefault="00402A11" w:rsidP="00402A11">
            <w:pPr>
              <w:spacing w:after="0"/>
              <w:jc w:val="center"/>
              <w:rPr>
                <w:rFonts w:asciiTheme="minorHAnsi" w:hAnsiTheme="minorHAnsi" w:cstheme="minorHAnsi"/>
                <w:b/>
                <w:color w:val="FFFFFF" w:themeColor="background1"/>
                <w:sz w:val="20"/>
                <w:szCs w:val="20"/>
                <w:lang w:val="en-US"/>
              </w:rPr>
            </w:pPr>
            <w:r w:rsidRPr="00402A11">
              <w:rPr>
                <w:rFonts w:asciiTheme="minorHAnsi" w:hAnsiTheme="minorHAnsi" w:cstheme="minorHAnsi"/>
                <w:b/>
                <w:sz w:val="20"/>
                <w:szCs w:val="20"/>
                <w:lang w:val="en-US"/>
              </w:rPr>
              <w:t>STATUS AND TRENDS</w:t>
            </w:r>
          </w:p>
        </w:tc>
      </w:tr>
      <w:tr w:rsidR="007F1806" w:rsidRPr="00402A11" w:rsidTr="00402A11">
        <w:trPr>
          <w:jc w:val="center"/>
        </w:trPr>
        <w:tc>
          <w:tcPr>
            <w:tcW w:w="1000" w:type="pct"/>
            <w:tcBorders>
              <w:left w:val="single" w:sz="12" w:space="0" w:color="auto"/>
              <w:bottom w:val="single" w:sz="4" w:space="0" w:color="auto"/>
            </w:tcBorders>
            <w:shd w:val="clear" w:color="auto" w:fill="BFBFBF" w:themeFill="background1" w:themeFillShade="BF"/>
            <w:vAlign w:val="center"/>
          </w:tcPr>
          <w:p w:rsidR="007F1806" w:rsidRPr="00402A11" w:rsidRDefault="007F1806" w:rsidP="00402A11">
            <w:pPr>
              <w:spacing w:after="0"/>
              <w:jc w:val="center"/>
              <w:rPr>
                <w:sz w:val="20"/>
                <w:szCs w:val="20"/>
                <w:lang w:val="en-AU"/>
              </w:rPr>
            </w:pPr>
            <w:r w:rsidRPr="00402A11">
              <w:rPr>
                <w:sz w:val="20"/>
                <w:szCs w:val="20"/>
                <w:lang w:val="en-AU"/>
              </w:rPr>
              <w:t>Result</w:t>
            </w:r>
          </w:p>
        </w:tc>
        <w:tc>
          <w:tcPr>
            <w:tcW w:w="1000" w:type="pct"/>
            <w:shd w:val="clear" w:color="auto" w:fill="FF0000"/>
            <w:vAlign w:val="center"/>
          </w:tcPr>
          <w:p w:rsidR="007F1806" w:rsidRPr="00402A11" w:rsidRDefault="007F1806" w:rsidP="00402A11">
            <w:pPr>
              <w:spacing w:after="0"/>
              <w:jc w:val="center"/>
              <w:rPr>
                <w:sz w:val="20"/>
                <w:szCs w:val="20"/>
                <w:lang w:val="en-AU"/>
              </w:rPr>
            </w:pPr>
            <w:r w:rsidRPr="00402A11">
              <w:rPr>
                <w:sz w:val="20"/>
                <w:szCs w:val="20"/>
                <w:lang w:val="en-AU"/>
              </w:rPr>
              <w:t>Negative</w:t>
            </w:r>
          </w:p>
        </w:tc>
        <w:tc>
          <w:tcPr>
            <w:tcW w:w="1000" w:type="pct"/>
            <w:shd w:val="clear" w:color="auto" w:fill="BFBFBF" w:themeFill="background1" w:themeFillShade="BF"/>
            <w:vAlign w:val="center"/>
          </w:tcPr>
          <w:p w:rsidR="007F1806" w:rsidRPr="00402A11" w:rsidRDefault="007F1806" w:rsidP="00402A11">
            <w:pPr>
              <w:spacing w:after="0"/>
              <w:jc w:val="center"/>
              <w:rPr>
                <w:sz w:val="20"/>
                <w:szCs w:val="20"/>
                <w:lang w:val="en-AU"/>
              </w:rPr>
            </w:pPr>
            <w:r w:rsidRPr="00402A11">
              <w:rPr>
                <w:sz w:val="20"/>
                <w:szCs w:val="20"/>
                <w:lang w:val="en-AU"/>
              </w:rPr>
              <w:t>Data availability</w:t>
            </w:r>
          </w:p>
        </w:tc>
        <w:tc>
          <w:tcPr>
            <w:tcW w:w="3608" w:type="dxa"/>
            <w:tcBorders>
              <w:right w:val="single" w:sz="12" w:space="0" w:color="auto"/>
            </w:tcBorders>
            <w:vAlign w:val="center"/>
          </w:tcPr>
          <w:p w:rsidR="007F1806" w:rsidRPr="00402A11" w:rsidRDefault="002D25D6" w:rsidP="00402A11">
            <w:pPr>
              <w:spacing w:after="0"/>
              <w:jc w:val="both"/>
              <w:rPr>
                <w:sz w:val="20"/>
                <w:szCs w:val="20"/>
                <w:lang w:val="en-AU"/>
              </w:rPr>
            </w:pPr>
            <w:r w:rsidRPr="00402A11">
              <w:rPr>
                <w:sz w:val="20"/>
                <w:szCs w:val="20"/>
                <w:lang w:val="en-AU"/>
              </w:rPr>
              <w:t>Financial data for 2012 was available for 487 districts and enrolment data for 496 districts out of a total 497 districts.</w:t>
            </w:r>
          </w:p>
        </w:tc>
      </w:tr>
      <w:tr w:rsidR="007F1806" w:rsidRPr="00402A11" w:rsidTr="00402A11">
        <w:trPr>
          <w:jc w:val="center"/>
        </w:trPr>
        <w:tc>
          <w:tcPr>
            <w:tcW w:w="1000" w:type="pct"/>
            <w:tcBorders>
              <w:left w:val="single" w:sz="12" w:space="0" w:color="auto"/>
            </w:tcBorders>
            <w:shd w:val="clear" w:color="auto" w:fill="BFBFBF" w:themeFill="background1" w:themeFillShade="BF"/>
            <w:vAlign w:val="center"/>
          </w:tcPr>
          <w:p w:rsidR="007F1806" w:rsidRPr="00402A11" w:rsidRDefault="007F1806" w:rsidP="00402A11">
            <w:pPr>
              <w:spacing w:after="0"/>
              <w:jc w:val="center"/>
              <w:rPr>
                <w:sz w:val="20"/>
                <w:szCs w:val="20"/>
                <w:lang w:val="en-AU"/>
              </w:rPr>
            </w:pPr>
            <w:r w:rsidRPr="00402A11">
              <w:rPr>
                <w:sz w:val="20"/>
                <w:szCs w:val="20"/>
                <w:lang w:val="en-AU"/>
              </w:rPr>
              <w:t>Observations</w:t>
            </w:r>
          </w:p>
        </w:tc>
        <w:tc>
          <w:tcPr>
            <w:tcW w:w="7216" w:type="dxa"/>
            <w:gridSpan w:val="3"/>
            <w:tcBorders>
              <w:right w:val="single" w:sz="12" w:space="0" w:color="auto"/>
            </w:tcBorders>
            <w:vAlign w:val="center"/>
          </w:tcPr>
          <w:p w:rsidR="007F1806" w:rsidRPr="00402A11" w:rsidRDefault="007F1806" w:rsidP="00402A11">
            <w:pPr>
              <w:pStyle w:val="ListParagraph"/>
              <w:numPr>
                <w:ilvl w:val="0"/>
                <w:numId w:val="12"/>
              </w:numPr>
              <w:spacing w:after="60" w:line="240" w:lineRule="auto"/>
              <w:ind w:left="284" w:hanging="284"/>
              <w:contextualSpacing w:val="0"/>
              <w:jc w:val="both"/>
              <w:rPr>
                <w:sz w:val="20"/>
                <w:szCs w:val="20"/>
                <w:lang w:val="en-AU"/>
              </w:rPr>
            </w:pPr>
            <w:r w:rsidRPr="00402A11">
              <w:rPr>
                <w:sz w:val="20"/>
                <w:szCs w:val="20"/>
                <w:lang w:val="en-AU"/>
              </w:rPr>
              <w:t>On the positive side, poorest districts (</w:t>
            </w:r>
            <w:r w:rsidR="00111EC8" w:rsidRPr="00402A11">
              <w:rPr>
                <w:sz w:val="20"/>
                <w:szCs w:val="20"/>
                <w:lang w:val="en-AU"/>
              </w:rPr>
              <w:t xml:space="preserve">i.e. those in the </w:t>
            </w:r>
            <w:r w:rsidRPr="00402A11">
              <w:rPr>
                <w:sz w:val="20"/>
                <w:szCs w:val="20"/>
                <w:lang w:val="en-AU"/>
              </w:rPr>
              <w:t>bottom quintile) recorded a 7% average annual growth in their 2012 education budget on the previous year. This follows a very strong positive growth (40%) in 2011, a mild contraction in 2010, and annual growth of 10% and 5% between 2007-08 and 2008-09 budgets</w:t>
            </w:r>
            <w:r w:rsidR="00962BFF">
              <w:rPr>
                <w:sz w:val="20"/>
                <w:szCs w:val="20"/>
                <w:lang w:val="en-AU"/>
              </w:rPr>
              <w:t xml:space="preserve"> (see Figure 2</w:t>
            </w:r>
            <w:r w:rsidR="009B6D6D">
              <w:rPr>
                <w:sz w:val="20"/>
                <w:szCs w:val="20"/>
                <w:lang w:val="en-AU"/>
              </w:rPr>
              <w:t>2</w:t>
            </w:r>
            <w:r w:rsidR="00987B88" w:rsidRPr="00402A11">
              <w:rPr>
                <w:sz w:val="20"/>
                <w:szCs w:val="20"/>
                <w:lang w:val="en-AU"/>
              </w:rPr>
              <w:t>, above)</w:t>
            </w:r>
            <w:r w:rsidRPr="00402A11">
              <w:rPr>
                <w:sz w:val="20"/>
                <w:szCs w:val="20"/>
                <w:lang w:val="en-AU"/>
              </w:rPr>
              <w:t xml:space="preserve">. </w:t>
            </w:r>
          </w:p>
          <w:p w:rsidR="007F1806" w:rsidRPr="00402A11" w:rsidRDefault="007F1806" w:rsidP="00402A11">
            <w:pPr>
              <w:pStyle w:val="ListParagraph"/>
              <w:numPr>
                <w:ilvl w:val="0"/>
                <w:numId w:val="12"/>
              </w:numPr>
              <w:spacing w:after="60" w:line="240" w:lineRule="auto"/>
              <w:ind w:left="284" w:hanging="284"/>
              <w:contextualSpacing w:val="0"/>
              <w:jc w:val="both"/>
              <w:rPr>
                <w:sz w:val="20"/>
                <w:szCs w:val="20"/>
                <w:lang w:val="en-AU"/>
              </w:rPr>
            </w:pPr>
            <w:r w:rsidRPr="00402A11">
              <w:rPr>
                <w:sz w:val="20"/>
                <w:szCs w:val="20"/>
                <w:lang w:val="en-AU"/>
              </w:rPr>
              <w:t>On balance</w:t>
            </w:r>
            <w:r w:rsidR="00111EC8" w:rsidRPr="00402A11">
              <w:rPr>
                <w:sz w:val="20"/>
                <w:szCs w:val="20"/>
                <w:lang w:val="en-AU"/>
              </w:rPr>
              <w:t>,</w:t>
            </w:r>
            <w:r w:rsidRPr="00402A11">
              <w:rPr>
                <w:sz w:val="20"/>
                <w:szCs w:val="20"/>
                <w:lang w:val="en-AU"/>
              </w:rPr>
              <w:t xml:space="preserve"> however, it is a poor result for the poorest districts which have the lowest average percentage increase in budget allocations for education of all the poverty quintiles. Their growth of education budgets is marginally above the annual inflation rate. </w:t>
            </w:r>
          </w:p>
          <w:p w:rsidR="007F1806" w:rsidRPr="00402A11" w:rsidRDefault="007F1806" w:rsidP="00402A11">
            <w:pPr>
              <w:pStyle w:val="ListParagraph"/>
              <w:numPr>
                <w:ilvl w:val="0"/>
                <w:numId w:val="12"/>
              </w:numPr>
              <w:spacing w:after="60" w:line="240" w:lineRule="auto"/>
              <w:ind w:left="284" w:hanging="284"/>
              <w:contextualSpacing w:val="0"/>
              <w:jc w:val="both"/>
              <w:rPr>
                <w:sz w:val="20"/>
                <w:szCs w:val="20"/>
                <w:lang w:val="en-AU"/>
              </w:rPr>
            </w:pPr>
            <w:r w:rsidRPr="00402A11">
              <w:rPr>
                <w:sz w:val="20"/>
                <w:szCs w:val="20"/>
                <w:lang w:val="en-AU"/>
              </w:rPr>
              <w:t>In 2012 100 districts (nearly 20%) show</w:t>
            </w:r>
            <w:r w:rsidR="00111EC8" w:rsidRPr="00402A11">
              <w:rPr>
                <w:sz w:val="20"/>
                <w:szCs w:val="20"/>
                <w:lang w:val="en-AU"/>
              </w:rPr>
              <w:t>ed</w:t>
            </w:r>
            <w:r w:rsidRPr="00402A11">
              <w:rPr>
                <w:sz w:val="20"/>
                <w:szCs w:val="20"/>
                <w:lang w:val="en-AU"/>
              </w:rPr>
              <w:t xml:space="preserve"> a decline in the</w:t>
            </w:r>
            <w:r w:rsidR="00111EC8" w:rsidRPr="00402A11">
              <w:rPr>
                <w:sz w:val="20"/>
                <w:szCs w:val="20"/>
                <w:lang w:val="en-AU"/>
              </w:rPr>
              <w:t>ir</w:t>
            </w:r>
            <w:r w:rsidRPr="00402A11">
              <w:rPr>
                <w:sz w:val="20"/>
                <w:szCs w:val="20"/>
                <w:lang w:val="en-AU"/>
              </w:rPr>
              <w:t xml:space="preserve"> education budget. A marked deterioration from 2011, when only 22 districts experienced a decline in annual education budget allocation. </w:t>
            </w:r>
          </w:p>
          <w:p w:rsidR="007F1806" w:rsidRPr="00402A11" w:rsidRDefault="007F1806" w:rsidP="00402A11">
            <w:pPr>
              <w:pStyle w:val="ListParagraph"/>
              <w:numPr>
                <w:ilvl w:val="0"/>
                <w:numId w:val="12"/>
              </w:numPr>
              <w:spacing w:after="60" w:line="240" w:lineRule="auto"/>
              <w:ind w:left="284" w:hanging="284"/>
              <w:contextualSpacing w:val="0"/>
              <w:jc w:val="both"/>
              <w:rPr>
                <w:sz w:val="20"/>
                <w:szCs w:val="20"/>
                <w:lang w:val="en-AU"/>
              </w:rPr>
            </w:pPr>
            <w:r w:rsidRPr="00402A11">
              <w:rPr>
                <w:sz w:val="20"/>
                <w:szCs w:val="20"/>
                <w:lang w:val="en-AU"/>
              </w:rPr>
              <w:t xml:space="preserve">Looking specifically at the poorest quintile districts in 2012, the problem of contracting education budgets is again focused on Papua. Twenty of the </w:t>
            </w:r>
            <w:r w:rsidR="00111EC8" w:rsidRPr="00402A11">
              <w:rPr>
                <w:sz w:val="20"/>
                <w:szCs w:val="20"/>
                <w:lang w:val="en-AU"/>
              </w:rPr>
              <w:t xml:space="preserve">31 </w:t>
            </w:r>
            <w:r w:rsidRPr="00402A11">
              <w:rPr>
                <w:sz w:val="20"/>
                <w:szCs w:val="20"/>
                <w:lang w:val="en-AU"/>
              </w:rPr>
              <w:t>districts recording a decline in nominal annual district education expenditure are located in Papua.</w:t>
            </w:r>
          </w:p>
          <w:p w:rsidR="007F1806" w:rsidRPr="00402A11" w:rsidRDefault="007F1806" w:rsidP="00402A11">
            <w:pPr>
              <w:pStyle w:val="ListParagraph"/>
              <w:numPr>
                <w:ilvl w:val="0"/>
                <w:numId w:val="12"/>
              </w:numPr>
              <w:spacing w:after="60" w:line="240" w:lineRule="auto"/>
              <w:ind w:left="284" w:hanging="284"/>
              <w:contextualSpacing w:val="0"/>
              <w:jc w:val="both"/>
              <w:rPr>
                <w:sz w:val="20"/>
                <w:szCs w:val="20"/>
                <w:lang w:val="en-AU"/>
              </w:rPr>
            </w:pPr>
            <w:r w:rsidRPr="00402A11">
              <w:rPr>
                <w:sz w:val="20"/>
                <w:szCs w:val="20"/>
                <w:lang w:val="en-AU"/>
              </w:rPr>
              <w:t>In 2012, 31 of the poorest districts experienced a contraction in their nominal education expenditure (before accounting for inflation) compared to the previous district annual budget. This is a retreat from the previous year when only 6 poorest quintile districts experienced an annual decline.</w:t>
            </w:r>
          </w:p>
          <w:p w:rsidR="007F1806" w:rsidRPr="00402A11" w:rsidRDefault="007F1806" w:rsidP="00402A11">
            <w:pPr>
              <w:pStyle w:val="ListParagraph"/>
              <w:numPr>
                <w:ilvl w:val="0"/>
                <w:numId w:val="12"/>
              </w:numPr>
              <w:spacing w:after="60" w:line="240" w:lineRule="auto"/>
              <w:ind w:left="284" w:hanging="284"/>
              <w:contextualSpacing w:val="0"/>
              <w:jc w:val="both"/>
              <w:rPr>
                <w:sz w:val="20"/>
                <w:szCs w:val="20"/>
                <w:lang w:val="en-AU"/>
              </w:rPr>
            </w:pPr>
            <w:r w:rsidRPr="00402A11">
              <w:rPr>
                <w:sz w:val="20"/>
                <w:szCs w:val="20"/>
                <w:lang w:val="en-AU"/>
              </w:rPr>
              <w:lastRenderedPageBreak/>
              <w:t>Urban districts with an average annual growth of 14% in year to year allocations grew more strongly than urban districts (11%).</w:t>
            </w:r>
          </w:p>
        </w:tc>
      </w:tr>
      <w:tr w:rsidR="007F1806" w:rsidRPr="00402A11" w:rsidTr="00402A11">
        <w:trPr>
          <w:jc w:val="center"/>
        </w:trPr>
        <w:tc>
          <w:tcPr>
            <w:tcW w:w="1000" w:type="pct"/>
            <w:tcBorders>
              <w:left w:val="single" w:sz="12" w:space="0" w:color="auto"/>
            </w:tcBorders>
            <w:shd w:val="clear" w:color="auto" w:fill="BFBFBF" w:themeFill="background1" w:themeFillShade="BF"/>
            <w:vAlign w:val="center"/>
          </w:tcPr>
          <w:p w:rsidR="007F1806" w:rsidRPr="00402A11" w:rsidRDefault="007F1806" w:rsidP="00402A11">
            <w:pPr>
              <w:spacing w:after="0"/>
              <w:jc w:val="center"/>
              <w:rPr>
                <w:sz w:val="20"/>
                <w:szCs w:val="20"/>
                <w:lang w:val="en-AU"/>
              </w:rPr>
            </w:pPr>
            <w:r w:rsidRPr="00402A11">
              <w:rPr>
                <w:sz w:val="20"/>
                <w:szCs w:val="20"/>
                <w:lang w:val="en-AU"/>
              </w:rPr>
              <w:lastRenderedPageBreak/>
              <w:t>Observations about EP districts</w:t>
            </w:r>
          </w:p>
        </w:tc>
        <w:tc>
          <w:tcPr>
            <w:tcW w:w="7216" w:type="dxa"/>
            <w:gridSpan w:val="3"/>
            <w:tcBorders>
              <w:right w:val="single" w:sz="12" w:space="0" w:color="auto"/>
            </w:tcBorders>
            <w:vAlign w:val="center"/>
          </w:tcPr>
          <w:p w:rsidR="001B0B60" w:rsidRPr="00402A11" w:rsidRDefault="007C399B" w:rsidP="00402A11">
            <w:pPr>
              <w:pStyle w:val="ListParagraph"/>
              <w:numPr>
                <w:ilvl w:val="0"/>
                <w:numId w:val="12"/>
              </w:numPr>
              <w:spacing w:after="60" w:line="240" w:lineRule="auto"/>
              <w:ind w:left="284" w:hanging="284"/>
              <w:contextualSpacing w:val="0"/>
              <w:jc w:val="both"/>
              <w:rPr>
                <w:sz w:val="20"/>
                <w:szCs w:val="20"/>
                <w:lang w:val="en-AU"/>
              </w:rPr>
            </w:pPr>
            <w:r w:rsidRPr="00402A11">
              <w:rPr>
                <w:sz w:val="20"/>
                <w:szCs w:val="20"/>
                <w:lang w:val="en-AU"/>
              </w:rPr>
              <w:t xml:space="preserve">In 2012 EP districts on average grew their education budgets by 12% on the previous year’s budget. </w:t>
            </w:r>
          </w:p>
          <w:p w:rsidR="007F1806" w:rsidRPr="00402A11" w:rsidRDefault="007C399B" w:rsidP="00402A11">
            <w:pPr>
              <w:pStyle w:val="ListParagraph"/>
              <w:numPr>
                <w:ilvl w:val="0"/>
                <w:numId w:val="12"/>
              </w:numPr>
              <w:spacing w:after="60" w:line="240" w:lineRule="auto"/>
              <w:ind w:left="284" w:hanging="284"/>
              <w:contextualSpacing w:val="0"/>
              <w:jc w:val="both"/>
              <w:rPr>
                <w:sz w:val="20"/>
                <w:szCs w:val="20"/>
                <w:lang w:val="en-AU"/>
              </w:rPr>
            </w:pPr>
            <w:r w:rsidRPr="00402A11">
              <w:rPr>
                <w:sz w:val="20"/>
                <w:szCs w:val="20"/>
                <w:lang w:val="en-AU"/>
              </w:rPr>
              <w:t xml:space="preserve">However, </w:t>
            </w:r>
            <w:r w:rsidR="001B0B60" w:rsidRPr="00402A11">
              <w:rPr>
                <w:sz w:val="20"/>
                <w:szCs w:val="20"/>
                <w:lang w:val="en-AU"/>
              </w:rPr>
              <w:t>59 EP districts showed an annual contraction in their education budget compared to the previous year</w:t>
            </w:r>
            <w:r w:rsidRPr="00402A11">
              <w:rPr>
                <w:sz w:val="20"/>
                <w:szCs w:val="20"/>
                <w:lang w:val="en-AU"/>
              </w:rPr>
              <w:t>.</w:t>
            </w:r>
          </w:p>
        </w:tc>
      </w:tr>
      <w:tr w:rsidR="007F1806" w:rsidRPr="00402A11" w:rsidTr="00402A11">
        <w:trPr>
          <w:jc w:val="center"/>
        </w:trPr>
        <w:tc>
          <w:tcPr>
            <w:tcW w:w="1000" w:type="pct"/>
            <w:tcBorders>
              <w:left w:val="single" w:sz="12" w:space="0" w:color="auto"/>
            </w:tcBorders>
            <w:shd w:val="clear" w:color="auto" w:fill="BFBFBF" w:themeFill="background1" w:themeFillShade="BF"/>
            <w:vAlign w:val="center"/>
          </w:tcPr>
          <w:p w:rsidR="007F1806" w:rsidRPr="00402A11" w:rsidRDefault="007F1806" w:rsidP="00402A11">
            <w:pPr>
              <w:spacing w:after="0"/>
              <w:jc w:val="center"/>
              <w:rPr>
                <w:sz w:val="20"/>
                <w:szCs w:val="20"/>
                <w:lang w:val="en-AU"/>
              </w:rPr>
            </w:pPr>
            <w:r w:rsidRPr="00402A11">
              <w:rPr>
                <w:sz w:val="20"/>
                <w:szCs w:val="20"/>
                <w:lang w:val="en-AU"/>
              </w:rPr>
              <w:t>Observations about AIBEP districts</w:t>
            </w:r>
          </w:p>
        </w:tc>
        <w:tc>
          <w:tcPr>
            <w:tcW w:w="7216" w:type="dxa"/>
            <w:gridSpan w:val="3"/>
            <w:tcBorders>
              <w:right w:val="single" w:sz="12" w:space="0" w:color="auto"/>
            </w:tcBorders>
            <w:vAlign w:val="center"/>
          </w:tcPr>
          <w:p w:rsidR="007F1806" w:rsidRPr="00402A11" w:rsidRDefault="007F1806" w:rsidP="00402A11">
            <w:pPr>
              <w:pStyle w:val="ListParagraph"/>
              <w:numPr>
                <w:ilvl w:val="0"/>
                <w:numId w:val="12"/>
              </w:numPr>
              <w:spacing w:after="60" w:line="240" w:lineRule="auto"/>
              <w:ind w:left="284" w:hanging="284"/>
              <w:contextualSpacing w:val="0"/>
              <w:jc w:val="both"/>
              <w:rPr>
                <w:sz w:val="20"/>
                <w:szCs w:val="20"/>
                <w:lang w:val="en-AU"/>
              </w:rPr>
            </w:pPr>
            <w:r w:rsidRPr="00402A11">
              <w:rPr>
                <w:sz w:val="20"/>
                <w:szCs w:val="20"/>
                <w:lang w:val="en-AU"/>
              </w:rPr>
              <w:t xml:space="preserve">In 2012, BEP districts within all poverty quintiles showed annual growth in education expenditure. </w:t>
            </w:r>
          </w:p>
        </w:tc>
      </w:tr>
      <w:tr w:rsidR="007F1806" w:rsidRPr="00402A11" w:rsidTr="00402A11">
        <w:trPr>
          <w:tblHeader/>
          <w:jc w:val="center"/>
        </w:trPr>
        <w:tc>
          <w:tcPr>
            <w:tcW w:w="9019" w:type="dxa"/>
            <w:gridSpan w:val="4"/>
            <w:tcBorders>
              <w:left w:val="single" w:sz="12" w:space="0" w:color="auto"/>
              <w:bottom w:val="single" w:sz="4" w:space="0" w:color="auto"/>
              <w:right w:val="single" w:sz="12" w:space="0" w:color="auto"/>
            </w:tcBorders>
            <w:shd w:val="clear" w:color="auto" w:fill="68BAD6"/>
            <w:vAlign w:val="center"/>
          </w:tcPr>
          <w:p w:rsidR="007F1806" w:rsidRPr="00402A11" w:rsidRDefault="00402A11" w:rsidP="00402A11">
            <w:pPr>
              <w:spacing w:after="0"/>
              <w:jc w:val="center"/>
              <w:rPr>
                <w:rFonts w:asciiTheme="minorHAnsi" w:hAnsiTheme="minorHAnsi" w:cstheme="minorHAnsi"/>
                <w:b/>
                <w:color w:val="FFFFFF" w:themeColor="background1"/>
                <w:sz w:val="20"/>
                <w:szCs w:val="20"/>
                <w:lang w:val="en-US"/>
              </w:rPr>
            </w:pPr>
            <w:r w:rsidRPr="00402A11">
              <w:rPr>
                <w:rFonts w:asciiTheme="minorHAnsi" w:hAnsiTheme="minorHAnsi" w:cstheme="minorHAnsi"/>
                <w:b/>
                <w:sz w:val="20"/>
                <w:szCs w:val="20"/>
                <w:lang w:val="en-US"/>
              </w:rPr>
              <w:t>IMPLICATIONS AND MATTERS ARISING</w:t>
            </w:r>
          </w:p>
        </w:tc>
      </w:tr>
      <w:tr w:rsidR="007F1806" w:rsidRPr="00402A11" w:rsidTr="00402A11">
        <w:trPr>
          <w:jc w:val="center"/>
        </w:trPr>
        <w:tc>
          <w:tcPr>
            <w:tcW w:w="1000" w:type="pct"/>
            <w:tcBorders>
              <w:left w:val="single" w:sz="12" w:space="0" w:color="auto"/>
            </w:tcBorders>
            <w:shd w:val="clear" w:color="auto" w:fill="BFBFBF" w:themeFill="background1" w:themeFillShade="BF"/>
            <w:vAlign w:val="center"/>
          </w:tcPr>
          <w:p w:rsidR="007F1806" w:rsidRPr="00402A11" w:rsidRDefault="007F1806" w:rsidP="00402A11">
            <w:pPr>
              <w:spacing w:after="0"/>
              <w:jc w:val="center"/>
              <w:rPr>
                <w:sz w:val="20"/>
                <w:szCs w:val="20"/>
                <w:lang w:val="en-AU"/>
              </w:rPr>
            </w:pPr>
            <w:r w:rsidRPr="00402A11">
              <w:rPr>
                <w:sz w:val="20"/>
                <w:szCs w:val="20"/>
                <w:lang w:val="en-AU"/>
              </w:rPr>
              <w:t>For the performance of the education sector</w:t>
            </w:r>
          </w:p>
        </w:tc>
        <w:tc>
          <w:tcPr>
            <w:tcW w:w="7216" w:type="dxa"/>
            <w:gridSpan w:val="3"/>
            <w:tcBorders>
              <w:right w:val="single" w:sz="12" w:space="0" w:color="auto"/>
            </w:tcBorders>
            <w:vAlign w:val="center"/>
          </w:tcPr>
          <w:p w:rsidR="00722B89" w:rsidRPr="00402A11" w:rsidRDefault="00722B89" w:rsidP="00402A11">
            <w:pPr>
              <w:pStyle w:val="ListParagraph"/>
              <w:numPr>
                <w:ilvl w:val="0"/>
                <w:numId w:val="12"/>
              </w:numPr>
              <w:spacing w:after="60" w:line="240" w:lineRule="auto"/>
              <w:ind w:left="284" w:hanging="284"/>
              <w:contextualSpacing w:val="0"/>
              <w:jc w:val="both"/>
              <w:rPr>
                <w:sz w:val="20"/>
                <w:szCs w:val="20"/>
                <w:lang w:val="en-AU"/>
              </w:rPr>
            </w:pPr>
            <w:r w:rsidRPr="00402A11">
              <w:rPr>
                <w:sz w:val="20"/>
                <w:szCs w:val="20"/>
                <w:lang w:val="en-AU"/>
              </w:rPr>
              <w:t xml:space="preserve">Poorest districts had the lowest average percentage increase in budget allocations for education of all the poverty quintiles. Their growth of education budgets is marginally above the annual inflation rate. </w:t>
            </w:r>
          </w:p>
          <w:p w:rsidR="00722B89" w:rsidRPr="00402A11" w:rsidRDefault="007C399B" w:rsidP="00402A11">
            <w:pPr>
              <w:pStyle w:val="ListParagraph"/>
              <w:numPr>
                <w:ilvl w:val="0"/>
                <w:numId w:val="12"/>
              </w:numPr>
              <w:spacing w:after="60" w:line="240" w:lineRule="auto"/>
              <w:ind w:left="284" w:hanging="284"/>
              <w:contextualSpacing w:val="0"/>
              <w:jc w:val="both"/>
              <w:rPr>
                <w:sz w:val="20"/>
                <w:szCs w:val="20"/>
                <w:lang w:val="en-AU"/>
              </w:rPr>
            </w:pPr>
            <w:r w:rsidRPr="00402A11">
              <w:rPr>
                <w:sz w:val="20"/>
                <w:szCs w:val="20"/>
                <w:lang w:val="en-AU"/>
              </w:rPr>
              <w:t>In 2012 nearly 100 districts (nearly 20%) show</w:t>
            </w:r>
            <w:r w:rsidR="00111EC8" w:rsidRPr="00402A11">
              <w:rPr>
                <w:sz w:val="20"/>
                <w:szCs w:val="20"/>
                <w:lang w:val="en-AU"/>
              </w:rPr>
              <w:t>ed</w:t>
            </w:r>
            <w:r w:rsidRPr="00402A11">
              <w:rPr>
                <w:sz w:val="20"/>
                <w:szCs w:val="20"/>
                <w:lang w:val="en-AU"/>
              </w:rPr>
              <w:t xml:space="preserve"> an annual </w:t>
            </w:r>
            <w:r w:rsidR="00E073DF" w:rsidRPr="00402A11">
              <w:rPr>
                <w:sz w:val="20"/>
                <w:szCs w:val="20"/>
                <w:lang w:val="en-AU"/>
              </w:rPr>
              <w:t>decline their education budget</w:t>
            </w:r>
            <w:r w:rsidR="00111EC8" w:rsidRPr="00402A11">
              <w:rPr>
                <w:sz w:val="20"/>
                <w:szCs w:val="20"/>
                <w:lang w:val="en-AU"/>
              </w:rPr>
              <w:t>; a</w:t>
            </w:r>
            <w:r w:rsidRPr="00402A11">
              <w:rPr>
                <w:sz w:val="20"/>
                <w:szCs w:val="20"/>
                <w:lang w:val="en-AU"/>
              </w:rPr>
              <w:t xml:space="preserve"> deterioration from 2011 when only 22 districts showed an annual drop in </w:t>
            </w:r>
            <w:r w:rsidR="00E073DF" w:rsidRPr="00402A11">
              <w:rPr>
                <w:sz w:val="20"/>
                <w:szCs w:val="20"/>
                <w:lang w:val="en-AU"/>
              </w:rPr>
              <w:t>their education budget allocation.</w:t>
            </w:r>
          </w:p>
          <w:p w:rsidR="007F1806" w:rsidRPr="00402A11" w:rsidRDefault="00722B89" w:rsidP="00402A11">
            <w:pPr>
              <w:pStyle w:val="ListParagraph"/>
              <w:numPr>
                <w:ilvl w:val="0"/>
                <w:numId w:val="12"/>
              </w:numPr>
              <w:spacing w:after="60" w:line="240" w:lineRule="auto"/>
              <w:ind w:left="284" w:hanging="284"/>
              <w:contextualSpacing w:val="0"/>
              <w:jc w:val="both"/>
              <w:rPr>
                <w:sz w:val="20"/>
                <w:szCs w:val="20"/>
                <w:lang w:val="en-AU"/>
              </w:rPr>
            </w:pPr>
            <w:r w:rsidRPr="00402A11">
              <w:rPr>
                <w:sz w:val="20"/>
                <w:szCs w:val="20"/>
                <w:lang w:val="en-AU"/>
              </w:rPr>
              <w:t xml:space="preserve">A diagnostic assessment should be considered for Papua and those poorest districts which are reducing their education expenditures. </w:t>
            </w:r>
          </w:p>
        </w:tc>
      </w:tr>
      <w:tr w:rsidR="007F1806" w:rsidRPr="00402A11" w:rsidTr="00402A11">
        <w:trPr>
          <w:jc w:val="center"/>
        </w:trPr>
        <w:tc>
          <w:tcPr>
            <w:tcW w:w="1000" w:type="pct"/>
            <w:tcBorders>
              <w:left w:val="single" w:sz="12" w:space="0" w:color="auto"/>
              <w:bottom w:val="single" w:sz="12" w:space="0" w:color="auto"/>
            </w:tcBorders>
            <w:shd w:val="clear" w:color="auto" w:fill="BFBFBF" w:themeFill="background1" w:themeFillShade="BF"/>
            <w:vAlign w:val="center"/>
          </w:tcPr>
          <w:p w:rsidR="007F1806" w:rsidRPr="00402A11" w:rsidRDefault="007F1806" w:rsidP="00402A11">
            <w:pPr>
              <w:spacing w:after="0"/>
              <w:jc w:val="center"/>
              <w:rPr>
                <w:sz w:val="20"/>
                <w:szCs w:val="20"/>
                <w:lang w:val="en-AU"/>
              </w:rPr>
            </w:pPr>
            <w:r w:rsidRPr="00402A11">
              <w:rPr>
                <w:sz w:val="20"/>
                <w:szCs w:val="20"/>
                <w:lang w:val="en-AU"/>
              </w:rPr>
              <w:t>For the performance of the Education Partnership</w:t>
            </w:r>
          </w:p>
        </w:tc>
        <w:tc>
          <w:tcPr>
            <w:tcW w:w="7216" w:type="dxa"/>
            <w:gridSpan w:val="3"/>
            <w:tcBorders>
              <w:bottom w:val="single" w:sz="12" w:space="0" w:color="auto"/>
              <w:right w:val="single" w:sz="12" w:space="0" w:color="auto"/>
            </w:tcBorders>
            <w:vAlign w:val="center"/>
          </w:tcPr>
          <w:p w:rsidR="007F1806" w:rsidRPr="00402A11" w:rsidRDefault="00111EC8" w:rsidP="00402A11">
            <w:pPr>
              <w:pStyle w:val="ListParagraph"/>
              <w:numPr>
                <w:ilvl w:val="0"/>
                <w:numId w:val="12"/>
              </w:numPr>
              <w:spacing w:after="60" w:line="240" w:lineRule="auto"/>
              <w:ind w:left="284" w:hanging="284"/>
              <w:contextualSpacing w:val="0"/>
              <w:jc w:val="both"/>
              <w:rPr>
                <w:sz w:val="20"/>
                <w:szCs w:val="20"/>
                <w:lang w:val="en-AU"/>
              </w:rPr>
            </w:pPr>
            <w:r w:rsidRPr="00402A11">
              <w:rPr>
                <w:sz w:val="20"/>
                <w:szCs w:val="20"/>
                <w:lang w:val="en-AU"/>
              </w:rPr>
              <w:t>There is merit in</w:t>
            </w:r>
            <w:r w:rsidR="004971BD">
              <w:rPr>
                <w:sz w:val="20"/>
                <w:szCs w:val="20"/>
                <w:lang w:val="en-AU"/>
              </w:rPr>
              <w:t xml:space="preserve"> </w:t>
            </w:r>
            <w:r w:rsidRPr="00402A11">
              <w:rPr>
                <w:sz w:val="20"/>
                <w:szCs w:val="20"/>
                <w:lang w:val="en-AU"/>
              </w:rPr>
              <w:t>speaking with those</w:t>
            </w:r>
            <w:r w:rsidR="00931A16" w:rsidRPr="00402A11">
              <w:rPr>
                <w:sz w:val="20"/>
                <w:szCs w:val="20"/>
                <w:lang w:val="en-AU"/>
              </w:rPr>
              <w:t xml:space="preserve"> EP districts that reduced their 2012 education budget allocations compared to 2011</w:t>
            </w:r>
          </w:p>
          <w:p w:rsidR="007F1806" w:rsidRPr="00402A11" w:rsidRDefault="00111EC8" w:rsidP="00402A11">
            <w:pPr>
              <w:pStyle w:val="ListParagraph"/>
              <w:numPr>
                <w:ilvl w:val="0"/>
                <w:numId w:val="12"/>
              </w:numPr>
              <w:spacing w:after="60" w:line="240" w:lineRule="auto"/>
              <w:ind w:left="284" w:hanging="284"/>
              <w:contextualSpacing w:val="0"/>
              <w:jc w:val="both"/>
              <w:rPr>
                <w:rFonts w:ascii="Gill Sans MT" w:hAnsi="Gill Sans MT" w:cs="Calibri"/>
                <w:sz w:val="20"/>
                <w:szCs w:val="20"/>
                <w:lang w:val="en-AU"/>
              </w:rPr>
            </w:pPr>
            <w:r w:rsidRPr="00402A11">
              <w:rPr>
                <w:sz w:val="20"/>
                <w:szCs w:val="20"/>
                <w:lang w:val="en-AU"/>
              </w:rPr>
              <w:t>There may also be merit in running d</w:t>
            </w:r>
            <w:r w:rsidR="00931A16" w:rsidRPr="00402A11">
              <w:rPr>
                <w:sz w:val="20"/>
                <w:szCs w:val="20"/>
                <w:lang w:val="en-AU"/>
              </w:rPr>
              <w:t xml:space="preserve">etailed diagnostics on (i) </w:t>
            </w:r>
            <w:r w:rsidRPr="00402A11">
              <w:rPr>
                <w:sz w:val="20"/>
                <w:szCs w:val="20"/>
                <w:lang w:val="en-AU"/>
              </w:rPr>
              <w:t xml:space="preserve">a sample of </w:t>
            </w:r>
            <w:r w:rsidR="00931A16" w:rsidRPr="00402A11">
              <w:rPr>
                <w:sz w:val="20"/>
                <w:szCs w:val="20"/>
                <w:lang w:val="en-AU"/>
              </w:rPr>
              <w:t xml:space="preserve">poorest EP districts that had an annual reduction in their 2012, and (ii) </w:t>
            </w:r>
            <w:r w:rsidRPr="00402A11">
              <w:rPr>
                <w:sz w:val="20"/>
                <w:szCs w:val="20"/>
                <w:lang w:val="en-AU"/>
              </w:rPr>
              <w:t xml:space="preserve">a sample of </w:t>
            </w:r>
            <w:r w:rsidR="00931A16" w:rsidRPr="00402A11">
              <w:rPr>
                <w:sz w:val="20"/>
                <w:szCs w:val="20"/>
                <w:lang w:val="en-AU"/>
              </w:rPr>
              <w:t>districts with annual drop greater than 10%</w:t>
            </w:r>
            <w:r w:rsidR="00846B0E" w:rsidRPr="00402A11">
              <w:rPr>
                <w:sz w:val="20"/>
                <w:szCs w:val="20"/>
                <w:lang w:val="en-AU"/>
              </w:rPr>
              <w:t xml:space="preserve">. </w:t>
            </w:r>
            <w:r w:rsidRPr="00402A11">
              <w:rPr>
                <w:sz w:val="20"/>
                <w:szCs w:val="20"/>
                <w:lang w:val="en-AU"/>
              </w:rPr>
              <w:t>The d</w:t>
            </w:r>
            <w:r w:rsidR="00846B0E" w:rsidRPr="00402A11">
              <w:rPr>
                <w:sz w:val="20"/>
                <w:szCs w:val="20"/>
                <w:lang w:val="en-AU"/>
              </w:rPr>
              <w:t xml:space="preserve">iagnoses </w:t>
            </w:r>
            <w:r w:rsidRPr="00402A11">
              <w:rPr>
                <w:sz w:val="20"/>
                <w:szCs w:val="20"/>
                <w:lang w:val="en-AU"/>
              </w:rPr>
              <w:t xml:space="preserve">could be used to better </w:t>
            </w:r>
            <w:r w:rsidR="00931A16" w:rsidRPr="00402A11">
              <w:rPr>
                <w:sz w:val="20"/>
                <w:szCs w:val="20"/>
                <w:lang w:val="en-AU"/>
              </w:rPr>
              <w:t xml:space="preserve">understand reasons for </w:t>
            </w:r>
            <w:r w:rsidRPr="00402A11">
              <w:rPr>
                <w:sz w:val="20"/>
                <w:szCs w:val="20"/>
                <w:lang w:val="en-AU"/>
              </w:rPr>
              <w:t xml:space="preserve">the </w:t>
            </w:r>
            <w:r w:rsidR="00931A16" w:rsidRPr="00402A11">
              <w:rPr>
                <w:sz w:val="20"/>
                <w:szCs w:val="20"/>
                <w:lang w:val="en-AU"/>
              </w:rPr>
              <w:t xml:space="preserve">drop and </w:t>
            </w:r>
            <w:r w:rsidRPr="00402A11">
              <w:rPr>
                <w:sz w:val="20"/>
                <w:szCs w:val="20"/>
                <w:lang w:val="en-AU"/>
              </w:rPr>
              <w:t xml:space="preserve">to </w:t>
            </w:r>
            <w:r w:rsidR="00846B0E" w:rsidRPr="00402A11">
              <w:rPr>
                <w:sz w:val="20"/>
                <w:szCs w:val="20"/>
                <w:lang w:val="en-AU"/>
              </w:rPr>
              <w:t xml:space="preserve">monitor </w:t>
            </w:r>
            <w:r w:rsidR="00931A16" w:rsidRPr="00402A11">
              <w:rPr>
                <w:sz w:val="20"/>
                <w:szCs w:val="20"/>
                <w:lang w:val="en-AU"/>
              </w:rPr>
              <w:t xml:space="preserve">change </w:t>
            </w:r>
            <w:r w:rsidR="00846B0E" w:rsidRPr="00402A11">
              <w:rPr>
                <w:sz w:val="20"/>
                <w:szCs w:val="20"/>
                <w:lang w:val="en-AU"/>
              </w:rPr>
              <w:t>in allocations in 2013 and 2014 district budgets.</w:t>
            </w:r>
          </w:p>
        </w:tc>
      </w:tr>
    </w:tbl>
    <w:p w:rsidR="007F1806" w:rsidRDefault="007F1806" w:rsidP="006A4E0A"/>
    <w:p w:rsidR="00111EC8" w:rsidRPr="00402A11" w:rsidRDefault="00111EC8" w:rsidP="00402A11">
      <w:pPr>
        <w:spacing w:before="240" w:line="276" w:lineRule="auto"/>
        <w:rPr>
          <w:rStyle w:val="IntenseEmphasis"/>
          <w:rFonts w:asciiTheme="minorHAnsi" w:hAnsiTheme="minorHAnsi" w:cstheme="minorHAnsi"/>
          <w:b w:val="0"/>
          <w:i w:val="0"/>
          <w:iCs w:val="0"/>
          <w:color w:val="003880"/>
          <w:sz w:val="24"/>
          <w:szCs w:val="28"/>
        </w:rPr>
      </w:pPr>
      <w:r w:rsidRPr="00402A11">
        <w:rPr>
          <w:rStyle w:val="IntenseEmphasis"/>
          <w:rFonts w:asciiTheme="minorHAnsi" w:hAnsiTheme="minorHAnsi" w:cstheme="minorHAnsi"/>
          <w:b w:val="0"/>
          <w:i w:val="0"/>
          <w:iCs w:val="0"/>
          <w:color w:val="003880"/>
          <w:sz w:val="24"/>
          <w:szCs w:val="28"/>
        </w:rPr>
        <w:t xml:space="preserve">Discussion </w:t>
      </w:r>
    </w:p>
    <w:p w:rsidR="006A4E0A" w:rsidRDefault="006A4E0A" w:rsidP="00402A11">
      <w:pPr>
        <w:spacing w:line="276" w:lineRule="auto"/>
        <w:jc w:val="both"/>
      </w:pPr>
      <w:r>
        <w:t>The average annual growth rate of district education budgets in 2012 was a strong 12%. This follow</w:t>
      </w:r>
      <w:r w:rsidR="00987B88">
        <w:t>s</w:t>
      </w:r>
      <w:r>
        <w:t xml:space="preserve"> a very strong growth </w:t>
      </w:r>
      <w:r w:rsidR="00987B88">
        <w:t xml:space="preserve">in </w:t>
      </w:r>
      <w:r>
        <w:t xml:space="preserve">2011 (36%). Although the chart may show a dip from the previous year, </w:t>
      </w:r>
      <w:r w:rsidR="00987B88">
        <w:t xml:space="preserve">a </w:t>
      </w:r>
      <w:r>
        <w:t>12% annual growth in education spending is very healthy. The strongest growth was shown by the urban districts</w:t>
      </w:r>
      <w:r w:rsidR="00987B88">
        <w:t>,</w:t>
      </w:r>
      <w:r>
        <w:t xml:space="preserve"> which had annual growth of 14% compared with an 11% annual growth of urban districts</w:t>
      </w:r>
      <w:r w:rsidR="00987B88">
        <w:t xml:space="preserve"> (see Figure 2</w:t>
      </w:r>
      <w:r w:rsidR="009B6D6D">
        <w:t>3</w:t>
      </w:r>
      <w:r w:rsidR="00987B88">
        <w:t>, below)</w:t>
      </w:r>
      <w:r>
        <w:t xml:space="preserve">. </w:t>
      </w:r>
    </w:p>
    <w:p w:rsidR="006A4E0A" w:rsidRDefault="001A3FC6" w:rsidP="001A3FC6">
      <w:pPr>
        <w:pStyle w:val="Caption"/>
      </w:pPr>
      <w:bookmarkStart w:id="73" w:name="_Toc374182070"/>
      <w:bookmarkStart w:id="74" w:name="_Toc381604807"/>
      <w:r>
        <w:lastRenderedPageBreak/>
        <w:t>Figure 2</w:t>
      </w:r>
      <w:r w:rsidR="00962BFF">
        <w:t>3</w:t>
      </w:r>
      <w:r>
        <w:t xml:space="preserve">: </w:t>
      </w:r>
      <w:r w:rsidR="006A4E0A" w:rsidRPr="006511D5">
        <w:t xml:space="preserve">Annual Growth in </w:t>
      </w:r>
      <w:r w:rsidR="006A4E0A">
        <w:t>District Education Expenditure, (APBD 2007-2012)</w:t>
      </w:r>
      <w:bookmarkEnd w:id="73"/>
      <w:bookmarkEnd w:id="74"/>
      <w:r w:rsidR="006A4E0A">
        <w:t xml:space="preserve"> </w:t>
      </w:r>
    </w:p>
    <w:p w:rsidR="006A4E0A" w:rsidRPr="001415DC" w:rsidRDefault="006A4E0A" w:rsidP="00402A11">
      <w:pPr>
        <w:spacing w:after="360"/>
        <w:jc w:val="center"/>
      </w:pPr>
      <w:r>
        <w:rPr>
          <w:noProof/>
          <w:lang w:val="en-AU" w:eastAsia="en-AU"/>
        </w:rPr>
        <w:drawing>
          <wp:inline distT="0" distB="0" distL="0" distR="0" wp14:anchorId="62129DDA" wp14:editId="7F3E94A0">
            <wp:extent cx="5562600" cy="3248025"/>
            <wp:effectExtent l="19050" t="19050" r="1905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66410" cy="3250250"/>
                    </a:xfrm>
                    <a:prstGeom prst="rect">
                      <a:avLst/>
                    </a:prstGeom>
                    <a:noFill/>
                    <a:ln>
                      <a:solidFill>
                        <a:schemeClr val="accent1"/>
                      </a:solidFill>
                    </a:ln>
                  </pic:spPr>
                </pic:pic>
              </a:graphicData>
            </a:graphic>
          </wp:inline>
        </w:drawing>
      </w:r>
    </w:p>
    <w:p w:rsidR="006A4E0A" w:rsidRDefault="006A4E0A" w:rsidP="002E318D">
      <w:pPr>
        <w:spacing w:line="276" w:lineRule="auto"/>
        <w:jc w:val="both"/>
      </w:pPr>
      <w:r>
        <w:t>In 2012, 31 of the poorest districts experienced a contraction in their nominal education expenditure (before accounting for inflation) compared to the previous district annual budget. This is a retreat from the previous year when only 6 poorest quintile districts experienced an annual decline in the dedicated 2011 district budget funds for education (compared with the 2010 district budget allocations).</w:t>
      </w:r>
    </w:p>
    <w:p w:rsidR="006A4E0A" w:rsidRDefault="006A4E0A" w:rsidP="002E318D">
      <w:pPr>
        <w:spacing w:line="276" w:lineRule="auto"/>
        <w:jc w:val="both"/>
        <w:rPr>
          <w:color w:val="000000"/>
        </w:rPr>
      </w:pPr>
      <w:r>
        <w:rPr>
          <w:color w:val="000000"/>
        </w:rPr>
        <w:t>Papua remains the focus of the decline - twenty of the districts recording a decline in nominal annual district education expenditure (out of 31) are located in Papua.</w:t>
      </w:r>
    </w:p>
    <w:p w:rsidR="006A4E0A" w:rsidRDefault="00962BFF" w:rsidP="001A3FC6">
      <w:pPr>
        <w:pStyle w:val="Caption"/>
      </w:pPr>
      <w:bookmarkStart w:id="75" w:name="_Toc374182071"/>
      <w:bookmarkStart w:id="76" w:name="_Toc381604808"/>
      <w:r>
        <w:lastRenderedPageBreak/>
        <w:t>Figure 24</w:t>
      </w:r>
      <w:r w:rsidR="001A3FC6">
        <w:t xml:space="preserve">: </w:t>
      </w:r>
      <w:r w:rsidR="006A4E0A">
        <w:t xml:space="preserve">Poorest Districts (Quintile 5), Negative </w:t>
      </w:r>
      <w:r w:rsidR="006A4E0A" w:rsidRPr="006511D5">
        <w:t xml:space="preserve">Annual Growth in </w:t>
      </w:r>
      <w:r w:rsidR="006A4E0A">
        <w:t>Education Expenditure, (APBD 2010-2012)</w:t>
      </w:r>
      <w:bookmarkEnd w:id="75"/>
      <w:bookmarkEnd w:id="76"/>
      <w:r w:rsidR="006A4E0A">
        <w:t xml:space="preserve"> </w:t>
      </w:r>
    </w:p>
    <w:p w:rsidR="006A4E0A" w:rsidRDefault="006A4E0A" w:rsidP="00402A11">
      <w:pPr>
        <w:spacing w:after="360"/>
        <w:jc w:val="center"/>
        <w:rPr>
          <w:b/>
          <w:i/>
        </w:rPr>
      </w:pPr>
      <w:r>
        <w:rPr>
          <w:b/>
          <w:i/>
          <w:noProof/>
          <w:lang w:val="en-AU" w:eastAsia="en-AU"/>
        </w:rPr>
        <w:drawing>
          <wp:inline distT="0" distB="0" distL="0" distR="0" wp14:anchorId="1ED8B590" wp14:editId="7ABA1D51">
            <wp:extent cx="5566410" cy="7543581"/>
            <wp:effectExtent l="19050" t="19050" r="15240" b="196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66410" cy="7543581"/>
                    </a:xfrm>
                    <a:prstGeom prst="rect">
                      <a:avLst/>
                    </a:prstGeom>
                    <a:noFill/>
                    <a:ln>
                      <a:solidFill>
                        <a:schemeClr val="accent1"/>
                      </a:solidFill>
                    </a:ln>
                  </pic:spPr>
                </pic:pic>
              </a:graphicData>
            </a:graphic>
          </wp:inline>
        </w:drawing>
      </w:r>
    </w:p>
    <w:p w:rsidR="006A4E0A" w:rsidRDefault="006A4E0A" w:rsidP="002E318D">
      <w:pPr>
        <w:spacing w:line="276" w:lineRule="auto"/>
        <w:jc w:val="both"/>
      </w:pPr>
      <w:r>
        <w:t>Poverty quintile analysis of districts with declining educa</w:t>
      </w:r>
      <w:r w:rsidR="007C399B">
        <w:t>tion budget allocations in 2012</w:t>
      </w:r>
      <w:r>
        <w:t xml:space="preserve"> shows them to be distributed across all quintiles although 31 of the 97 are from the poorest quintile. </w:t>
      </w:r>
    </w:p>
    <w:p w:rsidR="006A4E0A" w:rsidRDefault="006A4E0A" w:rsidP="006A4E0A"/>
    <w:p w:rsidR="006A4E0A" w:rsidRDefault="001A3FC6" w:rsidP="001A3FC6">
      <w:pPr>
        <w:pStyle w:val="Caption"/>
      </w:pPr>
      <w:bookmarkStart w:id="77" w:name="_Toc374182075"/>
      <w:bookmarkStart w:id="78" w:name="_Toc381604809"/>
      <w:r>
        <w:t>Figure 2</w:t>
      </w:r>
      <w:r w:rsidR="00962BFF">
        <w:t>5</w:t>
      </w:r>
      <w:r>
        <w:t xml:space="preserve">: </w:t>
      </w:r>
      <w:r w:rsidR="006A4E0A">
        <w:t xml:space="preserve">Total Number of </w:t>
      </w:r>
      <w:r w:rsidR="006A4E0A" w:rsidRPr="00DA375B">
        <w:t xml:space="preserve">Districts, </w:t>
      </w:r>
      <w:r w:rsidR="006A4E0A">
        <w:t xml:space="preserve">with Negative </w:t>
      </w:r>
      <w:r w:rsidR="006A4E0A" w:rsidRPr="00DA375B">
        <w:t>Annual Growth in APBD Education Expenditure, 2007 -20</w:t>
      </w:r>
      <w:r w:rsidR="006A4E0A">
        <w:t>11</w:t>
      </w:r>
      <w:bookmarkEnd w:id="77"/>
      <w:bookmarkEnd w:id="78"/>
    </w:p>
    <w:p w:rsidR="006A4E0A" w:rsidRDefault="006A4E0A" w:rsidP="00402A11">
      <w:pPr>
        <w:spacing w:after="360"/>
        <w:jc w:val="center"/>
      </w:pPr>
      <w:r>
        <w:rPr>
          <w:noProof/>
          <w:lang w:val="en-AU" w:eastAsia="en-AU"/>
        </w:rPr>
        <w:drawing>
          <wp:inline distT="0" distB="0" distL="0" distR="0" wp14:anchorId="51039B9E" wp14:editId="1275EB85">
            <wp:extent cx="5566410" cy="3358858"/>
            <wp:effectExtent l="19050" t="19050" r="15240" b="133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66410" cy="3358858"/>
                    </a:xfrm>
                    <a:prstGeom prst="rect">
                      <a:avLst/>
                    </a:prstGeom>
                    <a:noFill/>
                    <a:ln>
                      <a:solidFill>
                        <a:schemeClr val="accent1"/>
                      </a:solidFill>
                    </a:ln>
                  </pic:spPr>
                </pic:pic>
              </a:graphicData>
            </a:graphic>
          </wp:inline>
        </w:drawing>
      </w:r>
    </w:p>
    <w:p w:rsidR="00430F92" w:rsidRPr="006107B0" w:rsidRDefault="00430F92" w:rsidP="002E318D">
      <w:pPr>
        <w:spacing w:line="276" w:lineRule="auto"/>
        <w:jc w:val="both"/>
        <w:rPr>
          <w:noProof/>
        </w:rPr>
      </w:pPr>
      <w:r>
        <w:rPr>
          <w:noProof/>
        </w:rPr>
        <w:t>In 2012 there was an increase in the</w:t>
      </w:r>
      <w:r w:rsidR="00722B89">
        <w:rPr>
          <w:noProof/>
        </w:rPr>
        <w:t xml:space="preserve"> number of </w:t>
      </w:r>
      <w:r w:rsidR="007C399B">
        <w:rPr>
          <w:noProof/>
        </w:rPr>
        <w:t xml:space="preserve">EP </w:t>
      </w:r>
      <w:r w:rsidR="00722B89">
        <w:rPr>
          <w:noProof/>
        </w:rPr>
        <w:t xml:space="preserve">districts </w:t>
      </w:r>
      <w:r w:rsidR="007C399B">
        <w:rPr>
          <w:noProof/>
        </w:rPr>
        <w:t>(59 in 2012)</w:t>
      </w:r>
      <w:r w:rsidR="00722B89">
        <w:rPr>
          <w:noProof/>
        </w:rPr>
        <w:t>that exper</w:t>
      </w:r>
      <w:r>
        <w:rPr>
          <w:noProof/>
        </w:rPr>
        <w:t>i</w:t>
      </w:r>
      <w:r w:rsidR="00722B89">
        <w:rPr>
          <w:noProof/>
        </w:rPr>
        <w:t>enced a decline</w:t>
      </w:r>
      <w:r>
        <w:rPr>
          <w:noProof/>
        </w:rPr>
        <w:t xml:space="preserve"> in their annual allocation for education compared to the previous year. </w:t>
      </w:r>
    </w:p>
    <w:p w:rsidR="00430F92" w:rsidRDefault="001A3FC6" w:rsidP="001A3FC6">
      <w:pPr>
        <w:pStyle w:val="Caption"/>
        <w:rPr>
          <w:noProof/>
        </w:rPr>
      </w:pPr>
      <w:bookmarkStart w:id="79" w:name="_Toc374182097"/>
      <w:bookmarkStart w:id="80" w:name="_Toc381604810"/>
      <w:r>
        <w:rPr>
          <w:noProof/>
        </w:rPr>
        <w:t>Figure 2</w:t>
      </w:r>
      <w:r w:rsidR="00962BFF">
        <w:rPr>
          <w:noProof/>
        </w:rPr>
        <w:t>6</w:t>
      </w:r>
      <w:r>
        <w:rPr>
          <w:noProof/>
        </w:rPr>
        <w:t xml:space="preserve">: </w:t>
      </w:r>
      <w:r w:rsidR="00430F92">
        <w:rPr>
          <w:noProof/>
        </w:rPr>
        <w:t>Number of Districts with declining annual education expenditure</w:t>
      </w:r>
      <w:bookmarkEnd w:id="79"/>
      <w:bookmarkEnd w:id="80"/>
      <w:r w:rsidR="00430F92">
        <w:rPr>
          <w:noProof/>
        </w:rPr>
        <w:t xml:space="preserve"> </w:t>
      </w:r>
    </w:p>
    <w:p w:rsidR="00430F92" w:rsidRDefault="00430F92" w:rsidP="00402A11">
      <w:pPr>
        <w:spacing w:after="360"/>
        <w:jc w:val="center"/>
        <w:rPr>
          <w:noProof/>
        </w:rPr>
      </w:pPr>
      <w:r>
        <w:rPr>
          <w:noProof/>
          <w:lang w:val="en-AU" w:eastAsia="en-AU"/>
        </w:rPr>
        <w:drawing>
          <wp:inline distT="0" distB="0" distL="0" distR="0" wp14:anchorId="50D90F1A" wp14:editId="322544B8">
            <wp:extent cx="5566410" cy="1737736"/>
            <wp:effectExtent l="19050" t="19050" r="15240" b="152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66410" cy="1737736"/>
                    </a:xfrm>
                    <a:prstGeom prst="rect">
                      <a:avLst/>
                    </a:prstGeom>
                    <a:noFill/>
                    <a:ln>
                      <a:solidFill>
                        <a:schemeClr val="accent1"/>
                      </a:solidFill>
                    </a:ln>
                  </pic:spPr>
                </pic:pic>
              </a:graphicData>
            </a:graphic>
          </wp:inline>
        </w:drawing>
      </w:r>
    </w:p>
    <w:p w:rsidR="00430F92" w:rsidRDefault="00430F92" w:rsidP="002E318D">
      <w:pPr>
        <w:spacing w:line="276" w:lineRule="auto"/>
        <w:jc w:val="both"/>
        <w:rPr>
          <w:noProof/>
        </w:rPr>
      </w:pPr>
      <w:r>
        <w:rPr>
          <w:noProof/>
        </w:rPr>
        <w:t xml:space="preserve">A particular concern is to observe the number of poorest districts (bottom 20% by poverty ranking) which provided less for education than the previous year. In 2012 there were 22 </w:t>
      </w:r>
      <w:r w:rsidR="00722B89">
        <w:rPr>
          <w:noProof/>
        </w:rPr>
        <w:t xml:space="preserve">EP </w:t>
      </w:r>
      <w:r>
        <w:rPr>
          <w:noProof/>
        </w:rPr>
        <w:t xml:space="preserve">poorest districts which provided less for education than their previous budget. </w:t>
      </w:r>
    </w:p>
    <w:p w:rsidR="00430F92" w:rsidRDefault="00962BFF" w:rsidP="001A3FC6">
      <w:pPr>
        <w:pStyle w:val="Caption"/>
        <w:rPr>
          <w:noProof/>
        </w:rPr>
      </w:pPr>
      <w:bookmarkStart w:id="81" w:name="_Toc374182098"/>
      <w:bookmarkStart w:id="82" w:name="_Toc381604811"/>
      <w:r>
        <w:rPr>
          <w:noProof/>
        </w:rPr>
        <w:lastRenderedPageBreak/>
        <w:t>Figure 27</w:t>
      </w:r>
      <w:r w:rsidR="001A3FC6">
        <w:rPr>
          <w:noProof/>
        </w:rPr>
        <w:t xml:space="preserve">: </w:t>
      </w:r>
      <w:r w:rsidR="00430F92">
        <w:rPr>
          <w:noProof/>
        </w:rPr>
        <w:t>EP Poorest Districts with declining annual education expenditure (2012 vs 2011)</w:t>
      </w:r>
      <w:bookmarkEnd w:id="81"/>
      <w:bookmarkEnd w:id="82"/>
    </w:p>
    <w:p w:rsidR="00430F92" w:rsidRDefault="00430F92" w:rsidP="00402A11">
      <w:pPr>
        <w:spacing w:after="360"/>
        <w:jc w:val="center"/>
        <w:rPr>
          <w:noProof/>
        </w:rPr>
      </w:pPr>
      <w:r>
        <w:rPr>
          <w:noProof/>
          <w:lang w:val="en-AU" w:eastAsia="en-AU"/>
        </w:rPr>
        <w:drawing>
          <wp:inline distT="0" distB="0" distL="0" distR="0" wp14:anchorId="5ACA0C60" wp14:editId="1449AE4C">
            <wp:extent cx="5564038" cy="3562710"/>
            <wp:effectExtent l="19050" t="19050" r="17780" b="190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66410" cy="3564229"/>
                    </a:xfrm>
                    <a:prstGeom prst="rect">
                      <a:avLst/>
                    </a:prstGeom>
                    <a:noFill/>
                    <a:ln>
                      <a:solidFill>
                        <a:schemeClr val="accent1"/>
                      </a:solidFill>
                    </a:ln>
                  </pic:spPr>
                </pic:pic>
              </a:graphicData>
            </a:graphic>
          </wp:inline>
        </w:drawing>
      </w:r>
    </w:p>
    <w:p w:rsidR="00430F92" w:rsidRDefault="00430F92" w:rsidP="002E318D">
      <w:pPr>
        <w:spacing w:line="276" w:lineRule="auto"/>
        <w:jc w:val="both"/>
        <w:rPr>
          <w:noProof/>
        </w:rPr>
      </w:pPr>
      <w:r>
        <w:rPr>
          <w:noProof/>
        </w:rPr>
        <w:t xml:space="preserve">The following four tables provide (i) the name of those </w:t>
      </w:r>
      <w:r w:rsidR="00722B89">
        <w:rPr>
          <w:noProof/>
        </w:rPr>
        <w:t xml:space="preserve">EP </w:t>
      </w:r>
      <w:r>
        <w:rPr>
          <w:noProof/>
        </w:rPr>
        <w:t xml:space="preserve">districts which had an annual decline their financial commitment towards education in 2012, and (ii) the percentage drop in their financial commitment </w:t>
      </w:r>
      <w:r w:rsidR="00885710">
        <w:rPr>
          <w:noProof/>
        </w:rPr>
        <w:t xml:space="preserve">to education </w:t>
      </w:r>
      <w:r>
        <w:rPr>
          <w:noProof/>
        </w:rPr>
        <w:t xml:space="preserve">compared to the value of the previous year’s budget . </w:t>
      </w:r>
    </w:p>
    <w:p w:rsidR="00430F92" w:rsidRDefault="001A3FC6" w:rsidP="001A3FC6">
      <w:pPr>
        <w:pStyle w:val="Caption"/>
        <w:rPr>
          <w:noProof/>
        </w:rPr>
      </w:pPr>
      <w:bookmarkStart w:id="83" w:name="_Toc374182099"/>
      <w:bookmarkStart w:id="84" w:name="_Toc381604812"/>
      <w:r>
        <w:rPr>
          <w:noProof/>
        </w:rPr>
        <w:t>Figure 2</w:t>
      </w:r>
      <w:r w:rsidR="00962BFF">
        <w:rPr>
          <w:noProof/>
        </w:rPr>
        <w:t>8</w:t>
      </w:r>
      <w:r>
        <w:rPr>
          <w:noProof/>
        </w:rPr>
        <w:t xml:space="preserve">: </w:t>
      </w:r>
      <w:r w:rsidR="00430F92">
        <w:rPr>
          <w:noProof/>
        </w:rPr>
        <w:t>Component 1 districts with declining annual education expenditure (2012 vs 2011)</w:t>
      </w:r>
      <w:bookmarkEnd w:id="83"/>
      <w:bookmarkEnd w:id="84"/>
    </w:p>
    <w:p w:rsidR="00430F92" w:rsidRDefault="00430F92" w:rsidP="00402A11">
      <w:pPr>
        <w:spacing w:after="360"/>
        <w:jc w:val="center"/>
        <w:rPr>
          <w:noProof/>
        </w:rPr>
      </w:pPr>
      <w:r>
        <w:rPr>
          <w:noProof/>
          <w:lang w:val="en-AU" w:eastAsia="en-AU"/>
        </w:rPr>
        <w:drawing>
          <wp:inline distT="0" distB="0" distL="0" distR="0" wp14:anchorId="69B050E7" wp14:editId="2C1CB012">
            <wp:extent cx="5557838" cy="3400425"/>
            <wp:effectExtent l="19050" t="19050" r="2413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66411" cy="3405670"/>
                    </a:xfrm>
                    <a:prstGeom prst="rect">
                      <a:avLst/>
                    </a:prstGeom>
                    <a:noFill/>
                    <a:ln>
                      <a:solidFill>
                        <a:schemeClr val="accent1"/>
                      </a:solidFill>
                    </a:ln>
                  </pic:spPr>
                </pic:pic>
              </a:graphicData>
            </a:graphic>
          </wp:inline>
        </w:drawing>
      </w:r>
    </w:p>
    <w:p w:rsidR="00430F92" w:rsidRDefault="00962BFF" w:rsidP="001A3FC6">
      <w:pPr>
        <w:pStyle w:val="Caption"/>
        <w:rPr>
          <w:noProof/>
        </w:rPr>
      </w:pPr>
      <w:bookmarkStart w:id="85" w:name="_Toc374182100"/>
      <w:bookmarkStart w:id="86" w:name="_Toc381604813"/>
      <w:r>
        <w:rPr>
          <w:noProof/>
        </w:rPr>
        <w:lastRenderedPageBreak/>
        <w:t>Figure 29</w:t>
      </w:r>
      <w:r w:rsidR="001A3FC6">
        <w:rPr>
          <w:noProof/>
        </w:rPr>
        <w:t xml:space="preserve">: </w:t>
      </w:r>
      <w:r w:rsidR="00430F92">
        <w:rPr>
          <w:noProof/>
        </w:rPr>
        <w:t>Component 2 districts with declining annual education expenditure (2012 vs 2011)</w:t>
      </w:r>
      <w:bookmarkEnd w:id="85"/>
      <w:bookmarkEnd w:id="86"/>
    </w:p>
    <w:p w:rsidR="00430F92" w:rsidRDefault="00430F92" w:rsidP="00402A11">
      <w:pPr>
        <w:spacing w:after="360"/>
        <w:jc w:val="center"/>
        <w:rPr>
          <w:noProof/>
        </w:rPr>
      </w:pPr>
      <w:r>
        <w:rPr>
          <w:noProof/>
          <w:lang w:val="en-AU" w:eastAsia="en-AU"/>
        </w:rPr>
        <w:drawing>
          <wp:inline distT="0" distB="0" distL="0" distR="0" wp14:anchorId="639B6992" wp14:editId="5C2DE75F">
            <wp:extent cx="5557764" cy="3105150"/>
            <wp:effectExtent l="19050" t="19050" r="24130" b="190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66410" cy="3109981"/>
                    </a:xfrm>
                    <a:prstGeom prst="rect">
                      <a:avLst/>
                    </a:prstGeom>
                    <a:noFill/>
                    <a:ln>
                      <a:solidFill>
                        <a:schemeClr val="accent1"/>
                      </a:solidFill>
                    </a:ln>
                  </pic:spPr>
                </pic:pic>
              </a:graphicData>
            </a:graphic>
          </wp:inline>
        </w:drawing>
      </w:r>
    </w:p>
    <w:p w:rsidR="00430F92" w:rsidRDefault="00962BFF" w:rsidP="001A3FC6">
      <w:pPr>
        <w:pStyle w:val="Caption"/>
        <w:rPr>
          <w:noProof/>
        </w:rPr>
      </w:pPr>
      <w:bookmarkStart w:id="87" w:name="_Toc374182101"/>
      <w:bookmarkStart w:id="88" w:name="_Toc381604814"/>
      <w:r>
        <w:rPr>
          <w:noProof/>
        </w:rPr>
        <w:t>Figure 30</w:t>
      </w:r>
      <w:r w:rsidR="001A3FC6">
        <w:rPr>
          <w:noProof/>
        </w:rPr>
        <w:t xml:space="preserve">: </w:t>
      </w:r>
      <w:r w:rsidR="00430F92">
        <w:rPr>
          <w:noProof/>
        </w:rPr>
        <w:t>Component 1 &amp; 2 districts with declining annual education expenditure (2012 vs 2011)</w:t>
      </w:r>
      <w:bookmarkEnd w:id="87"/>
      <w:bookmarkEnd w:id="88"/>
    </w:p>
    <w:p w:rsidR="00430F92" w:rsidRDefault="00430F92" w:rsidP="00402A11">
      <w:pPr>
        <w:spacing w:after="360"/>
        <w:jc w:val="center"/>
        <w:rPr>
          <w:noProof/>
        </w:rPr>
      </w:pPr>
      <w:r>
        <w:rPr>
          <w:noProof/>
          <w:lang w:val="en-AU" w:eastAsia="en-AU"/>
        </w:rPr>
        <w:drawing>
          <wp:inline distT="0" distB="0" distL="0" distR="0" wp14:anchorId="6811FF7A" wp14:editId="1582CE9A">
            <wp:extent cx="5561896" cy="3533775"/>
            <wp:effectExtent l="19050" t="19050" r="2032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66410" cy="3536643"/>
                    </a:xfrm>
                    <a:prstGeom prst="rect">
                      <a:avLst/>
                    </a:prstGeom>
                    <a:noFill/>
                    <a:ln>
                      <a:solidFill>
                        <a:schemeClr val="accent1"/>
                      </a:solidFill>
                    </a:ln>
                  </pic:spPr>
                </pic:pic>
              </a:graphicData>
            </a:graphic>
          </wp:inline>
        </w:drawing>
      </w:r>
    </w:p>
    <w:p w:rsidR="00430F92" w:rsidRDefault="00430F92" w:rsidP="002E318D">
      <w:pPr>
        <w:spacing w:line="276" w:lineRule="auto"/>
        <w:jc w:val="both"/>
      </w:pPr>
      <w:r>
        <w:t xml:space="preserve">BEP districts had a strong growth in education expenditures with a national average of 12% that was marginally above the national average growth for all districts. </w:t>
      </w:r>
    </w:p>
    <w:p w:rsidR="00430F92" w:rsidRDefault="00430F92" w:rsidP="001A3FC6">
      <w:pPr>
        <w:pStyle w:val="Caption"/>
      </w:pPr>
      <w:r>
        <w:lastRenderedPageBreak/>
        <w:t xml:space="preserve"> </w:t>
      </w:r>
      <w:bookmarkStart w:id="89" w:name="_Toc374182072"/>
      <w:bookmarkStart w:id="90" w:name="_Toc381604815"/>
      <w:r w:rsidR="00962BFF">
        <w:t>Figure 31</w:t>
      </w:r>
      <w:r w:rsidR="001A3FC6">
        <w:t xml:space="preserve">: </w:t>
      </w:r>
      <w:r w:rsidRPr="00C23B0F">
        <w:t xml:space="preserve">BEP </w:t>
      </w:r>
      <w:r>
        <w:t xml:space="preserve">and Non-BEP Districts - </w:t>
      </w:r>
      <w:r w:rsidRPr="006511D5">
        <w:t xml:space="preserve">Annual Growth in </w:t>
      </w:r>
      <w:r>
        <w:t>District Education Expenditure, (APBD 2007-2012)</w:t>
      </w:r>
      <w:bookmarkEnd w:id="89"/>
      <w:bookmarkEnd w:id="90"/>
      <w:r>
        <w:t xml:space="preserve"> </w:t>
      </w:r>
    </w:p>
    <w:p w:rsidR="00430F92" w:rsidRDefault="00430F92" w:rsidP="00402A11">
      <w:pPr>
        <w:spacing w:after="360"/>
        <w:jc w:val="center"/>
      </w:pPr>
      <w:r>
        <w:rPr>
          <w:noProof/>
          <w:lang w:val="en-AU" w:eastAsia="en-AU"/>
        </w:rPr>
        <w:drawing>
          <wp:inline distT="0" distB="0" distL="0" distR="0" wp14:anchorId="563CB745" wp14:editId="724FBD49">
            <wp:extent cx="5560509" cy="2981325"/>
            <wp:effectExtent l="19050" t="19050" r="2159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66410" cy="2984489"/>
                    </a:xfrm>
                    <a:prstGeom prst="rect">
                      <a:avLst/>
                    </a:prstGeom>
                    <a:noFill/>
                    <a:ln>
                      <a:solidFill>
                        <a:schemeClr val="accent1"/>
                      </a:solidFill>
                    </a:ln>
                  </pic:spPr>
                </pic:pic>
              </a:graphicData>
            </a:graphic>
          </wp:inline>
        </w:drawing>
      </w:r>
    </w:p>
    <w:p w:rsidR="00430F92" w:rsidRDefault="00430F92" w:rsidP="002E318D">
      <w:pPr>
        <w:spacing w:line="276" w:lineRule="auto"/>
        <w:jc w:val="both"/>
      </w:pPr>
      <w:r>
        <w:t xml:space="preserve">In 2012 there were 97 districts showing a decline in the education budget. This is deterioration from 2011, where 22 districts experienced a decline in annual education budget allocation. In 2012, nearly 20% of districts showed a decline in budget commitment towards education. </w:t>
      </w:r>
    </w:p>
    <w:p w:rsidR="00430F92" w:rsidRDefault="001A3FC6" w:rsidP="001A3FC6">
      <w:pPr>
        <w:pStyle w:val="Caption"/>
      </w:pPr>
      <w:bookmarkStart w:id="91" w:name="_Toc374182074"/>
      <w:bookmarkStart w:id="92" w:name="_Toc381604816"/>
      <w:r>
        <w:t>Figure 3</w:t>
      </w:r>
      <w:r w:rsidR="00962BFF">
        <w:t>2</w:t>
      </w:r>
      <w:r>
        <w:t xml:space="preserve">: </w:t>
      </w:r>
      <w:r w:rsidR="00430F92">
        <w:t xml:space="preserve">Number of </w:t>
      </w:r>
      <w:r w:rsidR="00430F92" w:rsidRPr="00DA375B">
        <w:t xml:space="preserve">Districts, </w:t>
      </w:r>
      <w:r w:rsidR="00430F92">
        <w:t xml:space="preserve">with Negative </w:t>
      </w:r>
      <w:r w:rsidR="00430F92" w:rsidRPr="00DA375B">
        <w:t>Annual Growth in AP</w:t>
      </w:r>
      <w:r w:rsidR="00430F92">
        <w:t>BD Education Expenditure (2007-2011)</w:t>
      </w:r>
      <w:bookmarkEnd w:id="91"/>
      <w:bookmarkEnd w:id="92"/>
      <w:r w:rsidR="00430F92">
        <w:t xml:space="preserve"> </w:t>
      </w:r>
    </w:p>
    <w:p w:rsidR="00430F92" w:rsidRDefault="00430F92" w:rsidP="00402A11">
      <w:pPr>
        <w:spacing w:after="360"/>
        <w:jc w:val="center"/>
      </w:pPr>
      <w:r>
        <w:rPr>
          <w:noProof/>
          <w:lang w:val="en-AU" w:eastAsia="en-AU"/>
        </w:rPr>
        <w:drawing>
          <wp:inline distT="0" distB="0" distL="0" distR="0" wp14:anchorId="781D96F2" wp14:editId="2234C4AB">
            <wp:extent cx="5562600" cy="3400425"/>
            <wp:effectExtent l="19050" t="19050" r="19050" b="285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66410" cy="3402754"/>
                    </a:xfrm>
                    <a:prstGeom prst="rect">
                      <a:avLst/>
                    </a:prstGeom>
                    <a:noFill/>
                    <a:ln>
                      <a:solidFill>
                        <a:schemeClr val="accent1"/>
                      </a:solidFill>
                    </a:ln>
                  </pic:spPr>
                </pic:pic>
              </a:graphicData>
            </a:graphic>
          </wp:inline>
        </w:drawing>
      </w:r>
    </w:p>
    <w:p w:rsidR="006A4E0A" w:rsidRDefault="006A4E0A" w:rsidP="006A4E0A"/>
    <w:p w:rsidR="006A4E0A" w:rsidRDefault="006A4E0A" w:rsidP="00402A11">
      <w:pPr>
        <w:pStyle w:val="Heading3"/>
      </w:pPr>
      <w:r>
        <w:lastRenderedPageBreak/>
        <w:t xml:space="preserve">KPI 8: </w:t>
      </w:r>
      <w:r w:rsidRPr="00024570">
        <w:t xml:space="preserve">Average District </w:t>
      </w:r>
      <w:r>
        <w:t>Expenditure per S</w:t>
      </w:r>
      <w:r w:rsidRPr="00024570">
        <w:t>tudent</w:t>
      </w:r>
      <w:r w:rsidR="004971BD">
        <w:t xml:space="preserve"> </w:t>
      </w:r>
    </w:p>
    <w:p w:rsidR="006A4E0A" w:rsidRDefault="001A3FC6" w:rsidP="001A3FC6">
      <w:pPr>
        <w:pStyle w:val="Caption"/>
      </w:pPr>
      <w:bookmarkStart w:id="93" w:name="_Toc374182077"/>
      <w:bookmarkStart w:id="94" w:name="_Toc381604817"/>
      <w:r>
        <w:t>Figure 3</w:t>
      </w:r>
      <w:r w:rsidR="00962BFF">
        <w:t>3</w:t>
      </w:r>
      <w:r>
        <w:t xml:space="preserve">: </w:t>
      </w:r>
      <w:r w:rsidR="006A4E0A">
        <w:t>Average District Education Expenditure per all Students, 2006-2012 (Rp</w:t>
      </w:r>
      <w:r w:rsidR="00837A39">
        <w:t>.</w:t>
      </w:r>
      <w:r w:rsidR="006A4E0A">
        <w:t xml:space="preserve"> millions.)</w:t>
      </w:r>
      <w:bookmarkEnd w:id="93"/>
      <w:bookmarkEnd w:id="94"/>
    </w:p>
    <w:p w:rsidR="006A4E0A" w:rsidRDefault="006A4E0A" w:rsidP="00402A11">
      <w:pPr>
        <w:spacing w:after="360"/>
        <w:jc w:val="center"/>
      </w:pPr>
      <w:r>
        <w:rPr>
          <w:noProof/>
          <w:lang w:val="en-AU" w:eastAsia="en-AU"/>
        </w:rPr>
        <w:drawing>
          <wp:inline distT="0" distB="0" distL="0" distR="0" wp14:anchorId="5D69863F" wp14:editId="34500C95">
            <wp:extent cx="5562542" cy="2997641"/>
            <wp:effectExtent l="19050" t="19050" r="19685" b="127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66410" cy="2999726"/>
                    </a:xfrm>
                    <a:prstGeom prst="rect">
                      <a:avLst/>
                    </a:prstGeom>
                    <a:noFill/>
                    <a:ln>
                      <a:solidFill>
                        <a:schemeClr val="accent1"/>
                      </a:solidFill>
                    </a:ln>
                  </pic:spPr>
                </pic:pic>
              </a:graphicData>
            </a:graphic>
          </wp:inline>
        </w:drawing>
      </w:r>
    </w:p>
    <w:tbl>
      <w:tblPr>
        <w:tblStyle w:val="TableGrid3"/>
        <w:tblW w:w="5000" w:type="pct"/>
        <w:jc w:val="center"/>
        <w:tblBorders>
          <w:top w:val="single" w:sz="12" w:space="0" w:color="auto"/>
          <w:left w:val="single" w:sz="12" w:space="0" w:color="auto"/>
          <w:bottom w:val="single" w:sz="12" w:space="0" w:color="auto"/>
          <w:right w:val="single" w:sz="12" w:space="0" w:color="auto"/>
        </w:tblBorders>
        <w:tblLayout w:type="fixed"/>
        <w:tblCellMar>
          <w:top w:w="28" w:type="dxa"/>
          <w:bottom w:w="28" w:type="dxa"/>
        </w:tblCellMar>
        <w:tblLook w:val="04A0" w:firstRow="1" w:lastRow="0" w:firstColumn="1" w:lastColumn="0" w:noHBand="0" w:noVBand="1"/>
      </w:tblPr>
      <w:tblGrid>
        <w:gridCol w:w="1849"/>
        <w:gridCol w:w="1849"/>
        <w:gridCol w:w="1849"/>
        <w:gridCol w:w="3698"/>
      </w:tblGrid>
      <w:tr w:rsidR="007F1806" w:rsidRPr="00402A11" w:rsidTr="005162C4">
        <w:trPr>
          <w:tblHeader/>
          <w:jc w:val="center"/>
        </w:trPr>
        <w:tc>
          <w:tcPr>
            <w:tcW w:w="1000" w:type="pct"/>
            <w:tcBorders>
              <w:top w:val="single" w:sz="12" w:space="0" w:color="auto"/>
              <w:bottom w:val="single" w:sz="4" w:space="0" w:color="auto"/>
              <w:right w:val="single" w:sz="4" w:space="0" w:color="FFFFFF" w:themeColor="background1"/>
            </w:tcBorders>
            <w:shd w:val="clear" w:color="auto" w:fill="003880"/>
            <w:vAlign w:val="center"/>
          </w:tcPr>
          <w:p w:rsidR="007F1806" w:rsidRPr="00402A11" w:rsidRDefault="005162C4" w:rsidP="00402A11">
            <w:pPr>
              <w:spacing w:after="0"/>
              <w:jc w:val="center"/>
              <w:rPr>
                <w:rFonts w:asciiTheme="minorHAnsi" w:hAnsiTheme="minorHAnsi" w:cstheme="minorHAnsi"/>
                <w:b/>
                <w:color w:val="FFFFFF" w:themeColor="background1"/>
                <w:sz w:val="20"/>
                <w:szCs w:val="20"/>
                <w:lang w:val="en-US"/>
              </w:rPr>
            </w:pPr>
            <w:r w:rsidRPr="00402A11">
              <w:rPr>
                <w:rFonts w:asciiTheme="minorHAnsi" w:hAnsiTheme="minorHAnsi" w:cstheme="minorHAnsi"/>
                <w:b/>
                <w:color w:val="FFFFFF" w:themeColor="background1"/>
                <w:sz w:val="20"/>
                <w:szCs w:val="20"/>
                <w:lang w:val="en-US"/>
              </w:rPr>
              <w:t>KPI 8</w:t>
            </w:r>
          </w:p>
        </w:tc>
        <w:tc>
          <w:tcPr>
            <w:tcW w:w="7216" w:type="dxa"/>
            <w:gridSpan w:val="3"/>
            <w:tcBorders>
              <w:top w:val="single" w:sz="12" w:space="0" w:color="auto"/>
              <w:left w:val="single" w:sz="4" w:space="0" w:color="FFFFFF" w:themeColor="background1"/>
              <w:bottom w:val="single" w:sz="4" w:space="0" w:color="auto"/>
            </w:tcBorders>
            <w:shd w:val="clear" w:color="auto" w:fill="003880"/>
            <w:vAlign w:val="center"/>
          </w:tcPr>
          <w:p w:rsidR="007F1806" w:rsidRPr="00402A11" w:rsidRDefault="005162C4" w:rsidP="00402A11">
            <w:pPr>
              <w:spacing w:after="0"/>
              <w:jc w:val="center"/>
              <w:rPr>
                <w:rFonts w:asciiTheme="minorHAnsi" w:hAnsiTheme="minorHAnsi" w:cstheme="minorHAnsi"/>
                <w:b/>
                <w:bCs/>
                <w:color w:val="FFFFFF" w:themeColor="background1"/>
                <w:sz w:val="20"/>
                <w:szCs w:val="20"/>
                <w:lang w:val="en-US"/>
              </w:rPr>
            </w:pPr>
            <w:r w:rsidRPr="00402A11">
              <w:rPr>
                <w:rFonts w:asciiTheme="minorHAnsi" w:hAnsiTheme="minorHAnsi" w:cstheme="minorHAnsi"/>
                <w:b/>
                <w:bCs/>
                <w:color w:val="FFFFFF" w:themeColor="background1"/>
                <w:sz w:val="20"/>
                <w:szCs w:val="20"/>
                <w:lang w:val="en-US"/>
              </w:rPr>
              <w:t xml:space="preserve"> AVERAGE DISTRICT EXPENDITURE PER STUDENT</w:t>
            </w:r>
            <w:r w:rsidR="004971BD">
              <w:rPr>
                <w:rFonts w:asciiTheme="minorHAnsi" w:hAnsiTheme="minorHAnsi" w:cstheme="minorHAnsi"/>
                <w:b/>
                <w:bCs/>
                <w:color w:val="FFFFFF" w:themeColor="background1"/>
                <w:sz w:val="20"/>
                <w:szCs w:val="20"/>
                <w:lang w:val="en-US"/>
              </w:rPr>
              <w:t xml:space="preserve"> </w:t>
            </w:r>
          </w:p>
        </w:tc>
      </w:tr>
      <w:tr w:rsidR="007F1806" w:rsidRPr="00402A11" w:rsidTr="005162C4">
        <w:trPr>
          <w:tblHeader/>
          <w:jc w:val="center"/>
        </w:trPr>
        <w:tc>
          <w:tcPr>
            <w:tcW w:w="9019" w:type="dxa"/>
            <w:gridSpan w:val="4"/>
            <w:tcBorders>
              <w:top w:val="single" w:sz="4" w:space="0" w:color="auto"/>
            </w:tcBorders>
            <w:shd w:val="clear" w:color="auto" w:fill="68BAD6"/>
            <w:vAlign w:val="center"/>
          </w:tcPr>
          <w:p w:rsidR="007F1806" w:rsidRPr="00402A11" w:rsidRDefault="005162C4" w:rsidP="00402A11">
            <w:pPr>
              <w:spacing w:after="0"/>
              <w:jc w:val="center"/>
              <w:rPr>
                <w:rFonts w:asciiTheme="minorHAnsi" w:hAnsiTheme="minorHAnsi" w:cstheme="minorHAnsi"/>
                <w:b/>
                <w:color w:val="FFFFFF" w:themeColor="background1"/>
                <w:sz w:val="20"/>
                <w:szCs w:val="20"/>
                <w:lang w:val="en-US"/>
              </w:rPr>
            </w:pPr>
            <w:r w:rsidRPr="00402A11">
              <w:rPr>
                <w:rFonts w:asciiTheme="minorHAnsi" w:hAnsiTheme="minorHAnsi" w:cstheme="minorHAnsi"/>
                <w:b/>
                <w:sz w:val="20"/>
                <w:szCs w:val="20"/>
                <w:lang w:val="en-US"/>
              </w:rPr>
              <w:t>STATUS AND TRENDS</w:t>
            </w:r>
          </w:p>
        </w:tc>
      </w:tr>
      <w:tr w:rsidR="007F1806" w:rsidRPr="00402A11" w:rsidTr="005162C4">
        <w:trPr>
          <w:jc w:val="center"/>
        </w:trPr>
        <w:tc>
          <w:tcPr>
            <w:tcW w:w="1000" w:type="pct"/>
            <w:shd w:val="clear" w:color="auto" w:fill="BFBFBF" w:themeFill="background1" w:themeFillShade="BF"/>
            <w:vAlign w:val="center"/>
          </w:tcPr>
          <w:p w:rsidR="007F1806" w:rsidRPr="00402A11" w:rsidRDefault="007F1806" w:rsidP="00402A11">
            <w:pPr>
              <w:spacing w:after="0"/>
              <w:jc w:val="center"/>
              <w:rPr>
                <w:sz w:val="20"/>
                <w:szCs w:val="20"/>
                <w:lang w:val="en-AU"/>
              </w:rPr>
            </w:pPr>
            <w:r w:rsidRPr="00402A11">
              <w:rPr>
                <w:sz w:val="20"/>
                <w:szCs w:val="20"/>
                <w:lang w:val="en-AU"/>
              </w:rPr>
              <w:t>Result</w:t>
            </w:r>
          </w:p>
        </w:tc>
        <w:tc>
          <w:tcPr>
            <w:tcW w:w="1000" w:type="pct"/>
            <w:shd w:val="clear" w:color="auto" w:fill="92D050"/>
            <w:vAlign w:val="center"/>
          </w:tcPr>
          <w:p w:rsidR="007F1806" w:rsidRPr="00402A11" w:rsidRDefault="0072338D" w:rsidP="00402A11">
            <w:pPr>
              <w:spacing w:after="0"/>
              <w:jc w:val="center"/>
              <w:rPr>
                <w:sz w:val="20"/>
                <w:szCs w:val="20"/>
                <w:lang w:val="en-AU"/>
              </w:rPr>
            </w:pPr>
            <w:r w:rsidRPr="00402A11">
              <w:rPr>
                <w:sz w:val="20"/>
                <w:szCs w:val="20"/>
                <w:lang w:val="en-AU"/>
              </w:rPr>
              <w:t>Posi</w:t>
            </w:r>
            <w:r w:rsidR="007F1806" w:rsidRPr="00402A11">
              <w:rPr>
                <w:sz w:val="20"/>
                <w:szCs w:val="20"/>
                <w:lang w:val="en-AU"/>
              </w:rPr>
              <w:t>tive</w:t>
            </w:r>
          </w:p>
        </w:tc>
        <w:tc>
          <w:tcPr>
            <w:tcW w:w="1000" w:type="pct"/>
            <w:shd w:val="clear" w:color="auto" w:fill="BFBFBF" w:themeFill="background1" w:themeFillShade="BF"/>
            <w:vAlign w:val="center"/>
          </w:tcPr>
          <w:p w:rsidR="007F1806" w:rsidRPr="00402A11" w:rsidRDefault="007F1806" w:rsidP="00402A11">
            <w:pPr>
              <w:spacing w:after="0"/>
              <w:jc w:val="center"/>
              <w:rPr>
                <w:sz w:val="20"/>
                <w:szCs w:val="20"/>
                <w:lang w:val="en-AU"/>
              </w:rPr>
            </w:pPr>
            <w:r w:rsidRPr="00402A11">
              <w:rPr>
                <w:sz w:val="20"/>
                <w:szCs w:val="20"/>
                <w:lang w:val="en-AU"/>
              </w:rPr>
              <w:t>Data availability</w:t>
            </w:r>
          </w:p>
        </w:tc>
        <w:tc>
          <w:tcPr>
            <w:tcW w:w="3608" w:type="dxa"/>
            <w:vAlign w:val="center"/>
          </w:tcPr>
          <w:p w:rsidR="007F1806" w:rsidRPr="00402A11" w:rsidRDefault="000000F1" w:rsidP="005162C4">
            <w:pPr>
              <w:spacing w:after="0"/>
              <w:jc w:val="both"/>
              <w:rPr>
                <w:sz w:val="20"/>
                <w:szCs w:val="20"/>
                <w:lang w:val="en-AU"/>
              </w:rPr>
            </w:pPr>
            <w:r w:rsidRPr="00402A11">
              <w:rPr>
                <w:sz w:val="20"/>
                <w:szCs w:val="20"/>
                <w:lang w:val="en-AU"/>
              </w:rPr>
              <w:t>Financial data for 2012 was available for 487 districts and enrolment data for 496 districts out of a total 497 districts.</w:t>
            </w:r>
          </w:p>
        </w:tc>
      </w:tr>
      <w:tr w:rsidR="007F1806" w:rsidRPr="00402A11" w:rsidTr="005162C4">
        <w:trPr>
          <w:jc w:val="center"/>
        </w:trPr>
        <w:tc>
          <w:tcPr>
            <w:tcW w:w="1000" w:type="pct"/>
            <w:shd w:val="clear" w:color="auto" w:fill="BFBFBF" w:themeFill="background1" w:themeFillShade="BF"/>
            <w:vAlign w:val="center"/>
          </w:tcPr>
          <w:p w:rsidR="007F1806" w:rsidRPr="00402A11" w:rsidRDefault="007F1806" w:rsidP="00402A11">
            <w:pPr>
              <w:spacing w:after="0"/>
              <w:jc w:val="center"/>
              <w:rPr>
                <w:sz w:val="20"/>
                <w:szCs w:val="20"/>
                <w:lang w:val="en-AU"/>
              </w:rPr>
            </w:pPr>
            <w:r w:rsidRPr="00402A11">
              <w:rPr>
                <w:sz w:val="20"/>
                <w:szCs w:val="20"/>
                <w:lang w:val="en-AU"/>
              </w:rPr>
              <w:t>Observations</w:t>
            </w:r>
          </w:p>
        </w:tc>
        <w:tc>
          <w:tcPr>
            <w:tcW w:w="7216" w:type="dxa"/>
            <w:gridSpan w:val="3"/>
            <w:vAlign w:val="center"/>
          </w:tcPr>
          <w:p w:rsidR="0072338D" w:rsidRPr="00402A11" w:rsidRDefault="0072338D" w:rsidP="005162C4">
            <w:pPr>
              <w:pStyle w:val="ListParagraph"/>
              <w:numPr>
                <w:ilvl w:val="0"/>
                <w:numId w:val="12"/>
              </w:numPr>
              <w:spacing w:after="60" w:line="240" w:lineRule="auto"/>
              <w:ind w:left="284" w:hanging="284"/>
              <w:contextualSpacing w:val="0"/>
              <w:jc w:val="both"/>
              <w:rPr>
                <w:sz w:val="20"/>
                <w:szCs w:val="20"/>
                <w:lang w:val="en-AU"/>
              </w:rPr>
            </w:pPr>
            <w:r w:rsidRPr="00402A11">
              <w:rPr>
                <w:sz w:val="20"/>
                <w:szCs w:val="20"/>
                <w:lang w:val="en-AU"/>
              </w:rPr>
              <w:t>Average expenditure per student across the country grew but not as strongly as for 2011. Average education expenditure per student has grown to Rp. 3.1 million in 2012, from an average Rp. 2.8 million in 2011</w:t>
            </w:r>
            <w:r w:rsidR="00AC5699" w:rsidRPr="00402A11">
              <w:rPr>
                <w:sz w:val="20"/>
                <w:szCs w:val="20"/>
                <w:lang w:val="en-AU"/>
              </w:rPr>
              <w:t xml:space="preserve"> (see Figure 3</w:t>
            </w:r>
            <w:r w:rsidR="009B6D6D">
              <w:rPr>
                <w:sz w:val="20"/>
                <w:szCs w:val="20"/>
                <w:lang w:val="en-AU"/>
              </w:rPr>
              <w:t>3</w:t>
            </w:r>
            <w:r w:rsidR="00AC5699" w:rsidRPr="00402A11">
              <w:rPr>
                <w:sz w:val="20"/>
                <w:szCs w:val="20"/>
                <w:lang w:val="en-AU"/>
              </w:rPr>
              <w:t>, above)</w:t>
            </w:r>
            <w:r w:rsidRPr="00402A11">
              <w:rPr>
                <w:sz w:val="20"/>
                <w:szCs w:val="20"/>
                <w:lang w:val="en-AU"/>
              </w:rPr>
              <w:t xml:space="preserve">. </w:t>
            </w:r>
          </w:p>
          <w:p w:rsidR="0072338D" w:rsidRPr="00402A11" w:rsidRDefault="0072338D" w:rsidP="005162C4">
            <w:pPr>
              <w:pStyle w:val="ListParagraph"/>
              <w:numPr>
                <w:ilvl w:val="0"/>
                <w:numId w:val="12"/>
              </w:numPr>
              <w:spacing w:after="60" w:line="240" w:lineRule="auto"/>
              <w:ind w:left="284" w:hanging="284"/>
              <w:contextualSpacing w:val="0"/>
              <w:jc w:val="both"/>
              <w:rPr>
                <w:sz w:val="20"/>
                <w:szCs w:val="20"/>
                <w:lang w:val="en-AU"/>
              </w:rPr>
            </w:pPr>
            <w:r w:rsidRPr="00402A11">
              <w:rPr>
                <w:sz w:val="20"/>
                <w:szCs w:val="20"/>
                <w:lang w:val="en-AU"/>
              </w:rPr>
              <w:t>Average per student expenditure is higher in rural districts and reached Rp. 2.</w:t>
            </w:r>
            <w:r w:rsidR="00E21C05">
              <w:rPr>
                <w:sz w:val="20"/>
                <w:szCs w:val="20"/>
                <w:lang w:val="en-AU"/>
              </w:rPr>
              <w:t>9</w:t>
            </w:r>
            <w:r w:rsidRPr="00402A11">
              <w:rPr>
                <w:sz w:val="20"/>
                <w:szCs w:val="20"/>
                <w:lang w:val="en-AU"/>
              </w:rPr>
              <w:t xml:space="preserve"> million per student in 2012 compared to Rp. 2.4 million per student in the urban areas.</w:t>
            </w:r>
          </w:p>
          <w:p w:rsidR="0072338D" w:rsidRPr="00402A11" w:rsidRDefault="0072338D" w:rsidP="005162C4">
            <w:pPr>
              <w:pStyle w:val="ListParagraph"/>
              <w:numPr>
                <w:ilvl w:val="0"/>
                <w:numId w:val="12"/>
              </w:numPr>
              <w:spacing w:after="60" w:line="240" w:lineRule="auto"/>
              <w:ind w:left="284" w:hanging="284"/>
              <w:contextualSpacing w:val="0"/>
              <w:jc w:val="both"/>
              <w:rPr>
                <w:sz w:val="20"/>
                <w:szCs w:val="20"/>
                <w:lang w:val="en-AU"/>
              </w:rPr>
            </w:pPr>
            <w:r w:rsidRPr="00402A11">
              <w:rPr>
                <w:sz w:val="20"/>
                <w:szCs w:val="20"/>
                <w:lang w:val="en-AU"/>
              </w:rPr>
              <w:t>Highest allocations per student are found in the poorest districts (quintile 5) at an average Rp. 3.4 million per student.</w:t>
            </w:r>
          </w:p>
          <w:p w:rsidR="0072338D" w:rsidRPr="00402A11" w:rsidRDefault="0072338D" w:rsidP="005162C4">
            <w:pPr>
              <w:pStyle w:val="ListParagraph"/>
              <w:numPr>
                <w:ilvl w:val="0"/>
                <w:numId w:val="12"/>
              </w:numPr>
              <w:spacing w:after="60" w:line="240" w:lineRule="auto"/>
              <w:ind w:left="284" w:hanging="284"/>
              <w:contextualSpacing w:val="0"/>
              <w:jc w:val="both"/>
              <w:rPr>
                <w:sz w:val="20"/>
                <w:szCs w:val="20"/>
                <w:lang w:val="en-AU"/>
              </w:rPr>
            </w:pPr>
            <w:r w:rsidRPr="00402A11">
              <w:rPr>
                <w:sz w:val="20"/>
                <w:szCs w:val="20"/>
                <w:lang w:val="en-AU"/>
              </w:rPr>
              <w:t xml:space="preserve"> The richest quintile districts are the outliers with per student expenditures at Rp. 2.8 million. The poorest districts are on average allocating 28% more per student than the richest. </w:t>
            </w:r>
          </w:p>
          <w:p w:rsidR="0072338D" w:rsidRPr="00402A11" w:rsidRDefault="0072338D" w:rsidP="005162C4">
            <w:pPr>
              <w:pStyle w:val="ListParagraph"/>
              <w:numPr>
                <w:ilvl w:val="0"/>
                <w:numId w:val="12"/>
              </w:numPr>
              <w:spacing w:after="60" w:line="240" w:lineRule="auto"/>
              <w:ind w:left="284" w:hanging="284"/>
              <w:contextualSpacing w:val="0"/>
              <w:jc w:val="both"/>
              <w:rPr>
                <w:sz w:val="20"/>
                <w:szCs w:val="20"/>
                <w:lang w:val="en-AU"/>
              </w:rPr>
            </w:pPr>
            <w:r w:rsidRPr="00402A11">
              <w:rPr>
                <w:sz w:val="20"/>
                <w:szCs w:val="20"/>
                <w:lang w:val="en-AU"/>
              </w:rPr>
              <w:t>Districts in the far eastern region of the country tend to have significantly higher costs per student than districts in the western region because of the lower density of populations. Average expenditure per student in 2012 was again highest in the island groups of Papua (Rp. 5.5 million) and Kalimantan (Rp. 4.9 million). Lowest expenditure by a considerable margin is found on Java with Rp. 2.6 million per student.</w:t>
            </w:r>
          </w:p>
          <w:p w:rsidR="0072338D" w:rsidRPr="00402A11" w:rsidRDefault="0072338D" w:rsidP="005162C4">
            <w:pPr>
              <w:pStyle w:val="ListParagraph"/>
              <w:numPr>
                <w:ilvl w:val="0"/>
                <w:numId w:val="12"/>
              </w:numPr>
              <w:spacing w:after="60" w:line="240" w:lineRule="auto"/>
              <w:ind w:left="284" w:hanging="284"/>
              <w:contextualSpacing w:val="0"/>
              <w:jc w:val="both"/>
              <w:rPr>
                <w:sz w:val="20"/>
                <w:szCs w:val="20"/>
                <w:lang w:val="en-AU"/>
              </w:rPr>
            </w:pPr>
            <w:r w:rsidRPr="00402A11">
              <w:rPr>
                <w:sz w:val="20"/>
                <w:szCs w:val="20"/>
                <w:lang w:val="en-AU"/>
              </w:rPr>
              <w:t xml:space="preserve">The most striking aspect of the breakdown of per student </w:t>
            </w:r>
            <w:r w:rsidR="00AC5699" w:rsidRPr="00402A11">
              <w:rPr>
                <w:sz w:val="20"/>
                <w:szCs w:val="20"/>
                <w:lang w:val="en-AU"/>
              </w:rPr>
              <w:t>expenditure</w:t>
            </w:r>
            <w:r w:rsidRPr="00402A11">
              <w:rPr>
                <w:sz w:val="20"/>
                <w:szCs w:val="20"/>
                <w:lang w:val="en-AU"/>
              </w:rPr>
              <w:t xml:space="preserve"> is that the Papua island group declines in the annual per student allocation for education in 2012. In Papua, per student allocations for education drop 12% from Rp. 6.26 million in 2011 to Rp. 5.48 million in 2012.</w:t>
            </w:r>
          </w:p>
          <w:p w:rsidR="0072338D" w:rsidRPr="00402A11" w:rsidRDefault="0072338D" w:rsidP="005162C4">
            <w:pPr>
              <w:pStyle w:val="ListParagraph"/>
              <w:numPr>
                <w:ilvl w:val="0"/>
                <w:numId w:val="12"/>
              </w:numPr>
              <w:spacing w:after="60" w:line="240" w:lineRule="auto"/>
              <w:ind w:left="284" w:hanging="284"/>
              <w:contextualSpacing w:val="0"/>
              <w:jc w:val="both"/>
              <w:rPr>
                <w:sz w:val="20"/>
                <w:szCs w:val="20"/>
                <w:lang w:val="en-AU"/>
              </w:rPr>
            </w:pPr>
            <w:r w:rsidRPr="00402A11">
              <w:rPr>
                <w:sz w:val="20"/>
                <w:szCs w:val="20"/>
                <w:lang w:val="en-AU"/>
              </w:rPr>
              <w:t xml:space="preserve">The </w:t>
            </w:r>
            <w:r w:rsidR="00AC5699" w:rsidRPr="00402A11">
              <w:rPr>
                <w:sz w:val="20"/>
                <w:szCs w:val="20"/>
                <w:lang w:val="en-AU"/>
              </w:rPr>
              <w:t>‘</w:t>
            </w:r>
            <w:r w:rsidRPr="00402A11">
              <w:rPr>
                <w:sz w:val="20"/>
                <w:szCs w:val="20"/>
                <w:lang w:val="en-AU"/>
              </w:rPr>
              <w:t>per student allocation</w:t>
            </w:r>
            <w:r w:rsidR="00AC5699" w:rsidRPr="00402A11">
              <w:rPr>
                <w:sz w:val="20"/>
                <w:szCs w:val="20"/>
                <w:lang w:val="en-AU"/>
              </w:rPr>
              <w:t>’</w:t>
            </w:r>
            <w:r w:rsidRPr="00402A11">
              <w:rPr>
                <w:sz w:val="20"/>
                <w:szCs w:val="20"/>
                <w:lang w:val="en-AU"/>
              </w:rPr>
              <w:t xml:space="preserve"> is greatly affected by the spars</w:t>
            </w:r>
            <w:r w:rsidR="00837A39">
              <w:rPr>
                <w:sz w:val="20"/>
                <w:szCs w:val="20"/>
                <w:lang w:val="en-AU"/>
              </w:rPr>
              <w:t>eness</w:t>
            </w:r>
            <w:r w:rsidRPr="00402A11">
              <w:rPr>
                <w:sz w:val="20"/>
                <w:szCs w:val="20"/>
                <w:lang w:val="en-AU"/>
              </w:rPr>
              <w:t xml:space="preserve"> of population. More sparsely populated districts (such as those in the eastern region and many of </w:t>
            </w:r>
            <w:r w:rsidRPr="00402A11">
              <w:rPr>
                <w:sz w:val="20"/>
                <w:szCs w:val="20"/>
                <w:lang w:val="en-AU"/>
              </w:rPr>
              <w:lastRenderedPageBreak/>
              <w:t xml:space="preserve">those in the poorest quintile districts) have higher average salary costs. This is because of both lower student/teacher ratios and higher salary related costs associated with remote area allowances. </w:t>
            </w:r>
          </w:p>
          <w:p w:rsidR="007F1806" w:rsidRPr="00402A11" w:rsidRDefault="0072338D" w:rsidP="005162C4">
            <w:pPr>
              <w:pStyle w:val="ListParagraph"/>
              <w:numPr>
                <w:ilvl w:val="0"/>
                <w:numId w:val="12"/>
              </w:numPr>
              <w:spacing w:after="60" w:line="240" w:lineRule="auto"/>
              <w:ind w:left="284" w:hanging="284"/>
              <w:contextualSpacing w:val="0"/>
              <w:jc w:val="both"/>
              <w:rPr>
                <w:sz w:val="20"/>
                <w:szCs w:val="20"/>
                <w:lang w:val="en-AU"/>
              </w:rPr>
            </w:pPr>
            <w:r w:rsidRPr="00402A11">
              <w:rPr>
                <w:sz w:val="20"/>
                <w:szCs w:val="20"/>
                <w:lang w:val="en-AU"/>
              </w:rPr>
              <w:t xml:space="preserve">During the four year period 2008-2011, Indonesia </w:t>
            </w:r>
            <w:r w:rsidR="00AC5699" w:rsidRPr="00402A11">
              <w:rPr>
                <w:sz w:val="20"/>
                <w:szCs w:val="20"/>
                <w:lang w:val="en-AU"/>
              </w:rPr>
              <w:t>displayed an</w:t>
            </w:r>
            <w:r w:rsidRPr="00402A11">
              <w:rPr>
                <w:sz w:val="20"/>
                <w:szCs w:val="20"/>
                <w:lang w:val="en-AU"/>
              </w:rPr>
              <w:t xml:space="preserve"> overall growth in per student expenditures</w:t>
            </w:r>
            <w:r w:rsidR="00AC5699" w:rsidRPr="00402A11">
              <w:rPr>
                <w:sz w:val="20"/>
                <w:szCs w:val="20"/>
                <w:lang w:val="en-AU"/>
              </w:rPr>
              <w:t>,</w:t>
            </w:r>
            <w:r w:rsidRPr="00402A11">
              <w:rPr>
                <w:sz w:val="20"/>
                <w:szCs w:val="20"/>
                <w:lang w:val="en-AU"/>
              </w:rPr>
              <w:t xml:space="preserve"> with a linear trend for greater expenditures in the poorest districts. In 2012 the slope of this equity spending was halted</w:t>
            </w:r>
            <w:r w:rsidR="00AC5699" w:rsidRPr="00402A11">
              <w:rPr>
                <w:sz w:val="20"/>
                <w:szCs w:val="20"/>
                <w:lang w:val="en-AU"/>
              </w:rPr>
              <w:t>,</w:t>
            </w:r>
            <w:r w:rsidRPr="00402A11">
              <w:rPr>
                <w:sz w:val="20"/>
                <w:szCs w:val="20"/>
                <w:lang w:val="en-AU"/>
              </w:rPr>
              <w:t xml:space="preserve"> with slower growth in the poorest districts. </w:t>
            </w:r>
          </w:p>
        </w:tc>
      </w:tr>
      <w:tr w:rsidR="007F1806" w:rsidRPr="00402A11" w:rsidTr="005162C4">
        <w:trPr>
          <w:jc w:val="center"/>
        </w:trPr>
        <w:tc>
          <w:tcPr>
            <w:tcW w:w="1000" w:type="pct"/>
            <w:shd w:val="clear" w:color="auto" w:fill="BFBFBF" w:themeFill="background1" w:themeFillShade="BF"/>
            <w:vAlign w:val="center"/>
          </w:tcPr>
          <w:p w:rsidR="007F1806" w:rsidRPr="00402A11" w:rsidRDefault="007F1806" w:rsidP="00402A11">
            <w:pPr>
              <w:spacing w:after="0"/>
              <w:jc w:val="center"/>
              <w:rPr>
                <w:sz w:val="20"/>
                <w:szCs w:val="20"/>
                <w:lang w:val="en-AU"/>
              </w:rPr>
            </w:pPr>
            <w:r w:rsidRPr="00402A11">
              <w:rPr>
                <w:sz w:val="20"/>
                <w:szCs w:val="20"/>
                <w:lang w:val="en-AU"/>
              </w:rPr>
              <w:lastRenderedPageBreak/>
              <w:t>Observations about EP districts</w:t>
            </w:r>
          </w:p>
        </w:tc>
        <w:tc>
          <w:tcPr>
            <w:tcW w:w="7216" w:type="dxa"/>
            <w:gridSpan w:val="3"/>
            <w:vAlign w:val="center"/>
          </w:tcPr>
          <w:p w:rsidR="00876584" w:rsidRPr="00402A11" w:rsidRDefault="00876584" w:rsidP="005162C4">
            <w:pPr>
              <w:pStyle w:val="ListParagraph"/>
              <w:numPr>
                <w:ilvl w:val="0"/>
                <w:numId w:val="12"/>
              </w:numPr>
              <w:spacing w:after="60" w:line="240" w:lineRule="auto"/>
              <w:ind w:left="284" w:hanging="284"/>
              <w:contextualSpacing w:val="0"/>
              <w:jc w:val="both"/>
              <w:rPr>
                <w:sz w:val="20"/>
                <w:szCs w:val="20"/>
                <w:lang w:val="en-AU"/>
              </w:rPr>
            </w:pPr>
            <w:r w:rsidRPr="00402A11">
              <w:rPr>
                <w:sz w:val="20"/>
                <w:szCs w:val="20"/>
                <w:lang w:val="en-AU"/>
              </w:rPr>
              <w:t xml:space="preserve">District expenditure per student has been increasing across </w:t>
            </w:r>
            <w:r w:rsidR="00EC418C" w:rsidRPr="00402A11">
              <w:rPr>
                <w:sz w:val="20"/>
                <w:szCs w:val="20"/>
                <w:lang w:val="en-AU"/>
              </w:rPr>
              <w:t xml:space="preserve">EP </w:t>
            </w:r>
            <w:r w:rsidRPr="00402A11">
              <w:rPr>
                <w:sz w:val="20"/>
                <w:szCs w:val="20"/>
                <w:lang w:val="en-AU"/>
              </w:rPr>
              <w:t>participating and non-participating districts.</w:t>
            </w:r>
          </w:p>
          <w:p w:rsidR="007F1806" w:rsidRPr="00402A11" w:rsidRDefault="00876584" w:rsidP="005162C4">
            <w:pPr>
              <w:pStyle w:val="ListParagraph"/>
              <w:numPr>
                <w:ilvl w:val="0"/>
                <w:numId w:val="12"/>
              </w:numPr>
              <w:spacing w:after="60" w:line="240" w:lineRule="auto"/>
              <w:ind w:left="284" w:hanging="284"/>
              <w:contextualSpacing w:val="0"/>
              <w:jc w:val="both"/>
              <w:rPr>
                <w:sz w:val="20"/>
                <w:szCs w:val="20"/>
                <w:lang w:val="en-AU"/>
              </w:rPr>
            </w:pPr>
            <w:r w:rsidRPr="00402A11">
              <w:rPr>
                <w:sz w:val="20"/>
                <w:szCs w:val="20"/>
                <w:lang w:val="en-AU"/>
              </w:rPr>
              <w:t xml:space="preserve">These </w:t>
            </w:r>
            <w:r w:rsidR="00066E98" w:rsidRPr="00402A11">
              <w:rPr>
                <w:sz w:val="20"/>
                <w:szCs w:val="20"/>
                <w:lang w:val="en-AU"/>
              </w:rPr>
              <w:t xml:space="preserve">increases </w:t>
            </w:r>
            <w:r w:rsidRPr="00402A11">
              <w:rPr>
                <w:sz w:val="20"/>
                <w:szCs w:val="20"/>
                <w:lang w:val="en-AU"/>
              </w:rPr>
              <w:t xml:space="preserve">disguise great internal variation </w:t>
            </w:r>
            <w:r w:rsidR="00066E98" w:rsidRPr="00402A11">
              <w:rPr>
                <w:sz w:val="20"/>
                <w:szCs w:val="20"/>
                <w:lang w:val="en-AU"/>
              </w:rPr>
              <w:t xml:space="preserve">in </w:t>
            </w:r>
            <w:r w:rsidRPr="00402A11">
              <w:rPr>
                <w:sz w:val="20"/>
                <w:szCs w:val="20"/>
                <w:lang w:val="en-AU"/>
              </w:rPr>
              <w:t>district allocat</w:t>
            </w:r>
            <w:r w:rsidR="00066E98" w:rsidRPr="00402A11">
              <w:rPr>
                <w:sz w:val="20"/>
                <w:szCs w:val="20"/>
                <w:lang w:val="en-AU"/>
              </w:rPr>
              <w:t xml:space="preserve">ions. </w:t>
            </w:r>
            <w:r w:rsidR="00AC5699" w:rsidRPr="00402A11">
              <w:rPr>
                <w:sz w:val="20"/>
                <w:szCs w:val="20"/>
                <w:lang w:val="en-AU"/>
              </w:rPr>
              <w:t xml:space="preserve">Twenty-five </w:t>
            </w:r>
            <w:r w:rsidR="00066E98" w:rsidRPr="00402A11">
              <w:rPr>
                <w:sz w:val="20"/>
                <w:szCs w:val="20"/>
                <w:lang w:val="en-AU"/>
              </w:rPr>
              <w:t>EP</w:t>
            </w:r>
            <w:r w:rsidRPr="00402A11">
              <w:rPr>
                <w:sz w:val="20"/>
                <w:szCs w:val="20"/>
                <w:lang w:val="en-AU"/>
              </w:rPr>
              <w:t xml:space="preserve"> districts allocat</w:t>
            </w:r>
            <w:r w:rsidR="00AC5699" w:rsidRPr="00402A11">
              <w:rPr>
                <w:sz w:val="20"/>
                <w:szCs w:val="20"/>
                <w:lang w:val="en-AU"/>
              </w:rPr>
              <w:t>e</w:t>
            </w:r>
            <w:r w:rsidRPr="00402A11">
              <w:rPr>
                <w:sz w:val="20"/>
                <w:szCs w:val="20"/>
                <w:lang w:val="en-AU"/>
              </w:rPr>
              <w:t xml:space="preserve"> less than Rp. 2.2 million per student. On the positive side, 33 </w:t>
            </w:r>
            <w:r w:rsidR="00066E98" w:rsidRPr="00402A11">
              <w:rPr>
                <w:sz w:val="20"/>
                <w:szCs w:val="20"/>
                <w:lang w:val="en-AU"/>
              </w:rPr>
              <w:t xml:space="preserve">EP </w:t>
            </w:r>
            <w:r w:rsidRPr="00402A11">
              <w:rPr>
                <w:sz w:val="20"/>
                <w:szCs w:val="20"/>
                <w:lang w:val="en-AU"/>
              </w:rPr>
              <w:t>districts allocat</w:t>
            </w:r>
            <w:r w:rsidR="00AC5699" w:rsidRPr="00402A11">
              <w:rPr>
                <w:sz w:val="20"/>
                <w:szCs w:val="20"/>
                <w:lang w:val="en-AU"/>
              </w:rPr>
              <w:t>e</w:t>
            </w:r>
            <w:r w:rsidRPr="00402A11">
              <w:rPr>
                <w:sz w:val="20"/>
                <w:szCs w:val="20"/>
                <w:lang w:val="en-AU"/>
              </w:rPr>
              <w:t xml:space="preserve"> above Rp. 6.2 million per student</w:t>
            </w:r>
            <w:r w:rsidR="00AC5699" w:rsidRPr="00402A11">
              <w:rPr>
                <w:sz w:val="20"/>
                <w:szCs w:val="20"/>
                <w:lang w:val="en-AU"/>
              </w:rPr>
              <w:t>,</w:t>
            </w:r>
            <w:r w:rsidRPr="00402A11">
              <w:rPr>
                <w:sz w:val="20"/>
                <w:szCs w:val="20"/>
                <w:lang w:val="en-AU"/>
              </w:rPr>
              <w:t xml:space="preserve"> which is more than double the national average per student allocation for education.</w:t>
            </w:r>
          </w:p>
        </w:tc>
      </w:tr>
      <w:tr w:rsidR="007F1806" w:rsidRPr="00402A11" w:rsidTr="005162C4">
        <w:trPr>
          <w:jc w:val="center"/>
        </w:trPr>
        <w:tc>
          <w:tcPr>
            <w:tcW w:w="1000" w:type="pct"/>
            <w:shd w:val="clear" w:color="auto" w:fill="BFBFBF" w:themeFill="background1" w:themeFillShade="BF"/>
            <w:vAlign w:val="center"/>
          </w:tcPr>
          <w:p w:rsidR="007F1806" w:rsidRPr="00402A11" w:rsidRDefault="007F1806" w:rsidP="00402A11">
            <w:pPr>
              <w:spacing w:after="0"/>
              <w:jc w:val="center"/>
              <w:rPr>
                <w:sz w:val="20"/>
                <w:szCs w:val="20"/>
                <w:lang w:val="en-AU"/>
              </w:rPr>
            </w:pPr>
            <w:r w:rsidRPr="00402A11">
              <w:rPr>
                <w:sz w:val="20"/>
                <w:szCs w:val="20"/>
                <w:lang w:val="en-AU"/>
              </w:rPr>
              <w:t>Observations about AIBEP districts</w:t>
            </w:r>
          </w:p>
        </w:tc>
        <w:tc>
          <w:tcPr>
            <w:tcW w:w="7216" w:type="dxa"/>
            <w:gridSpan w:val="3"/>
            <w:vAlign w:val="center"/>
          </w:tcPr>
          <w:p w:rsidR="007F1806" w:rsidRPr="00402A11" w:rsidRDefault="00876584" w:rsidP="005162C4">
            <w:pPr>
              <w:pStyle w:val="ListParagraph"/>
              <w:numPr>
                <w:ilvl w:val="0"/>
                <w:numId w:val="12"/>
              </w:numPr>
              <w:spacing w:after="60" w:line="240" w:lineRule="auto"/>
              <w:ind w:left="284" w:hanging="284"/>
              <w:contextualSpacing w:val="0"/>
              <w:jc w:val="both"/>
              <w:rPr>
                <w:sz w:val="20"/>
                <w:szCs w:val="20"/>
                <w:lang w:val="en-AU"/>
              </w:rPr>
            </w:pPr>
            <w:r w:rsidRPr="00402A11">
              <w:rPr>
                <w:sz w:val="20"/>
                <w:szCs w:val="20"/>
                <w:lang w:val="en-AU"/>
              </w:rPr>
              <w:t xml:space="preserve">Per student expenditure in BEP districts has started from a higher base but consistently grown over time at a similar rate to the other non-BEP districts. </w:t>
            </w:r>
          </w:p>
        </w:tc>
      </w:tr>
      <w:tr w:rsidR="007F1806" w:rsidRPr="00402A11" w:rsidTr="005162C4">
        <w:trPr>
          <w:tblHeader/>
          <w:jc w:val="center"/>
        </w:trPr>
        <w:tc>
          <w:tcPr>
            <w:tcW w:w="9019" w:type="dxa"/>
            <w:gridSpan w:val="4"/>
            <w:shd w:val="clear" w:color="auto" w:fill="68BAD6"/>
            <w:vAlign w:val="center"/>
          </w:tcPr>
          <w:p w:rsidR="007F1806" w:rsidRPr="00402A11" w:rsidRDefault="005162C4" w:rsidP="00402A11">
            <w:pPr>
              <w:spacing w:after="0"/>
              <w:jc w:val="center"/>
              <w:rPr>
                <w:rFonts w:asciiTheme="minorHAnsi" w:hAnsiTheme="minorHAnsi" w:cstheme="minorHAnsi"/>
                <w:b/>
                <w:color w:val="FFFFFF" w:themeColor="background1"/>
                <w:sz w:val="20"/>
                <w:szCs w:val="20"/>
                <w:lang w:val="en-US"/>
              </w:rPr>
            </w:pPr>
            <w:r w:rsidRPr="00402A11">
              <w:rPr>
                <w:rFonts w:asciiTheme="minorHAnsi" w:hAnsiTheme="minorHAnsi" w:cstheme="minorHAnsi"/>
                <w:b/>
                <w:sz w:val="20"/>
                <w:szCs w:val="20"/>
                <w:lang w:val="en-US"/>
              </w:rPr>
              <w:t>IMPLICATIONS AND MATTERS ARISING</w:t>
            </w:r>
          </w:p>
        </w:tc>
      </w:tr>
      <w:tr w:rsidR="007F1806" w:rsidRPr="00402A11" w:rsidTr="005162C4">
        <w:trPr>
          <w:jc w:val="center"/>
        </w:trPr>
        <w:tc>
          <w:tcPr>
            <w:tcW w:w="1000" w:type="pct"/>
            <w:shd w:val="clear" w:color="auto" w:fill="BFBFBF" w:themeFill="background1" w:themeFillShade="BF"/>
            <w:vAlign w:val="center"/>
          </w:tcPr>
          <w:p w:rsidR="007F1806" w:rsidRPr="00402A11" w:rsidRDefault="007F1806" w:rsidP="00402A11">
            <w:pPr>
              <w:spacing w:after="0"/>
              <w:jc w:val="center"/>
              <w:rPr>
                <w:sz w:val="20"/>
                <w:szCs w:val="20"/>
                <w:lang w:val="en-AU"/>
              </w:rPr>
            </w:pPr>
            <w:r w:rsidRPr="00402A11">
              <w:rPr>
                <w:sz w:val="20"/>
                <w:szCs w:val="20"/>
                <w:lang w:val="en-AU"/>
              </w:rPr>
              <w:t>For the performance of the education sector</w:t>
            </w:r>
          </w:p>
        </w:tc>
        <w:tc>
          <w:tcPr>
            <w:tcW w:w="7216" w:type="dxa"/>
            <w:gridSpan w:val="3"/>
            <w:vAlign w:val="center"/>
          </w:tcPr>
          <w:p w:rsidR="007F1806" w:rsidRPr="00402A11" w:rsidRDefault="0072338D" w:rsidP="005162C4">
            <w:pPr>
              <w:pStyle w:val="ListParagraph"/>
              <w:numPr>
                <w:ilvl w:val="0"/>
                <w:numId w:val="12"/>
              </w:numPr>
              <w:spacing w:after="60" w:line="240" w:lineRule="auto"/>
              <w:ind w:left="284" w:hanging="284"/>
              <w:contextualSpacing w:val="0"/>
              <w:jc w:val="both"/>
              <w:rPr>
                <w:sz w:val="20"/>
                <w:szCs w:val="20"/>
                <w:lang w:val="en-AU"/>
              </w:rPr>
            </w:pPr>
            <w:r w:rsidRPr="00402A11">
              <w:rPr>
                <w:sz w:val="20"/>
                <w:szCs w:val="20"/>
                <w:lang w:val="en-AU"/>
              </w:rPr>
              <w:t>To achieve better learning outcomes across the poorest districts, the district governments in poorest districts will need to grow their education spending more quickly and drive a stronger ‘equity slope’ in education funding distribution.</w:t>
            </w:r>
          </w:p>
          <w:p w:rsidR="00AF53D4" w:rsidRPr="00402A11" w:rsidRDefault="00AF53D4" w:rsidP="005162C4">
            <w:pPr>
              <w:pStyle w:val="ListParagraph"/>
              <w:numPr>
                <w:ilvl w:val="0"/>
                <w:numId w:val="12"/>
              </w:numPr>
              <w:spacing w:after="60" w:line="240" w:lineRule="auto"/>
              <w:ind w:left="284" w:hanging="284"/>
              <w:contextualSpacing w:val="0"/>
              <w:jc w:val="both"/>
              <w:rPr>
                <w:sz w:val="20"/>
                <w:szCs w:val="20"/>
                <w:lang w:val="en-AU"/>
              </w:rPr>
            </w:pPr>
            <w:r w:rsidRPr="00402A11">
              <w:rPr>
                <w:sz w:val="20"/>
                <w:szCs w:val="20"/>
                <w:lang w:val="en-AU"/>
              </w:rPr>
              <w:t>The reasons behind the decline in per student allocations towards edu</w:t>
            </w:r>
            <w:r w:rsidR="00846B0E" w:rsidRPr="00402A11">
              <w:rPr>
                <w:sz w:val="20"/>
                <w:szCs w:val="20"/>
                <w:lang w:val="en-AU"/>
              </w:rPr>
              <w:t xml:space="preserve">cation in Papua districts need </w:t>
            </w:r>
            <w:r w:rsidRPr="00402A11">
              <w:rPr>
                <w:sz w:val="20"/>
                <w:szCs w:val="20"/>
                <w:lang w:val="en-AU"/>
              </w:rPr>
              <w:t>to be understood.</w:t>
            </w:r>
          </w:p>
        </w:tc>
      </w:tr>
      <w:tr w:rsidR="007F1806" w:rsidRPr="00402A11" w:rsidTr="005162C4">
        <w:trPr>
          <w:jc w:val="center"/>
        </w:trPr>
        <w:tc>
          <w:tcPr>
            <w:tcW w:w="1000" w:type="pct"/>
            <w:shd w:val="clear" w:color="auto" w:fill="BFBFBF" w:themeFill="background1" w:themeFillShade="BF"/>
            <w:vAlign w:val="center"/>
          </w:tcPr>
          <w:p w:rsidR="007F1806" w:rsidRPr="00402A11" w:rsidRDefault="007F1806" w:rsidP="00402A11">
            <w:pPr>
              <w:spacing w:after="0"/>
              <w:jc w:val="center"/>
              <w:rPr>
                <w:sz w:val="20"/>
                <w:szCs w:val="20"/>
                <w:lang w:val="en-AU"/>
              </w:rPr>
            </w:pPr>
            <w:r w:rsidRPr="00402A11">
              <w:rPr>
                <w:sz w:val="20"/>
                <w:szCs w:val="20"/>
                <w:lang w:val="en-AU"/>
              </w:rPr>
              <w:t>For the performance of the Education Partnership</w:t>
            </w:r>
          </w:p>
        </w:tc>
        <w:tc>
          <w:tcPr>
            <w:tcW w:w="7216" w:type="dxa"/>
            <w:gridSpan w:val="3"/>
            <w:vAlign w:val="center"/>
          </w:tcPr>
          <w:p w:rsidR="007F1806" w:rsidRPr="00402A11" w:rsidRDefault="006C136A" w:rsidP="005162C4">
            <w:pPr>
              <w:pStyle w:val="ListParagraph"/>
              <w:numPr>
                <w:ilvl w:val="0"/>
                <w:numId w:val="12"/>
              </w:numPr>
              <w:spacing w:after="60" w:line="240" w:lineRule="auto"/>
              <w:ind w:left="284" w:hanging="284"/>
              <w:contextualSpacing w:val="0"/>
              <w:jc w:val="both"/>
              <w:rPr>
                <w:sz w:val="20"/>
                <w:szCs w:val="20"/>
                <w:lang w:val="en-AU"/>
              </w:rPr>
            </w:pPr>
            <w:r w:rsidRPr="00402A11">
              <w:rPr>
                <w:sz w:val="20"/>
                <w:szCs w:val="20"/>
                <w:lang w:val="en-AU"/>
              </w:rPr>
              <w:t>Most EP districts are showing growth in per student allocations for education which provides a good financial base for further improvements.</w:t>
            </w:r>
          </w:p>
          <w:p w:rsidR="007F1806" w:rsidRPr="00402A11" w:rsidRDefault="006C136A" w:rsidP="005162C4">
            <w:pPr>
              <w:pStyle w:val="ListParagraph"/>
              <w:numPr>
                <w:ilvl w:val="0"/>
                <w:numId w:val="12"/>
              </w:numPr>
              <w:spacing w:after="60" w:line="240" w:lineRule="auto"/>
              <w:ind w:left="284" w:hanging="284"/>
              <w:contextualSpacing w:val="0"/>
              <w:jc w:val="both"/>
              <w:rPr>
                <w:sz w:val="20"/>
                <w:szCs w:val="20"/>
                <w:lang w:val="en-AU"/>
              </w:rPr>
            </w:pPr>
            <w:r w:rsidRPr="00402A11">
              <w:rPr>
                <w:sz w:val="20"/>
                <w:szCs w:val="20"/>
                <w:lang w:val="en-AU"/>
              </w:rPr>
              <w:t>EP districts that have reduced their per student allocations</w:t>
            </w:r>
            <w:r w:rsidR="00694F27" w:rsidRPr="00402A11">
              <w:rPr>
                <w:sz w:val="20"/>
                <w:szCs w:val="20"/>
                <w:lang w:val="en-AU"/>
              </w:rPr>
              <w:t xml:space="preserve"> in 2012</w:t>
            </w:r>
            <w:r w:rsidR="004A255B" w:rsidRPr="00402A11">
              <w:rPr>
                <w:sz w:val="20"/>
                <w:szCs w:val="20"/>
                <w:lang w:val="en-AU"/>
              </w:rPr>
              <w:t xml:space="preserve">. There is merit in monitoring </w:t>
            </w:r>
            <w:r w:rsidR="00694F27" w:rsidRPr="00402A11">
              <w:rPr>
                <w:sz w:val="20"/>
                <w:szCs w:val="20"/>
                <w:lang w:val="en-AU"/>
              </w:rPr>
              <w:t>2013 and 2</w:t>
            </w:r>
            <w:r w:rsidR="00066E98" w:rsidRPr="00402A11">
              <w:rPr>
                <w:sz w:val="20"/>
                <w:szCs w:val="20"/>
                <w:lang w:val="en-AU"/>
              </w:rPr>
              <w:t>014 budget allocations for any</w:t>
            </w:r>
            <w:r w:rsidR="00694F27" w:rsidRPr="00402A11">
              <w:rPr>
                <w:sz w:val="20"/>
                <w:szCs w:val="20"/>
                <w:lang w:val="en-AU"/>
              </w:rPr>
              <w:t xml:space="preserve"> continuation of </w:t>
            </w:r>
            <w:r w:rsidR="004A255B" w:rsidRPr="00402A11">
              <w:rPr>
                <w:sz w:val="20"/>
                <w:szCs w:val="20"/>
                <w:lang w:val="en-AU"/>
              </w:rPr>
              <w:t xml:space="preserve">a </w:t>
            </w:r>
            <w:r w:rsidR="00694F27" w:rsidRPr="00402A11">
              <w:rPr>
                <w:sz w:val="20"/>
                <w:szCs w:val="20"/>
                <w:lang w:val="en-AU"/>
              </w:rPr>
              <w:t>declining trend.</w:t>
            </w:r>
          </w:p>
        </w:tc>
      </w:tr>
    </w:tbl>
    <w:p w:rsidR="007F1806" w:rsidRDefault="007F1806" w:rsidP="006A4E0A"/>
    <w:p w:rsidR="006A4E0A" w:rsidRPr="00382AD4" w:rsidRDefault="006A4E0A" w:rsidP="005162C4">
      <w:pPr>
        <w:spacing w:line="276" w:lineRule="auto"/>
        <w:jc w:val="both"/>
      </w:pPr>
      <w:r w:rsidRPr="00382AD4">
        <w:t>A more nuanced analysis of per student education expenditure looks at district expenditures per public M</w:t>
      </w:r>
      <w:r w:rsidR="004A255B">
        <w:t>o</w:t>
      </w:r>
      <w:r w:rsidRPr="00382AD4">
        <w:t>EC school students. This provides a more accurate measure because districts are only responsible for teacher salaries and other operational expenses of M</w:t>
      </w:r>
      <w:r w:rsidR="004A255B">
        <w:t>o</w:t>
      </w:r>
      <w:r w:rsidRPr="00382AD4">
        <w:t xml:space="preserve">EC public schools. By excluding private school students from per student calculations it is possible to remove the bias of different rates of enrolment in private schools across districts. </w:t>
      </w:r>
    </w:p>
    <w:p w:rsidR="006A4E0A" w:rsidRPr="00382AD4" w:rsidRDefault="006A4E0A" w:rsidP="005162C4">
      <w:pPr>
        <w:spacing w:line="276" w:lineRule="auto"/>
        <w:jc w:val="both"/>
      </w:pPr>
      <w:r w:rsidRPr="00382AD4">
        <w:t xml:space="preserve">The national average education expenditure per public students in 2011 was Rp. 4 million per student (from a previous year average of Rp. 3 million). Average expenditure per student for urban districts (Rp. 3.91 million) remains very close to rural districts (Rp. 3.98 million). Because there are proportionately greater numbers of private school students in urban areas, this indicator neutralizes the trend of the broader indicator </w:t>
      </w:r>
      <w:r w:rsidRPr="00382AD4">
        <w:rPr>
          <w:i/>
        </w:rPr>
        <w:t>expenditure</w:t>
      </w:r>
      <w:r w:rsidRPr="00382AD4">
        <w:t xml:space="preserve"> </w:t>
      </w:r>
      <w:r w:rsidRPr="00382AD4">
        <w:rPr>
          <w:i/>
        </w:rPr>
        <w:t>per all students.</w:t>
      </w:r>
      <w:r w:rsidRPr="00382AD4">
        <w:t xml:space="preserve"> </w:t>
      </w:r>
    </w:p>
    <w:p w:rsidR="006A4E0A" w:rsidRPr="004D77E5" w:rsidRDefault="006A4E0A" w:rsidP="005162C4">
      <w:pPr>
        <w:spacing w:line="276" w:lineRule="auto"/>
        <w:jc w:val="both"/>
        <w:rPr>
          <w:color w:val="FF0000"/>
        </w:rPr>
      </w:pPr>
      <w:r w:rsidRPr="00382AD4">
        <w:t xml:space="preserve">This analysis could not be undertaken for 2012 because student enrolment data </w:t>
      </w:r>
      <w:r w:rsidR="006C136A">
        <w:t xml:space="preserve">for this year has been able to be disaggregated </w:t>
      </w:r>
      <w:r w:rsidRPr="00382AD4">
        <w:t>into public and private enrolments.</w:t>
      </w:r>
    </w:p>
    <w:p w:rsidR="006A4E0A" w:rsidRDefault="001A3FC6" w:rsidP="001A3FC6">
      <w:pPr>
        <w:pStyle w:val="Caption"/>
      </w:pPr>
      <w:bookmarkStart w:id="95" w:name="_Toc374182078"/>
      <w:bookmarkStart w:id="96" w:name="_Toc381604818"/>
      <w:r>
        <w:lastRenderedPageBreak/>
        <w:t>Figure 3</w:t>
      </w:r>
      <w:r w:rsidR="00962BFF">
        <w:t>4</w:t>
      </w:r>
      <w:r>
        <w:t xml:space="preserve">: </w:t>
      </w:r>
      <w:r w:rsidR="006A4E0A">
        <w:t>Comparison - Expenditure per All Students vs. Expenditure per Public Students, (Rp. millions)</w:t>
      </w:r>
      <w:bookmarkEnd w:id="95"/>
      <w:bookmarkEnd w:id="96"/>
    </w:p>
    <w:p w:rsidR="006A4E0A" w:rsidRDefault="006A4E0A" w:rsidP="005162C4">
      <w:pPr>
        <w:spacing w:after="360"/>
        <w:jc w:val="center"/>
      </w:pPr>
      <w:r>
        <w:rPr>
          <w:noProof/>
          <w:lang w:val="en-AU" w:eastAsia="en-AU"/>
        </w:rPr>
        <w:drawing>
          <wp:inline distT="0" distB="0" distL="0" distR="0" wp14:anchorId="7DFF86F8" wp14:editId="4EE9C5F0">
            <wp:extent cx="5543550" cy="38290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53075" cy="3835629"/>
                    </a:xfrm>
                    <a:prstGeom prst="rect">
                      <a:avLst/>
                    </a:prstGeom>
                    <a:noFill/>
                  </pic:spPr>
                </pic:pic>
              </a:graphicData>
            </a:graphic>
          </wp:inline>
        </w:drawing>
      </w:r>
    </w:p>
    <w:p w:rsidR="006A4E0A" w:rsidRDefault="006A4E0A" w:rsidP="002E318D">
      <w:pPr>
        <w:spacing w:line="276" w:lineRule="auto"/>
        <w:jc w:val="both"/>
      </w:pPr>
      <w:r>
        <w:t>D</w:t>
      </w:r>
      <w:r w:rsidRPr="00ED5215">
        <w:t xml:space="preserve">istricts in the </w:t>
      </w:r>
      <w:r>
        <w:t xml:space="preserve">far </w:t>
      </w:r>
      <w:r w:rsidRPr="00ED5215">
        <w:t xml:space="preserve">eastern region of the country </w:t>
      </w:r>
      <w:r>
        <w:t xml:space="preserve">tend to </w:t>
      </w:r>
      <w:r w:rsidRPr="00ED5215">
        <w:t xml:space="preserve">have significantly higher costs per student than districts in the western region </w:t>
      </w:r>
      <w:r>
        <w:t xml:space="preserve">because of </w:t>
      </w:r>
      <w:r w:rsidRPr="00ED5215">
        <w:t xml:space="preserve">the lower density of populations. </w:t>
      </w:r>
      <w:r>
        <w:t>Average expenditure per student in 2012 was again highest in the island groups of Papua (Rp. 5.5 million) and Kalimantan (Rp. 4.9 million). Lowest expenditure by a considerable margin is found on Java with Rp. 2.6 million per student. To some extent the lower unit costs in java reflect the population density which makes it easier to run schools at maximum capacity and consistently high student: teacher ratios.</w:t>
      </w:r>
    </w:p>
    <w:p w:rsidR="006A4E0A" w:rsidRDefault="00962BFF" w:rsidP="001A3FC6">
      <w:pPr>
        <w:pStyle w:val="Caption"/>
      </w:pPr>
      <w:bookmarkStart w:id="97" w:name="_Toc374182082"/>
      <w:bookmarkStart w:id="98" w:name="_Toc381604819"/>
      <w:r>
        <w:lastRenderedPageBreak/>
        <w:t>Figure 35</w:t>
      </w:r>
      <w:r w:rsidR="001A3FC6">
        <w:t xml:space="preserve">: </w:t>
      </w:r>
      <w:r w:rsidR="006A4E0A">
        <w:t xml:space="preserve">Average APBD Education Expenditure per Student </w:t>
      </w:r>
      <w:r w:rsidR="00233537">
        <w:t>(Rp. millions)</w:t>
      </w:r>
      <w:r w:rsidR="006A4E0A">
        <w:t>, 2008-12 by Island</w:t>
      </w:r>
      <w:bookmarkEnd w:id="97"/>
      <w:bookmarkEnd w:id="98"/>
    </w:p>
    <w:p w:rsidR="006A4E0A" w:rsidRDefault="006A4E0A" w:rsidP="005162C4">
      <w:pPr>
        <w:spacing w:after="360"/>
        <w:jc w:val="center"/>
        <w:rPr>
          <w:b/>
          <w:i/>
        </w:rPr>
      </w:pPr>
      <w:r>
        <w:rPr>
          <w:b/>
          <w:i/>
          <w:noProof/>
          <w:lang w:val="en-AU" w:eastAsia="en-AU"/>
        </w:rPr>
        <w:drawing>
          <wp:inline distT="0" distB="0" distL="0" distR="0" wp14:anchorId="795B6CF6" wp14:editId="43702555">
            <wp:extent cx="5566410" cy="4047444"/>
            <wp:effectExtent l="19050" t="19050" r="15240" b="1079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66410" cy="4047444"/>
                    </a:xfrm>
                    <a:prstGeom prst="rect">
                      <a:avLst/>
                    </a:prstGeom>
                    <a:noFill/>
                    <a:ln>
                      <a:solidFill>
                        <a:schemeClr val="accent1"/>
                      </a:solidFill>
                    </a:ln>
                  </pic:spPr>
                </pic:pic>
              </a:graphicData>
            </a:graphic>
          </wp:inline>
        </w:drawing>
      </w:r>
    </w:p>
    <w:p w:rsidR="006A4E0A" w:rsidRDefault="006A4E0A" w:rsidP="002E318D">
      <w:pPr>
        <w:spacing w:line="276" w:lineRule="auto"/>
        <w:jc w:val="both"/>
      </w:pPr>
      <w:r>
        <w:t xml:space="preserve">The most striking aspect of the breakdown of </w:t>
      </w:r>
      <w:r w:rsidR="007168AC">
        <w:t xml:space="preserve">the 2012 </w:t>
      </w:r>
      <w:r>
        <w:t>per student expenditure</w:t>
      </w:r>
      <w:r w:rsidR="007168AC">
        <w:t xml:space="preserve"> </w:t>
      </w:r>
      <w:r>
        <w:t xml:space="preserve">is that the Papua island group declines in the annual per student allocation. In Papua, per student allocations for education drop 12% from Rp. 6.26 million in 2011 to Rp. 5.48 million in 2012. </w:t>
      </w:r>
    </w:p>
    <w:p w:rsidR="006A4E0A" w:rsidRDefault="006A4E0A" w:rsidP="002E318D">
      <w:pPr>
        <w:spacing w:line="276" w:lineRule="auto"/>
        <w:jc w:val="both"/>
      </w:pPr>
      <w:r>
        <w:t>The table below presents a breakdown of the average annual growth in district education budgets within the Papua island group. It shows that with the exception of Kota Sorong in one year (2010) the annual decline in district education budgets has only occurred in the poorest quintile districts. In 2012, seventeen (17) of the poorest districts in Papua (from a total 41 districts) showed an annual decline in their allocations for education.</w:t>
      </w:r>
    </w:p>
    <w:p w:rsidR="006A4E0A" w:rsidRPr="007B54E5" w:rsidRDefault="006A4E0A" w:rsidP="002E318D">
      <w:pPr>
        <w:spacing w:line="276" w:lineRule="auto"/>
        <w:jc w:val="both"/>
      </w:pPr>
      <w:r>
        <w:t>Some districts showing negative growth in 2012 had recorded very strong annual growth in the previous year. This might be an explanation why expenditures leveled off in 2012. Many other districts did not have such strong growth and it is unclear why so many districts in Papua had an annual drop in their 2012 education allocations.</w:t>
      </w:r>
    </w:p>
    <w:p w:rsidR="006A4E0A" w:rsidRDefault="001A3FC6" w:rsidP="001A3FC6">
      <w:pPr>
        <w:pStyle w:val="Caption"/>
      </w:pPr>
      <w:bookmarkStart w:id="99" w:name="_Toc374182083"/>
      <w:bookmarkStart w:id="100" w:name="_Toc381604820"/>
      <w:r>
        <w:lastRenderedPageBreak/>
        <w:t>Figure 3</w:t>
      </w:r>
      <w:r w:rsidR="00962BFF">
        <w:t>6</w:t>
      </w:r>
      <w:r>
        <w:t xml:space="preserve">: </w:t>
      </w:r>
      <w:r w:rsidR="006A4E0A">
        <w:t>Papua: Average Annual Growth in District Education Budget,</w:t>
      </w:r>
      <w:r w:rsidR="00233537">
        <w:t xml:space="preserve"> (Rp. millions)</w:t>
      </w:r>
      <w:r w:rsidR="006A4E0A">
        <w:t xml:space="preserve"> 2010-12</w:t>
      </w:r>
      <w:bookmarkEnd w:id="99"/>
      <w:bookmarkEnd w:id="100"/>
    </w:p>
    <w:p w:rsidR="006A4E0A" w:rsidRDefault="006A4E0A" w:rsidP="005162C4">
      <w:pPr>
        <w:spacing w:after="360"/>
        <w:jc w:val="center"/>
        <w:rPr>
          <w:b/>
          <w:i/>
        </w:rPr>
      </w:pPr>
      <w:r>
        <w:rPr>
          <w:b/>
          <w:i/>
          <w:noProof/>
          <w:lang w:val="en-AU" w:eastAsia="en-AU"/>
        </w:rPr>
        <w:drawing>
          <wp:inline distT="0" distB="0" distL="0" distR="0" wp14:anchorId="40551368" wp14:editId="1AD65B58">
            <wp:extent cx="5566410" cy="6786163"/>
            <wp:effectExtent l="19050" t="19050" r="15240" b="152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66410" cy="6786163"/>
                    </a:xfrm>
                    <a:prstGeom prst="rect">
                      <a:avLst/>
                    </a:prstGeom>
                    <a:noFill/>
                    <a:ln>
                      <a:solidFill>
                        <a:schemeClr val="accent1"/>
                      </a:solidFill>
                    </a:ln>
                  </pic:spPr>
                </pic:pic>
              </a:graphicData>
            </a:graphic>
          </wp:inline>
        </w:drawing>
      </w:r>
    </w:p>
    <w:p w:rsidR="00AF53D4" w:rsidRPr="00725F33" w:rsidRDefault="00AF53D4" w:rsidP="002E318D">
      <w:pPr>
        <w:spacing w:line="276" w:lineRule="auto"/>
        <w:jc w:val="both"/>
      </w:pPr>
      <w:r>
        <w:t>District expenditure per student has been increasing across EP districts. By 2012, the non-participating districts had a higher average allocation for education (Rp. 3.3 mill.) compared to participating districts (Rp. 2.8 – 3.2 mill.).</w:t>
      </w:r>
    </w:p>
    <w:p w:rsidR="00AF53D4" w:rsidRDefault="00962BFF" w:rsidP="001A3FC6">
      <w:pPr>
        <w:pStyle w:val="Caption"/>
      </w:pPr>
      <w:bookmarkStart w:id="101" w:name="_Toc374182102"/>
      <w:bookmarkStart w:id="102" w:name="_Toc381604821"/>
      <w:r>
        <w:lastRenderedPageBreak/>
        <w:t>Figure 37</w:t>
      </w:r>
      <w:r w:rsidR="001A3FC6">
        <w:t xml:space="preserve">: </w:t>
      </w:r>
      <w:r w:rsidR="00AF53D4">
        <w:t xml:space="preserve">Average District Expenditure per Student, </w:t>
      </w:r>
      <w:r w:rsidR="00846B0E">
        <w:t xml:space="preserve">EP Districts and Others </w:t>
      </w:r>
      <w:r w:rsidR="00AF53D4">
        <w:t>2012</w:t>
      </w:r>
      <w:bookmarkEnd w:id="101"/>
      <w:r w:rsidR="00233537">
        <w:t xml:space="preserve"> (Rp. millions)</w:t>
      </w:r>
      <w:bookmarkEnd w:id="102"/>
    </w:p>
    <w:p w:rsidR="00AF53D4" w:rsidRPr="000C07FE" w:rsidRDefault="00AF53D4" w:rsidP="005162C4">
      <w:pPr>
        <w:spacing w:after="360"/>
        <w:jc w:val="center"/>
      </w:pPr>
      <w:r>
        <w:rPr>
          <w:noProof/>
          <w:lang w:val="en-AU" w:eastAsia="en-AU"/>
        </w:rPr>
        <w:drawing>
          <wp:inline distT="0" distB="0" distL="0" distR="0" wp14:anchorId="2C7AFB4A" wp14:editId="050701D4">
            <wp:extent cx="5408617" cy="3286664"/>
            <wp:effectExtent l="19050" t="19050" r="20955"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08930" cy="3286854"/>
                    </a:xfrm>
                    <a:prstGeom prst="rect">
                      <a:avLst/>
                    </a:prstGeom>
                    <a:noFill/>
                    <a:ln>
                      <a:solidFill>
                        <a:schemeClr val="accent1"/>
                      </a:solidFill>
                    </a:ln>
                  </pic:spPr>
                </pic:pic>
              </a:graphicData>
            </a:graphic>
          </wp:inline>
        </w:drawing>
      </w:r>
    </w:p>
    <w:p w:rsidR="00AF53D4" w:rsidRDefault="00AF53D4" w:rsidP="002E318D">
      <w:pPr>
        <w:spacing w:line="276" w:lineRule="auto"/>
        <w:jc w:val="both"/>
        <w:rPr>
          <w:noProof/>
        </w:rPr>
      </w:pPr>
      <w:r>
        <w:rPr>
          <w:noProof/>
        </w:rPr>
        <w:t>These averages disguise great internal variation district allocations. For operational purposes it may be useful to identify the low and high end outliers in terms of per student allocations. Compared to the national average Rp. 3.1 million allocation per student, there are 25 EP disricts allocating less than Rp. 2.2 million per student.</w:t>
      </w:r>
    </w:p>
    <w:p w:rsidR="00AF53D4" w:rsidRDefault="00AF53D4" w:rsidP="002E318D">
      <w:pPr>
        <w:spacing w:line="276" w:lineRule="auto"/>
        <w:jc w:val="both"/>
        <w:rPr>
          <w:noProof/>
        </w:rPr>
      </w:pPr>
      <w:r>
        <w:rPr>
          <w:noProof/>
        </w:rPr>
        <w:t xml:space="preserve">Some caution needs to be exercised in interpreting these figures. A high percentage of student enrolments in the private school sector will provide a misleadingly low estimate the actual financing for schools. The private school enrolments are likely to have the biggest impact in the richest urban districts with a likely higher share of well resourced private schools. The table below shows there are six districts (out of 25) which are in the richest quintile and committing less than Rp. 2.2 million per student. </w:t>
      </w:r>
    </w:p>
    <w:p w:rsidR="00AF53D4" w:rsidRDefault="00962BFF" w:rsidP="001A3FC6">
      <w:pPr>
        <w:pStyle w:val="Caption"/>
      </w:pPr>
      <w:bookmarkStart w:id="103" w:name="_Toc374182103"/>
      <w:bookmarkStart w:id="104" w:name="_Toc381604822"/>
      <w:r>
        <w:lastRenderedPageBreak/>
        <w:t>Figure 38</w:t>
      </w:r>
      <w:r w:rsidR="001A3FC6">
        <w:t xml:space="preserve">: </w:t>
      </w:r>
      <w:r w:rsidR="00AF53D4">
        <w:t>EP Districts with Low Expenditure per Student, 2012</w:t>
      </w:r>
      <w:bookmarkEnd w:id="103"/>
      <w:r w:rsidR="00233537">
        <w:t xml:space="preserve"> (Rp. millions)</w:t>
      </w:r>
      <w:bookmarkEnd w:id="104"/>
    </w:p>
    <w:p w:rsidR="00AF53D4" w:rsidRDefault="00AF53D4" w:rsidP="005162C4">
      <w:pPr>
        <w:spacing w:after="360"/>
        <w:jc w:val="center"/>
        <w:rPr>
          <w:noProof/>
        </w:rPr>
      </w:pPr>
      <w:r>
        <w:rPr>
          <w:noProof/>
          <w:lang w:val="en-AU" w:eastAsia="en-AU"/>
        </w:rPr>
        <w:drawing>
          <wp:inline distT="0" distB="0" distL="0" distR="0" wp14:anchorId="78DDE17A" wp14:editId="731FFFC0">
            <wp:extent cx="5564038" cy="4692770"/>
            <wp:effectExtent l="19050" t="19050" r="17780" b="1270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66410" cy="4694771"/>
                    </a:xfrm>
                    <a:prstGeom prst="rect">
                      <a:avLst/>
                    </a:prstGeom>
                    <a:noFill/>
                    <a:ln>
                      <a:solidFill>
                        <a:schemeClr val="accent1"/>
                      </a:solidFill>
                    </a:ln>
                  </pic:spPr>
                </pic:pic>
              </a:graphicData>
            </a:graphic>
          </wp:inline>
        </w:drawing>
      </w:r>
    </w:p>
    <w:p w:rsidR="00AF53D4" w:rsidRDefault="00AF53D4" w:rsidP="002E318D">
      <w:pPr>
        <w:spacing w:line="276" w:lineRule="auto"/>
        <w:jc w:val="both"/>
        <w:rPr>
          <w:noProof/>
        </w:rPr>
      </w:pPr>
      <w:r>
        <w:rPr>
          <w:noProof/>
        </w:rPr>
        <w:t xml:space="preserve">Conversely, there are 33 EP districts that are allocating more than double (Rp. 6.2 million) the national average per student allocation for education. </w:t>
      </w:r>
    </w:p>
    <w:p w:rsidR="00AF53D4" w:rsidRDefault="00962BFF" w:rsidP="001A3FC6">
      <w:pPr>
        <w:pStyle w:val="Caption"/>
        <w:rPr>
          <w:noProof/>
        </w:rPr>
      </w:pPr>
      <w:bookmarkStart w:id="105" w:name="_Toc374182104"/>
      <w:bookmarkStart w:id="106" w:name="_Toc381604823"/>
      <w:r>
        <w:lastRenderedPageBreak/>
        <w:t>Figure 39</w:t>
      </w:r>
      <w:r w:rsidR="001A3FC6">
        <w:t xml:space="preserve">: </w:t>
      </w:r>
      <w:r w:rsidR="00AF53D4">
        <w:t>EP Districts</w:t>
      </w:r>
      <w:r w:rsidR="00AF53D4">
        <w:rPr>
          <w:noProof/>
        </w:rPr>
        <w:t xml:space="preserve"> with very high per student expenditure, 2012</w:t>
      </w:r>
      <w:bookmarkEnd w:id="105"/>
      <w:r w:rsidR="00233537">
        <w:rPr>
          <w:noProof/>
        </w:rPr>
        <w:t xml:space="preserve"> </w:t>
      </w:r>
      <w:r w:rsidR="00233537">
        <w:t>(Rp. millions)</w:t>
      </w:r>
      <w:bookmarkEnd w:id="106"/>
    </w:p>
    <w:p w:rsidR="00AF53D4" w:rsidRDefault="00AF53D4" w:rsidP="005162C4">
      <w:pPr>
        <w:spacing w:after="360"/>
        <w:jc w:val="center"/>
        <w:rPr>
          <w:noProof/>
        </w:rPr>
      </w:pPr>
      <w:r>
        <w:rPr>
          <w:noProof/>
          <w:lang w:val="en-AU" w:eastAsia="en-AU"/>
        </w:rPr>
        <w:drawing>
          <wp:inline distT="0" distB="0" distL="0" distR="0" wp14:anchorId="2DA36150" wp14:editId="6FD8F793">
            <wp:extent cx="5564038" cy="5822830"/>
            <wp:effectExtent l="19050" t="19050" r="17780" b="260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66410" cy="5825312"/>
                    </a:xfrm>
                    <a:prstGeom prst="rect">
                      <a:avLst/>
                    </a:prstGeom>
                    <a:noFill/>
                    <a:ln>
                      <a:solidFill>
                        <a:schemeClr val="accent1"/>
                      </a:solidFill>
                    </a:ln>
                  </pic:spPr>
                </pic:pic>
              </a:graphicData>
            </a:graphic>
          </wp:inline>
        </w:drawing>
      </w:r>
    </w:p>
    <w:p w:rsidR="006A4E0A" w:rsidRPr="00EE6E25" w:rsidRDefault="003B1CD4" w:rsidP="002E318D">
      <w:pPr>
        <w:spacing w:line="276" w:lineRule="auto"/>
        <w:jc w:val="both"/>
      </w:pPr>
      <w:r>
        <w:t>U</w:t>
      </w:r>
      <w:r w:rsidR="006A4E0A" w:rsidRPr="00EE6E25">
        <w:t>nit cost calculations are greatly affected by the spars</w:t>
      </w:r>
      <w:r w:rsidR="00837A39">
        <w:t>eness</w:t>
      </w:r>
      <w:r w:rsidR="006A4E0A" w:rsidRPr="00EE6E25">
        <w:t xml:space="preserve"> of populations and care needs to be taken when comparing districts. Care should be taken to compare like with like districts in order to get a true feel for the district government commitment and possible impact on quality.</w:t>
      </w:r>
    </w:p>
    <w:p w:rsidR="006A4E0A" w:rsidRPr="00EE6E25" w:rsidRDefault="006A4E0A" w:rsidP="002E318D">
      <w:pPr>
        <w:spacing w:line="276" w:lineRule="auto"/>
        <w:jc w:val="both"/>
      </w:pPr>
      <w:r w:rsidRPr="00EE6E25">
        <w:t>Reasonable distribution of public education funds should generally provide greater funding per student to the poorest areas. This weighted distribution of government funds can enable the poorest communities to overcome a financial inability to pay for services. It also helps to cover the higher cost of servicing poor communities that are also in remote or difficult to reach areas.</w:t>
      </w:r>
    </w:p>
    <w:p w:rsidR="006A4E0A" w:rsidRDefault="00962BFF" w:rsidP="001A3FC6">
      <w:pPr>
        <w:pStyle w:val="Caption"/>
      </w:pPr>
      <w:bookmarkStart w:id="107" w:name="_Toc374182084"/>
      <w:bookmarkStart w:id="108" w:name="_Toc381604824"/>
      <w:r>
        <w:lastRenderedPageBreak/>
        <w:t>Figure 40</w:t>
      </w:r>
      <w:r w:rsidR="001A3FC6">
        <w:t xml:space="preserve">: </w:t>
      </w:r>
      <w:r w:rsidR="006A4E0A">
        <w:t>Equity Slope of Funding - Average APBD Education Expenditure per Student (Rp million</w:t>
      </w:r>
      <w:r w:rsidR="00233537">
        <w:t>s</w:t>
      </w:r>
      <w:r w:rsidR="006A4E0A">
        <w:t>), by Poverty Quintile, 2008-12</w:t>
      </w:r>
      <w:bookmarkEnd w:id="107"/>
      <w:bookmarkEnd w:id="108"/>
    </w:p>
    <w:p w:rsidR="006A4E0A" w:rsidRPr="003537F4" w:rsidRDefault="006A4E0A" w:rsidP="005162C4">
      <w:pPr>
        <w:spacing w:after="360"/>
        <w:jc w:val="center"/>
        <w:rPr>
          <w:color w:val="FF0000"/>
        </w:rPr>
      </w:pPr>
      <w:r>
        <w:rPr>
          <w:noProof/>
          <w:color w:val="FF0000"/>
          <w:lang w:val="en-AU" w:eastAsia="en-AU"/>
        </w:rPr>
        <w:drawing>
          <wp:inline distT="0" distB="0" distL="0" distR="0" wp14:anchorId="719EC779" wp14:editId="73575D92">
            <wp:extent cx="5564038" cy="3241965"/>
            <wp:effectExtent l="19050" t="19050" r="17780" b="158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66410" cy="3243347"/>
                    </a:xfrm>
                    <a:prstGeom prst="rect">
                      <a:avLst/>
                    </a:prstGeom>
                    <a:noFill/>
                    <a:ln>
                      <a:solidFill>
                        <a:schemeClr val="accent1"/>
                      </a:solidFill>
                    </a:ln>
                  </pic:spPr>
                </pic:pic>
              </a:graphicData>
            </a:graphic>
          </wp:inline>
        </w:drawing>
      </w:r>
    </w:p>
    <w:p w:rsidR="006A4E0A" w:rsidRDefault="006A4E0A" w:rsidP="002E318D">
      <w:pPr>
        <w:spacing w:line="276" w:lineRule="auto"/>
        <w:jc w:val="both"/>
      </w:pPr>
      <w:r w:rsidRPr="00EE6E25">
        <w:t xml:space="preserve">The chart above illustrates the ‘equity slope’ of district school funding. The ideal equity slope would begin low at the left hand corner (least public resources per student for the wealthiest districts) and slope upwards indicating that those districts with the lowest socio-economic profile and catering for the most remote communities have the greatest resources per student. </w:t>
      </w:r>
    </w:p>
    <w:p w:rsidR="006A4E0A" w:rsidRDefault="006A4E0A" w:rsidP="002E318D">
      <w:pPr>
        <w:spacing w:line="276" w:lineRule="auto"/>
        <w:jc w:val="both"/>
      </w:pPr>
      <w:r>
        <w:t>Indonesia has demonstrated</w:t>
      </w:r>
      <w:r w:rsidRPr="00EE6E25">
        <w:t xml:space="preserve"> a movement over time towards that kind of scenario. By 2011, districts from the two poorest quintiles had grown their allocations at a faster rate than others. This </w:t>
      </w:r>
      <w:r>
        <w:t>wa</w:t>
      </w:r>
      <w:r w:rsidRPr="00EE6E25">
        <w:t xml:space="preserve">s a significant achievement </w:t>
      </w:r>
      <w:r>
        <w:t xml:space="preserve">in </w:t>
      </w:r>
      <w:r w:rsidRPr="00EE6E25">
        <w:t xml:space="preserve">beginning to move away from a relatively flat distribution of district education funding per student across poverty quintiles. </w:t>
      </w:r>
      <w:r>
        <w:t>It showed</w:t>
      </w:r>
      <w:r w:rsidRPr="00EE6E25">
        <w:t xml:space="preserve"> government policies have been successful in moving towards a greater share of public resources being directed towards education in poorer districts. </w:t>
      </w:r>
    </w:p>
    <w:p w:rsidR="006A4E0A" w:rsidRDefault="006A4E0A" w:rsidP="002E318D">
      <w:pPr>
        <w:spacing w:line="276" w:lineRule="auto"/>
        <w:jc w:val="both"/>
      </w:pPr>
      <w:r>
        <w:t>In 2012, because annual growth in district education allocations in the poorest districts was less than for districts in other quintiles, there was a stalling in the move towards greater equity. The line for 2012 (</w:t>
      </w:r>
      <w:r w:rsidR="00822048">
        <w:t xml:space="preserve">the </w:t>
      </w:r>
      <w:r>
        <w:t>brown line in chart above) begins to flatten as it moves towards the poorest quintiles instead of preserving a linear increase in the allocations</w:t>
      </w:r>
    </w:p>
    <w:p w:rsidR="006A4E0A" w:rsidRPr="00EE6E25" w:rsidRDefault="006A4E0A" w:rsidP="002E318D">
      <w:pPr>
        <w:spacing w:line="276" w:lineRule="auto"/>
        <w:jc w:val="both"/>
      </w:pPr>
      <w:r w:rsidRPr="00EE6E25">
        <w:t xml:space="preserve">To achieve better learning outcomes across the poorest districts, the </w:t>
      </w:r>
      <w:r>
        <w:t xml:space="preserve">district </w:t>
      </w:r>
      <w:r w:rsidRPr="00EE6E25">
        <w:t>government</w:t>
      </w:r>
      <w:r>
        <w:t xml:space="preserve">s in poorest districts </w:t>
      </w:r>
      <w:r w:rsidRPr="00EE6E25">
        <w:t xml:space="preserve">will need </w:t>
      </w:r>
      <w:r>
        <w:t xml:space="preserve">to grow their education spending more quickly and drive a stronger </w:t>
      </w:r>
      <w:r w:rsidRPr="00EE6E25">
        <w:t xml:space="preserve">‘equity slope’ in </w:t>
      </w:r>
      <w:r>
        <w:t xml:space="preserve">education </w:t>
      </w:r>
      <w:r w:rsidRPr="00EE6E25">
        <w:t xml:space="preserve">funding distribution. </w:t>
      </w:r>
    </w:p>
    <w:p w:rsidR="006A4E0A" w:rsidRPr="005D1552" w:rsidRDefault="006A4E0A" w:rsidP="002E318D">
      <w:pPr>
        <w:spacing w:line="276" w:lineRule="auto"/>
        <w:jc w:val="both"/>
      </w:pPr>
      <w:r w:rsidRPr="005D1552">
        <w:t xml:space="preserve">There is good news for the government </w:t>
      </w:r>
      <w:r>
        <w:t xml:space="preserve">regarding </w:t>
      </w:r>
      <w:r w:rsidRPr="005D1552">
        <w:t xml:space="preserve">the affordability of this approach. Analysis of the distribution of students across district poverty quintiles shows that </w:t>
      </w:r>
      <w:r>
        <w:t xml:space="preserve">there </w:t>
      </w:r>
      <w:r w:rsidRPr="005D1552">
        <w:t xml:space="preserve">far fewer students in the poorest </w:t>
      </w:r>
      <w:r>
        <w:t>quintile than any other. In 2012, there were 6.3</w:t>
      </w:r>
      <w:r w:rsidRPr="005D1552">
        <w:t xml:space="preserve"> million students in poverty quintile 5 compared to more than 12 million in the richest quintile.</w:t>
      </w:r>
      <w:r w:rsidR="001B5388">
        <w:t xml:space="preserve"> These reduced numbers will reflect both the lower net enrolment rate (NER) in these districts, but also the sparsity of the population.</w:t>
      </w:r>
      <w:r w:rsidRPr="005D1552">
        <w:t xml:space="preserve"> </w:t>
      </w:r>
      <w:r w:rsidR="001B5388">
        <w:t>On the positive side, t</w:t>
      </w:r>
      <w:r w:rsidRPr="005D1552">
        <w:t xml:space="preserve">he cost of serving these districts is mitigated by reduced population density of these </w:t>
      </w:r>
      <w:r w:rsidRPr="005D1552">
        <w:lastRenderedPageBreak/>
        <w:t>districts. Although of course, successful policies will solve access problems and push up enrolments, however the reduced population density means there will still be fewer students to service.</w:t>
      </w:r>
    </w:p>
    <w:p w:rsidR="006A4E0A" w:rsidRDefault="00962BFF" w:rsidP="001A3FC6">
      <w:pPr>
        <w:pStyle w:val="Caption"/>
      </w:pPr>
      <w:bookmarkStart w:id="109" w:name="_Toc374182085"/>
      <w:bookmarkStart w:id="110" w:name="_Toc381604825"/>
      <w:r>
        <w:t>Figure 41</w:t>
      </w:r>
      <w:r w:rsidR="001A3FC6">
        <w:t xml:space="preserve">: </w:t>
      </w:r>
      <w:r w:rsidR="006A4E0A">
        <w:t>Cost and Student Load Comparison - Average APBD Education Expenditure per Student (Rp million</w:t>
      </w:r>
      <w:r w:rsidR="00233537">
        <w:t>s</w:t>
      </w:r>
      <w:r w:rsidR="006A4E0A">
        <w:t>)</w:t>
      </w:r>
      <w:r w:rsidR="00233537">
        <w:t xml:space="preserve"> </w:t>
      </w:r>
      <w:r w:rsidR="006A4E0A">
        <w:t>and Numbers of Students, by Poverty Quintile, 2012</w:t>
      </w:r>
      <w:bookmarkEnd w:id="109"/>
      <w:bookmarkEnd w:id="110"/>
    </w:p>
    <w:p w:rsidR="006A4E0A" w:rsidRDefault="006A4E0A" w:rsidP="005162C4">
      <w:pPr>
        <w:spacing w:after="360"/>
        <w:jc w:val="center"/>
        <w:rPr>
          <w:b/>
          <w:i/>
        </w:rPr>
      </w:pPr>
      <w:r>
        <w:rPr>
          <w:b/>
          <w:i/>
          <w:noProof/>
          <w:lang w:val="en-AU" w:eastAsia="en-AU"/>
        </w:rPr>
        <w:drawing>
          <wp:inline distT="0" distB="0" distL="0" distR="0" wp14:anchorId="79ADAA8A" wp14:editId="16745DC1">
            <wp:extent cx="5564038" cy="3045125"/>
            <wp:effectExtent l="19050" t="19050" r="17780" b="222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66410" cy="3046423"/>
                    </a:xfrm>
                    <a:prstGeom prst="rect">
                      <a:avLst/>
                    </a:prstGeom>
                    <a:noFill/>
                    <a:ln>
                      <a:solidFill>
                        <a:schemeClr val="accent1"/>
                      </a:solidFill>
                    </a:ln>
                  </pic:spPr>
                </pic:pic>
              </a:graphicData>
            </a:graphic>
          </wp:inline>
        </w:drawing>
      </w:r>
    </w:p>
    <w:p w:rsidR="006A4E0A" w:rsidRPr="005D1552" w:rsidRDefault="006A4E0A" w:rsidP="005162C4">
      <w:pPr>
        <w:spacing w:line="276" w:lineRule="auto"/>
        <w:jc w:val="both"/>
      </w:pPr>
      <w:r w:rsidRPr="005D1552">
        <w:t>A</w:t>
      </w:r>
      <w:r w:rsidRPr="00490A86">
        <w:rPr>
          <w:b/>
        </w:rPr>
        <w:t xml:space="preserve"> </w:t>
      </w:r>
      <w:r w:rsidRPr="00490A86">
        <w:rPr>
          <w:b/>
          <w:i/>
        </w:rPr>
        <w:t>Critical Education Funding Status</w:t>
      </w:r>
      <w:r w:rsidRPr="005D1552">
        <w:t xml:space="preserve"> (CEFS) diagnostic tool is based on three Key Performance Indicators from this District level analysis (KPI’s 6, 7, and 8). The CEFS diagnostic tool identifies critical districts that have:</w:t>
      </w:r>
    </w:p>
    <w:p w:rsidR="006A4E0A" w:rsidRPr="005D1552" w:rsidRDefault="006A4E0A" w:rsidP="005162C4">
      <w:pPr>
        <w:pStyle w:val="ListParagraph"/>
        <w:numPr>
          <w:ilvl w:val="0"/>
          <w:numId w:val="30"/>
        </w:numPr>
        <w:spacing w:after="100" w:afterAutospacing="1"/>
        <w:contextualSpacing w:val="0"/>
        <w:jc w:val="both"/>
      </w:pPr>
      <w:r w:rsidRPr="005D1552">
        <w:t>low expenditure per student (less than Rp. 2.1 million)</w:t>
      </w:r>
    </w:p>
    <w:p w:rsidR="006A4E0A" w:rsidRPr="005D1552" w:rsidRDefault="006A4E0A" w:rsidP="005162C4">
      <w:pPr>
        <w:pStyle w:val="ListParagraph"/>
        <w:numPr>
          <w:ilvl w:val="0"/>
          <w:numId w:val="30"/>
        </w:numPr>
        <w:spacing w:after="100" w:afterAutospacing="1"/>
        <w:contextualSpacing w:val="0"/>
        <w:jc w:val="both"/>
      </w:pPr>
      <w:r w:rsidRPr="005D1552">
        <w:t>small education share of the district budget (less than 20%)</w:t>
      </w:r>
      <w:r w:rsidR="004971BD">
        <w:t xml:space="preserve"> </w:t>
      </w:r>
    </w:p>
    <w:p w:rsidR="006A4E0A" w:rsidRPr="005D1552" w:rsidRDefault="006A4E0A" w:rsidP="005162C4">
      <w:pPr>
        <w:pStyle w:val="ListParagraph"/>
        <w:numPr>
          <w:ilvl w:val="0"/>
          <w:numId w:val="30"/>
        </w:numPr>
        <w:spacing w:after="240"/>
        <w:contextualSpacing w:val="0"/>
        <w:jc w:val="both"/>
      </w:pPr>
      <w:r w:rsidRPr="005D1552">
        <w:t xml:space="preserve">weak annual growth in their education budget (less than 20%). </w:t>
      </w:r>
    </w:p>
    <w:p w:rsidR="006A4E0A" w:rsidRDefault="006A4E0A" w:rsidP="005162C4">
      <w:pPr>
        <w:spacing w:line="276" w:lineRule="auto"/>
        <w:jc w:val="both"/>
        <w:rPr>
          <w:color w:val="FF0000"/>
        </w:rPr>
      </w:pPr>
      <w:r w:rsidRPr="006065CD">
        <w:t>The</w:t>
      </w:r>
      <w:r w:rsidR="00314228">
        <w:t xml:space="preserve"> figure b</w:t>
      </w:r>
      <w:r w:rsidRPr="006065CD">
        <w:t xml:space="preserve">elow </w:t>
      </w:r>
      <w:r>
        <w:t xml:space="preserve">shows 6 districts that are </w:t>
      </w:r>
      <w:r w:rsidRPr="006065CD">
        <w:t xml:space="preserve">meeting these criteria </w:t>
      </w:r>
      <w:r>
        <w:t>in 2012 (</w:t>
      </w:r>
      <w:r w:rsidRPr="006065CD">
        <w:t xml:space="preserve">compared to </w:t>
      </w:r>
      <w:r>
        <w:t xml:space="preserve">only two in 2011). Overall, 2012 is an improvement on 2010 when there sixteen </w:t>
      </w:r>
      <w:r w:rsidRPr="006065CD">
        <w:t xml:space="preserve">(16) meeting the CEFS criteria and another 12 districts in 2010. </w:t>
      </w:r>
      <w:r>
        <w:t>None of the 2012 CEFS districts had the same status in 2011.</w:t>
      </w:r>
    </w:p>
    <w:p w:rsidR="006A4E0A" w:rsidRDefault="006A4E0A" w:rsidP="005162C4">
      <w:pPr>
        <w:spacing w:line="276" w:lineRule="auto"/>
        <w:jc w:val="both"/>
        <w:rPr>
          <w:color w:val="000000" w:themeColor="text1"/>
        </w:rPr>
      </w:pPr>
      <w:r>
        <w:rPr>
          <w:color w:val="000000" w:themeColor="text1"/>
        </w:rPr>
        <w:t xml:space="preserve">It is a good sign that districts do not remain in the CEFS category for more than one year. It suggests there is some corrective re-balancing occurring within districts to prevent those already spending substantially less than average from declining their commitments even further. It is suggestive however, of the need to retain a focus on the 2012 CEFS </w:t>
      </w:r>
      <w:r w:rsidRPr="00862247">
        <w:rPr>
          <w:color w:val="000000" w:themeColor="text1"/>
        </w:rPr>
        <w:t xml:space="preserve">districts </w:t>
      </w:r>
      <w:r>
        <w:rPr>
          <w:color w:val="000000" w:themeColor="text1"/>
        </w:rPr>
        <w:t>so they do not decrease per student funding in 2013</w:t>
      </w:r>
      <w:r w:rsidRPr="00862247">
        <w:rPr>
          <w:color w:val="000000" w:themeColor="text1"/>
        </w:rPr>
        <w:t xml:space="preserve"> and beyond</w:t>
      </w:r>
      <w:r>
        <w:rPr>
          <w:color w:val="000000" w:themeColor="text1"/>
        </w:rPr>
        <w:t>.</w:t>
      </w:r>
    </w:p>
    <w:p w:rsidR="006A4E0A" w:rsidRPr="003537F4" w:rsidRDefault="006A4E0A" w:rsidP="006A4E0A">
      <w:pPr>
        <w:rPr>
          <w:color w:val="FF0000"/>
        </w:rPr>
      </w:pPr>
    </w:p>
    <w:p w:rsidR="006A4E0A" w:rsidRDefault="00962BFF" w:rsidP="001A3FC6">
      <w:pPr>
        <w:pStyle w:val="Caption"/>
      </w:pPr>
      <w:bookmarkStart w:id="111" w:name="_Toc374182086"/>
      <w:bookmarkStart w:id="112" w:name="_Toc381604826"/>
      <w:r>
        <w:lastRenderedPageBreak/>
        <w:t>Figure 42</w:t>
      </w:r>
      <w:r w:rsidR="001A3FC6">
        <w:t xml:space="preserve">: </w:t>
      </w:r>
      <w:r w:rsidR="006A4E0A">
        <w:t>Critical Education Funding Status (CEFS) Districts – Districts with low growth in education budget, low share of district budget and low expenditure per student, 2010-2012</w:t>
      </w:r>
      <w:bookmarkEnd w:id="111"/>
      <w:bookmarkEnd w:id="112"/>
    </w:p>
    <w:p w:rsidR="006A4E0A" w:rsidRDefault="006A4E0A" w:rsidP="005162C4">
      <w:pPr>
        <w:spacing w:after="360"/>
        <w:jc w:val="center"/>
        <w:rPr>
          <w:b/>
          <w:i/>
          <w:noProof/>
          <w:lang w:val="en-AU" w:eastAsia="en-AU"/>
        </w:rPr>
      </w:pPr>
      <w:r>
        <w:rPr>
          <w:b/>
          <w:i/>
          <w:noProof/>
          <w:lang w:val="en-AU" w:eastAsia="en-AU"/>
        </w:rPr>
        <w:drawing>
          <wp:inline distT="0" distB="0" distL="0" distR="0" wp14:anchorId="093D8511" wp14:editId="18268963">
            <wp:extent cx="5562600" cy="5343525"/>
            <wp:effectExtent l="19050" t="19050" r="19050" b="285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66410" cy="5347185"/>
                    </a:xfrm>
                    <a:prstGeom prst="rect">
                      <a:avLst/>
                    </a:prstGeom>
                    <a:noFill/>
                    <a:ln>
                      <a:solidFill>
                        <a:schemeClr val="accent1"/>
                      </a:solidFill>
                    </a:ln>
                  </pic:spPr>
                </pic:pic>
              </a:graphicData>
            </a:graphic>
          </wp:inline>
        </w:drawing>
      </w:r>
    </w:p>
    <w:p w:rsidR="006A4E0A" w:rsidRDefault="006A4E0A" w:rsidP="006A4E0A"/>
    <w:p w:rsidR="006A4E0A" w:rsidRDefault="006A4E0A" w:rsidP="006A4E0A"/>
    <w:p w:rsidR="006A4E0A" w:rsidRPr="00B543EF" w:rsidRDefault="006A4E0A" w:rsidP="006A4E0A">
      <w:pPr>
        <w:pStyle w:val="Listbullet0"/>
        <w:numPr>
          <w:ilvl w:val="0"/>
          <w:numId w:val="0"/>
        </w:numPr>
        <w:rPr>
          <w:color w:val="FF0000"/>
        </w:rPr>
      </w:pPr>
    </w:p>
    <w:p w:rsidR="006A4E0A" w:rsidRDefault="006A4E0A" w:rsidP="006A4E0A">
      <w:pPr>
        <w:rPr>
          <w:rFonts w:ascii="Cambria" w:hAnsi="Cambria"/>
          <w:b/>
          <w:i/>
          <w:color w:val="C0504D"/>
          <w:spacing w:val="5"/>
          <w:szCs w:val="24"/>
        </w:rPr>
      </w:pPr>
      <w:r>
        <w:br w:type="page"/>
      </w:r>
    </w:p>
    <w:p w:rsidR="006A4E0A" w:rsidRDefault="006A4E0A" w:rsidP="00DB55DD">
      <w:pPr>
        <w:pStyle w:val="Heading3"/>
      </w:pPr>
      <w:r w:rsidRPr="00E740D9">
        <w:lastRenderedPageBreak/>
        <w:t>KPI</w:t>
      </w:r>
      <w:r>
        <w:t xml:space="preserve"> </w:t>
      </w:r>
      <w:r w:rsidRPr="00E740D9">
        <w:t>9: Actual district education expenditure as % of planned education expenditure</w:t>
      </w:r>
    </w:p>
    <w:p w:rsidR="006A4E0A" w:rsidRDefault="00962BFF" w:rsidP="001A3FC6">
      <w:pPr>
        <w:pStyle w:val="Caption"/>
      </w:pPr>
      <w:bookmarkStart w:id="113" w:name="_Toc374182087"/>
      <w:bookmarkStart w:id="114" w:name="_Toc381604827"/>
      <w:r>
        <w:t>Figure 43</w:t>
      </w:r>
      <w:r w:rsidR="001A3FC6">
        <w:t xml:space="preserve">: </w:t>
      </w:r>
      <w:r w:rsidR="006A4E0A" w:rsidRPr="007A0542">
        <w:t>Realised Education Expenditure as % of Planned Expenditure</w:t>
      </w:r>
      <w:r w:rsidR="004971BD">
        <w:t xml:space="preserve"> </w:t>
      </w:r>
      <w:r w:rsidR="006A4E0A">
        <w:t xml:space="preserve">2006 </w:t>
      </w:r>
      <w:r w:rsidR="0036323E">
        <w:t>-</w:t>
      </w:r>
      <w:r w:rsidR="006A4E0A">
        <w:t>200</w:t>
      </w:r>
      <w:bookmarkEnd w:id="113"/>
      <w:r w:rsidR="0036323E">
        <w:t>9</w:t>
      </w:r>
      <w:bookmarkEnd w:id="114"/>
    </w:p>
    <w:p w:rsidR="006A4E0A" w:rsidRPr="00AA000F" w:rsidRDefault="00404DEF" w:rsidP="005162C4">
      <w:pPr>
        <w:spacing w:after="360"/>
        <w:jc w:val="center"/>
      </w:pPr>
      <w:r>
        <w:rPr>
          <w:noProof/>
          <w:lang w:val="en-AU" w:eastAsia="en-AU"/>
        </w:rPr>
        <w:drawing>
          <wp:inline distT="0" distB="0" distL="0" distR="0" wp14:anchorId="197154E3" wp14:editId="2BD24B9A">
            <wp:extent cx="5581650" cy="355282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81650" cy="3552825"/>
                    </a:xfrm>
                    <a:prstGeom prst="rect">
                      <a:avLst/>
                    </a:prstGeom>
                    <a:noFill/>
                  </pic:spPr>
                </pic:pic>
              </a:graphicData>
            </a:graphic>
          </wp:inline>
        </w:drawing>
      </w:r>
    </w:p>
    <w:tbl>
      <w:tblPr>
        <w:tblStyle w:val="TableGrid3"/>
        <w:tblW w:w="5000" w:type="pct"/>
        <w:jc w:val="center"/>
        <w:tblLayout w:type="fixed"/>
        <w:tblCellMar>
          <w:top w:w="28" w:type="dxa"/>
          <w:bottom w:w="28" w:type="dxa"/>
        </w:tblCellMar>
        <w:tblLook w:val="04A0" w:firstRow="1" w:lastRow="0" w:firstColumn="1" w:lastColumn="0" w:noHBand="0" w:noVBand="1"/>
      </w:tblPr>
      <w:tblGrid>
        <w:gridCol w:w="1849"/>
        <w:gridCol w:w="1849"/>
        <w:gridCol w:w="1849"/>
        <w:gridCol w:w="3698"/>
      </w:tblGrid>
      <w:tr w:rsidR="007F1806" w:rsidRPr="005162C4" w:rsidTr="00790BC1">
        <w:trPr>
          <w:tblHeader/>
          <w:jc w:val="center"/>
        </w:trPr>
        <w:tc>
          <w:tcPr>
            <w:tcW w:w="1000" w:type="pct"/>
            <w:tcBorders>
              <w:top w:val="single" w:sz="12" w:space="0" w:color="auto"/>
              <w:left w:val="single" w:sz="12" w:space="0" w:color="auto"/>
              <w:bottom w:val="single" w:sz="4" w:space="0" w:color="auto"/>
              <w:right w:val="single" w:sz="4" w:space="0" w:color="FFFFFF" w:themeColor="background1"/>
            </w:tcBorders>
            <w:shd w:val="clear" w:color="auto" w:fill="003880"/>
            <w:vAlign w:val="center"/>
          </w:tcPr>
          <w:p w:rsidR="007F1806" w:rsidRPr="005162C4" w:rsidRDefault="005162C4" w:rsidP="005162C4">
            <w:pPr>
              <w:spacing w:after="0"/>
              <w:jc w:val="center"/>
              <w:rPr>
                <w:rFonts w:asciiTheme="minorHAnsi" w:hAnsiTheme="minorHAnsi" w:cstheme="minorHAnsi"/>
                <w:b/>
                <w:color w:val="FFFFFF" w:themeColor="background1"/>
                <w:sz w:val="20"/>
                <w:szCs w:val="20"/>
                <w:lang w:val="en-US"/>
              </w:rPr>
            </w:pPr>
            <w:r w:rsidRPr="005162C4">
              <w:rPr>
                <w:rFonts w:asciiTheme="minorHAnsi" w:hAnsiTheme="minorHAnsi" w:cstheme="minorHAnsi"/>
                <w:b/>
                <w:color w:val="FFFFFF" w:themeColor="background1"/>
                <w:sz w:val="20"/>
                <w:szCs w:val="20"/>
                <w:lang w:val="en-US"/>
              </w:rPr>
              <w:t>KPI 9</w:t>
            </w:r>
          </w:p>
        </w:tc>
        <w:tc>
          <w:tcPr>
            <w:tcW w:w="7216" w:type="dxa"/>
            <w:gridSpan w:val="3"/>
            <w:tcBorders>
              <w:top w:val="single" w:sz="12" w:space="0" w:color="auto"/>
              <w:left w:val="single" w:sz="4" w:space="0" w:color="FFFFFF" w:themeColor="background1"/>
              <w:bottom w:val="single" w:sz="4" w:space="0" w:color="auto"/>
              <w:right w:val="single" w:sz="12" w:space="0" w:color="auto"/>
            </w:tcBorders>
            <w:shd w:val="clear" w:color="auto" w:fill="003880"/>
            <w:vAlign w:val="center"/>
          </w:tcPr>
          <w:p w:rsidR="007F1806" w:rsidRPr="005162C4" w:rsidRDefault="005162C4" w:rsidP="005162C4">
            <w:pPr>
              <w:spacing w:after="0"/>
              <w:jc w:val="center"/>
              <w:rPr>
                <w:rFonts w:asciiTheme="minorHAnsi" w:hAnsiTheme="minorHAnsi" w:cstheme="minorHAnsi"/>
                <w:b/>
                <w:color w:val="FFFFFF" w:themeColor="background1"/>
                <w:sz w:val="20"/>
                <w:szCs w:val="20"/>
                <w:lang w:val="en-US"/>
              </w:rPr>
            </w:pPr>
            <w:r w:rsidRPr="005162C4">
              <w:rPr>
                <w:rFonts w:asciiTheme="minorHAnsi" w:hAnsiTheme="minorHAnsi" w:cstheme="minorHAnsi"/>
                <w:b/>
                <w:bCs/>
                <w:color w:val="FFFFFF" w:themeColor="background1"/>
                <w:sz w:val="20"/>
                <w:szCs w:val="20"/>
                <w:lang w:val="en-US"/>
              </w:rPr>
              <w:t xml:space="preserve">ACTUAL DISTRICT EDUCATION EXPENDITURE AS % OF PLANNED EDUCATION EXPENDITURE </w:t>
            </w:r>
          </w:p>
        </w:tc>
      </w:tr>
      <w:tr w:rsidR="007F1806" w:rsidRPr="005162C4" w:rsidTr="00790BC1">
        <w:trPr>
          <w:tblHeader/>
          <w:jc w:val="center"/>
        </w:trPr>
        <w:tc>
          <w:tcPr>
            <w:tcW w:w="9019" w:type="dxa"/>
            <w:gridSpan w:val="4"/>
            <w:tcBorders>
              <w:left w:val="single" w:sz="12" w:space="0" w:color="auto"/>
              <w:bottom w:val="single" w:sz="4" w:space="0" w:color="auto"/>
              <w:right w:val="single" w:sz="12" w:space="0" w:color="auto"/>
            </w:tcBorders>
            <w:shd w:val="clear" w:color="auto" w:fill="4BACC6" w:themeFill="accent5"/>
            <w:vAlign w:val="center"/>
          </w:tcPr>
          <w:p w:rsidR="007F1806" w:rsidRPr="005162C4" w:rsidRDefault="005162C4" w:rsidP="005162C4">
            <w:pPr>
              <w:spacing w:after="0"/>
              <w:jc w:val="center"/>
              <w:rPr>
                <w:rFonts w:asciiTheme="minorHAnsi" w:hAnsiTheme="minorHAnsi" w:cstheme="minorHAnsi"/>
                <w:b/>
                <w:color w:val="FFFFFF" w:themeColor="background1"/>
                <w:sz w:val="20"/>
                <w:szCs w:val="20"/>
                <w:lang w:val="en-US"/>
              </w:rPr>
            </w:pPr>
            <w:r w:rsidRPr="005162C4">
              <w:rPr>
                <w:rFonts w:asciiTheme="minorHAnsi" w:hAnsiTheme="minorHAnsi" w:cstheme="minorHAnsi"/>
                <w:b/>
                <w:sz w:val="20"/>
                <w:szCs w:val="20"/>
                <w:lang w:val="en-US"/>
              </w:rPr>
              <w:t>STATUS AND TRENDS</w:t>
            </w:r>
          </w:p>
        </w:tc>
      </w:tr>
      <w:tr w:rsidR="007F1806" w:rsidRPr="005162C4" w:rsidTr="00790BC1">
        <w:trPr>
          <w:jc w:val="center"/>
        </w:trPr>
        <w:tc>
          <w:tcPr>
            <w:tcW w:w="1000" w:type="pct"/>
            <w:tcBorders>
              <w:left w:val="single" w:sz="12" w:space="0" w:color="auto"/>
              <w:bottom w:val="single" w:sz="4" w:space="0" w:color="auto"/>
            </w:tcBorders>
            <w:shd w:val="clear" w:color="auto" w:fill="BFBFBF" w:themeFill="background1" w:themeFillShade="BF"/>
            <w:vAlign w:val="center"/>
          </w:tcPr>
          <w:p w:rsidR="007F1806" w:rsidRPr="005162C4" w:rsidRDefault="007F1806" w:rsidP="005162C4">
            <w:pPr>
              <w:spacing w:after="0"/>
              <w:jc w:val="center"/>
              <w:rPr>
                <w:sz w:val="20"/>
                <w:szCs w:val="20"/>
                <w:lang w:val="en-AU"/>
              </w:rPr>
            </w:pPr>
            <w:r w:rsidRPr="005162C4">
              <w:rPr>
                <w:sz w:val="20"/>
                <w:szCs w:val="20"/>
                <w:lang w:val="en-AU"/>
              </w:rPr>
              <w:t>Result</w:t>
            </w:r>
          </w:p>
        </w:tc>
        <w:tc>
          <w:tcPr>
            <w:tcW w:w="1000" w:type="pct"/>
            <w:shd w:val="clear" w:color="auto" w:fill="FF0000"/>
            <w:vAlign w:val="center"/>
          </w:tcPr>
          <w:p w:rsidR="007F1806" w:rsidRPr="005162C4" w:rsidRDefault="007F1806" w:rsidP="005162C4">
            <w:pPr>
              <w:spacing w:after="0"/>
              <w:jc w:val="center"/>
              <w:rPr>
                <w:sz w:val="20"/>
                <w:szCs w:val="20"/>
                <w:lang w:val="en-AU"/>
              </w:rPr>
            </w:pPr>
            <w:r w:rsidRPr="005162C4">
              <w:rPr>
                <w:sz w:val="20"/>
                <w:szCs w:val="20"/>
                <w:lang w:val="en-AU"/>
              </w:rPr>
              <w:t>Negative</w:t>
            </w:r>
          </w:p>
        </w:tc>
        <w:tc>
          <w:tcPr>
            <w:tcW w:w="1000" w:type="pct"/>
            <w:shd w:val="clear" w:color="auto" w:fill="BFBFBF" w:themeFill="background1" w:themeFillShade="BF"/>
            <w:vAlign w:val="center"/>
          </w:tcPr>
          <w:p w:rsidR="007F1806" w:rsidRPr="005162C4" w:rsidRDefault="007F1806" w:rsidP="005162C4">
            <w:pPr>
              <w:spacing w:after="0"/>
              <w:jc w:val="center"/>
              <w:rPr>
                <w:sz w:val="20"/>
                <w:szCs w:val="20"/>
                <w:lang w:val="en-AU"/>
              </w:rPr>
            </w:pPr>
            <w:r w:rsidRPr="005162C4">
              <w:rPr>
                <w:sz w:val="20"/>
                <w:szCs w:val="20"/>
                <w:lang w:val="en-AU"/>
              </w:rPr>
              <w:t>Data availability</w:t>
            </w:r>
          </w:p>
        </w:tc>
        <w:tc>
          <w:tcPr>
            <w:tcW w:w="3608" w:type="dxa"/>
            <w:tcBorders>
              <w:right w:val="single" w:sz="12" w:space="0" w:color="auto"/>
            </w:tcBorders>
            <w:vAlign w:val="center"/>
          </w:tcPr>
          <w:p w:rsidR="007F1806" w:rsidRPr="005162C4" w:rsidRDefault="00822048" w:rsidP="001B5388">
            <w:pPr>
              <w:spacing w:after="0"/>
              <w:jc w:val="center"/>
              <w:rPr>
                <w:sz w:val="20"/>
                <w:szCs w:val="20"/>
                <w:lang w:val="en-AU"/>
              </w:rPr>
            </w:pPr>
            <w:r w:rsidRPr="005162C4">
              <w:rPr>
                <w:sz w:val="20"/>
                <w:szCs w:val="20"/>
                <w:lang w:val="en-AU"/>
              </w:rPr>
              <w:t xml:space="preserve">Financial data </w:t>
            </w:r>
            <w:r w:rsidR="001B5388">
              <w:rPr>
                <w:sz w:val="20"/>
                <w:szCs w:val="20"/>
                <w:lang w:val="en-AU"/>
              </w:rPr>
              <w:t>were limited up to the year 2007.</w:t>
            </w:r>
          </w:p>
        </w:tc>
      </w:tr>
      <w:tr w:rsidR="007F1806" w:rsidRPr="005162C4" w:rsidTr="00790BC1">
        <w:trPr>
          <w:jc w:val="center"/>
        </w:trPr>
        <w:tc>
          <w:tcPr>
            <w:tcW w:w="1000" w:type="pct"/>
            <w:tcBorders>
              <w:left w:val="single" w:sz="12" w:space="0" w:color="auto"/>
            </w:tcBorders>
            <w:shd w:val="clear" w:color="auto" w:fill="BFBFBF" w:themeFill="background1" w:themeFillShade="BF"/>
            <w:vAlign w:val="center"/>
          </w:tcPr>
          <w:p w:rsidR="007F1806" w:rsidRPr="005162C4" w:rsidRDefault="007F1806" w:rsidP="005162C4">
            <w:pPr>
              <w:spacing w:after="0"/>
              <w:jc w:val="center"/>
              <w:rPr>
                <w:sz w:val="20"/>
                <w:szCs w:val="20"/>
                <w:lang w:val="en-AU"/>
              </w:rPr>
            </w:pPr>
            <w:r w:rsidRPr="005162C4">
              <w:rPr>
                <w:sz w:val="20"/>
                <w:szCs w:val="20"/>
                <w:lang w:val="en-AU"/>
              </w:rPr>
              <w:t>Observations</w:t>
            </w:r>
          </w:p>
        </w:tc>
        <w:tc>
          <w:tcPr>
            <w:tcW w:w="7216" w:type="dxa"/>
            <w:gridSpan w:val="3"/>
            <w:tcBorders>
              <w:right w:val="single" w:sz="12" w:space="0" w:color="auto"/>
            </w:tcBorders>
            <w:vAlign w:val="center"/>
          </w:tcPr>
          <w:p w:rsidR="00404DEF" w:rsidRPr="005162C4" w:rsidRDefault="00404DEF" w:rsidP="005162C4">
            <w:pPr>
              <w:pStyle w:val="ListParagraph"/>
              <w:numPr>
                <w:ilvl w:val="0"/>
                <w:numId w:val="12"/>
              </w:numPr>
              <w:spacing w:after="60" w:line="240" w:lineRule="auto"/>
              <w:ind w:left="284" w:hanging="284"/>
              <w:contextualSpacing w:val="0"/>
              <w:jc w:val="both"/>
              <w:rPr>
                <w:sz w:val="20"/>
                <w:szCs w:val="20"/>
                <w:lang w:val="en-AU"/>
              </w:rPr>
            </w:pPr>
            <w:r w:rsidRPr="005162C4">
              <w:rPr>
                <w:sz w:val="20"/>
                <w:szCs w:val="20"/>
                <w:lang w:val="en-AU"/>
              </w:rPr>
              <w:t xml:space="preserve">Budget data for 2006 </w:t>
            </w:r>
            <w:r w:rsidR="00822048" w:rsidRPr="005162C4">
              <w:rPr>
                <w:sz w:val="20"/>
                <w:szCs w:val="20"/>
                <w:lang w:val="en-AU"/>
              </w:rPr>
              <w:t xml:space="preserve">are </w:t>
            </w:r>
            <w:r w:rsidRPr="005162C4">
              <w:rPr>
                <w:sz w:val="20"/>
                <w:szCs w:val="20"/>
                <w:lang w:val="en-AU"/>
              </w:rPr>
              <w:t xml:space="preserve">from the ‘final revised budget’ documents and reflect the final allocation. Revised budget data for 2007 </w:t>
            </w:r>
            <w:r w:rsidR="00822048" w:rsidRPr="005162C4">
              <w:rPr>
                <w:sz w:val="20"/>
                <w:szCs w:val="20"/>
                <w:lang w:val="en-AU"/>
              </w:rPr>
              <w:t xml:space="preserve">were </w:t>
            </w:r>
            <w:r w:rsidRPr="005162C4">
              <w:rPr>
                <w:sz w:val="20"/>
                <w:szCs w:val="20"/>
                <w:lang w:val="en-AU"/>
              </w:rPr>
              <w:t xml:space="preserve">not available. Data collected </w:t>
            </w:r>
            <w:r w:rsidR="00822048" w:rsidRPr="005162C4">
              <w:rPr>
                <w:sz w:val="20"/>
                <w:szCs w:val="20"/>
                <w:lang w:val="en-AU"/>
              </w:rPr>
              <w:t xml:space="preserve">are </w:t>
            </w:r>
            <w:r w:rsidRPr="005162C4">
              <w:rPr>
                <w:sz w:val="20"/>
                <w:szCs w:val="20"/>
                <w:lang w:val="en-AU"/>
              </w:rPr>
              <w:t xml:space="preserve">from the ‘planned budget’ documents which reflect a bid by the district education office for funds. This budget may then be revised downwards in the ‘revised final budget’. The 2007 financial data </w:t>
            </w:r>
            <w:r w:rsidR="00822048" w:rsidRPr="005162C4">
              <w:rPr>
                <w:sz w:val="20"/>
                <w:szCs w:val="20"/>
                <w:lang w:val="en-AU"/>
              </w:rPr>
              <w:t xml:space="preserve">are </w:t>
            </w:r>
            <w:r w:rsidRPr="005162C4">
              <w:rPr>
                <w:sz w:val="20"/>
                <w:szCs w:val="20"/>
                <w:lang w:val="en-AU"/>
              </w:rPr>
              <w:t xml:space="preserve">therefore not from identical planning documents and may be responsible for an upwards shift in percentage of budget realized as actual expenditure. </w:t>
            </w:r>
          </w:p>
          <w:p w:rsidR="007F1806" w:rsidRPr="005162C4" w:rsidRDefault="00404DEF" w:rsidP="005162C4">
            <w:pPr>
              <w:pStyle w:val="ListParagraph"/>
              <w:numPr>
                <w:ilvl w:val="0"/>
                <w:numId w:val="12"/>
              </w:numPr>
              <w:spacing w:after="60" w:line="240" w:lineRule="auto"/>
              <w:ind w:left="284" w:hanging="284"/>
              <w:contextualSpacing w:val="0"/>
              <w:jc w:val="both"/>
              <w:rPr>
                <w:sz w:val="20"/>
                <w:szCs w:val="20"/>
                <w:lang w:val="en-AU"/>
              </w:rPr>
            </w:pPr>
            <w:r w:rsidRPr="005162C4">
              <w:rPr>
                <w:sz w:val="20"/>
                <w:szCs w:val="20"/>
                <w:lang w:val="en-AU"/>
              </w:rPr>
              <w:t xml:space="preserve">Data for 2008 and 2009 </w:t>
            </w:r>
            <w:r w:rsidR="00822048" w:rsidRPr="005162C4">
              <w:rPr>
                <w:sz w:val="20"/>
                <w:szCs w:val="20"/>
                <w:lang w:val="en-AU"/>
              </w:rPr>
              <w:t xml:space="preserve">have </w:t>
            </w:r>
            <w:r w:rsidRPr="005162C4">
              <w:rPr>
                <w:sz w:val="20"/>
                <w:szCs w:val="20"/>
                <w:lang w:val="en-AU"/>
              </w:rPr>
              <w:t xml:space="preserve">been collected but </w:t>
            </w:r>
            <w:r w:rsidR="00822048" w:rsidRPr="005162C4">
              <w:rPr>
                <w:sz w:val="20"/>
                <w:szCs w:val="20"/>
                <w:lang w:val="en-AU"/>
              </w:rPr>
              <w:t xml:space="preserve">are </w:t>
            </w:r>
            <w:r w:rsidRPr="005162C4">
              <w:rPr>
                <w:sz w:val="20"/>
                <w:szCs w:val="20"/>
                <w:lang w:val="en-AU"/>
              </w:rPr>
              <w:t xml:space="preserve">not robust to update this analysis from </w:t>
            </w:r>
            <w:r w:rsidR="00822048" w:rsidRPr="005162C4">
              <w:rPr>
                <w:sz w:val="20"/>
                <w:szCs w:val="20"/>
                <w:lang w:val="en-AU"/>
              </w:rPr>
              <w:t xml:space="preserve">the previous </w:t>
            </w:r>
            <w:r w:rsidRPr="005162C4">
              <w:rPr>
                <w:sz w:val="20"/>
                <w:szCs w:val="20"/>
                <w:lang w:val="en-AU"/>
              </w:rPr>
              <w:t>report.</w:t>
            </w:r>
          </w:p>
          <w:p w:rsidR="005162C4" w:rsidRDefault="00404DEF" w:rsidP="005162C4">
            <w:pPr>
              <w:pStyle w:val="ListParagraph"/>
              <w:numPr>
                <w:ilvl w:val="0"/>
                <w:numId w:val="12"/>
              </w:numPr>
              <w:spacing w:after="60" w:line="240" w:lineRule="auto"/>
              <w:ind w:left="284" w:hanging="284"/>
              <w:contextualSpacing w:val="0"/>
              <w:jc w:val="both"/>
              <w:rPr>
                <w:sz w:val="20"/>
                <w:szCs w:val="20"/>
                <w:lang w:val="en-AU"/>
              </w:rPr>
            </w:pPr>
            <w:r w:rsidRPr="005162C4">
              <w:rPr>
                <w:sz w:val="20"/>
                <w:szCs w:val="20"/>
                <w:lang w:val="en-AU"/>
              </w:rPr>
              <w:t>Districts in 2007 managed to spend nearly 100% of their planned budget. This was a significant improvement on 2006 where only 91% of funds were spent nationally.</w:t>
            </w:r>
          </w:p>
          <w:p w:rsidR="00822048" w:rsidRPr="005162C4" w:rsidRDefault="00822048" w:rsidP="009B6D6D">
            <w:pPr>
              <w:pStyle w:val="ListParagraph"/>
              <w:numPr>
                <w:ilvl w:val="0"/>
                <w:numId w:val="12"/>
              </w:numPr>
              <w:spacing w:after="60" w:line="240" w:lineRule="auto"/>
              <w:ind w:left="284" w:hanging="284"/>
              <w:contextualSpacing w:val="0"/>
              <w:jc w:val="both"/>
              <w:rPr>
                <w:sz w:val="20"/>
                <w:szCs w:val="20"/>
                <w:lang w:val="en-AU"/>
              </w:rPr>
            </w:pPr>
            <w:r w:rsidRPr="005162C4">
              <w:rPr>
                <w:sz w:val="20"/>
                <w:szCs w:val="20"/>
                <w:lang w:val="en-AU"/>
              </w:rPr>
              <w:t>Poverty quintile analysis shows that the top two poverty quintile districts on average overspent their planned education budget in 2007. The lowest average rate of realisation was with the poorest quintile districts that only spe</w:t>
            </w:r>
            <w:r w:rsidR="009B6D6D">
              <w:rPr>
                <w:sz w:val="20"/>
                <w:szCs w:val="20"/>
                <w:lang w:val="en-AU"/>
              </w:rPr>
              <w:t>nt 91% of their planned budget</w:t>
            </w:r>
            <w:r w:rsidRPr="005162C4">
              <w:rPr>
                <w:sz w:val="20"/>
                <w:szCs w:val="20"/>
                <w:lang w:val="en-AU"/>
              </w:rPr>
              <w:t xml:space="preserve">. </w:t>
            </w:r>
          </w:p>
        </w:tc>
      </w:tr>
      <w:tr w:rsidR="007F1806" w:rsidRPr="005162C4" w:rsidTr="00790BC1">
        <w:trPr>
          <w:jc w:val="center"/>
        </w:trPr>
        <w:tc>
          <w:tcPr>
            <w:tcW w:w="1000" w:type="pct"/>
            <w:tcBorders>
              <w:left w:val="single" w:sz="12" w:space="0" w:color="auto"/>
            </w:tcBorders>
            <w:shd w:val="clear" w:color="auto" w:fill="BFBFBF" w:themeFill="background1" w:themeFillShade="BF"/>
            <w:vAlign w:val="center"/>
          </w:tcPr>
          <w:p w:rsidR="007F1806" w:rsidRPr="005162C4" w:rsidRDefault="007F1806" w:rsidP="005162C4">
            <w:pPr>
              <w:spacing w:after="0"/>
              <w:jc w:val="center"/>
              <w:rPr>
                <w:sz w:val="20"/>
                <w:szCs w:val="20"/>
                <w:lang w:val="en-AU"/>
              </w:rPr>
            </w:pPr>
            <w:r w:rsidRPr="005162C4">
              <w:rPr>
                <w:sz w:val="20"/>
                <w:szCs w:val="20"/>
                <w:lang w:val="en-AU"/>
              </w:rPr>
              <w:t>Observations about EP districts</w:t>
            </w:r>
          </w:p>
        </w:tc>
        <w:tc>
          <w:tcPr>
            <w:tcW w:w="7216" w:type="dxa"/>
            <w:gridSpan w:val="3"/>
            <w:tcBorders>
              <w:right w:val="single" w:sz="12" w:space="0" w:color="auto"/>
            </w:tcBorders>
            <w:vAlign w:val="center"/>
          </w:tcPr>
          <w:p w:rsidR="007F1806" w:rsidRPr="005162C4" w:rsidRDefault="00404DEF" w:rsidP="005162C4">
            <w:pPr>
              <w:pStyle w:val="ListParagraph"/>
              <w:numPr>
                <w:ilvl w:val="0"/>
                <w:numId w:val="12"/>
              </w:numPr>
              <w:spacing w:after="60" w:line="240" w:lineRule="auto"/>
              <w:ind w:left="284" w:hanging="284"/>
              <w:contextualSpacing w:val="0"/>
              <w:jc w:val="both"/>
              <w:rPr>
                <w:sz w:val="20"/>
                <w:szCs w:val="20"/>
                <w:lang w:val="en-AU"/>
              </w:rPr>
            </w:pPr>
            <w:r w:rsidRPr="005162C4">
              <w:rPr>
                <w:sz w:val="20"/>
                <w:szCs w:val="20"/>
                <w:lang w:val="en-AU"/>
              </w:rPr>
              <w:t xml:space="preserve">In 2007 EP districts were </w:t>
            </w:r>
            <w:r w:rsidR="00822048" w:rsidRPr="005162C4">
              <w:rPr>
                <w:sz w:val="20"/>
                <w:szCs w:val="20"/>
                <w:lang w:val="en-AU"/>
              </w:rPr>
              <w:t>largely</w:t>
            </w:r>
            <w:r w:rsidRPr="005162C4">
              <w:rPr>
                <w:sz w:val="20"/>
                <w:szCs w:val="20"/>
                <w:lang w:val="en-AU"/>
              </w:rPr>
              <w:t xml:space="preserve"> spending around the national average of 100% of budget funds, with the exception of Component 2 districts which were spending 90%.</w:t>
            </w:r>
          </w:p>
        </w:tc>
      </w:tr>
      <w:tr w:rsidR="007F1806" w:rsidRPr="005162C4" w:rsidTr="00790BC1">
        <w:trPr>
          <w:jc w:val="center"/>
        </w:trPr>
        <w:tc>
          <w:tcPr>
            <w:tcW w:w="1000" w:type="pct"/>
            <w:tcBorders>
              <w:left w:val="single" w:sz="12" w:space="0" w:color="auto"/>
            </w:tcBorders>
            <w:shd w:val="clear" w:color="auto" w:fill="BFBFBF" w:themeFill="background1" w:themeFillShade="BF"/>
            <w:vAlign w:val="center"/>
          </w:tcPr>
          <w:p w:rsidR="007F1806" w:rsidRPr="005162C4" w:rsidRDefault="007F1806" w:rsidP="005162C4">
            <w:pPr>
              <w:spacing w:after="0"/>
              <w:jc w:val="center"/>
              <w:rPr>
                <w:sz w:val="20"/>
                <w:szCs w:val="20"/>
                <w:lang w:val="en-AU"/>
              </w:rPr>
            </w:pPr>
            <w:r w:rsidRPr="005162C4">
              <w:rPr>
                <w:sz w:val="20"/>
                <w:szCs w:val="20"/>
                <w:lang w:val="en-AU"/>
              </w:rPr>
              <w:t>Observations about AIBEP districts</w:t>
            </w:r>
          </w:p>
        </w:tc>
        <w:tc>
          <w:tcPr>
            <w:tcW w:w="7216" w:type="dxa"/>
            <w:gridSpan w:val="3"/>
            <w:tcBorders>
              <w:right w:val="single" w:sz="12" w:space="0" w:color="auto"/>
            </w:tcBorders>
            <w:vAlign w:val="center"/>
          </w:tcPr>
          <w:p w:rsidR="007F1806" w:rsidRPr="005162C4" w:rsidRDefault="00237685" w:rsidP="005162C4">
            <w:pPr>
              <w:pStyle w:val="ListParagraph"/>
              <w:numPr>
                <w:ilvl w:val="0"/>
                <w:numId w:val="12"/>
              </w:numPr>
              <w:spacing w:after="60" w:line="240" w:lineRule="auto"/>
              <w:ind w:left="284" w:hanging="284"/>
              <w:contextualSpacing w:val="0"/>
              <w:jc w:val="both"/>
              <w:rPr>
                <w:sz w:val="20"/>
                <w:szCs w:val="20"/>
                <w:lang w:val="en-AU"/>
              </w:rPr>
            </w:pPr>
            <w:r w:rsidRPr="005162C4">
              <w:rPr>
                <w:sz w:val="20"/>
                <w:szCs w:val="20"/>
                <w:lang w:val="en-AU"/>
              </w:rPr>
              <w:t>The average BEP district increased its actual expenditure to 100% of budgeted allocati</w:t>
            </w:r>
            <w:r w:rsidR="007168AC" w:rsidRPr="005162C4">
              <w:rPr>
                <w:sz w:val="20"/>
                <w:szCs w:val="20"/>
                <w:lang w:val="en-AU"/>
              </w:rPr>
              <w:t xml:space="preserve">ons in 2007. This was up from </w:t>
            </w:r>
            <w:r w:rsidRPr="005162C4">
              <w:rPr>
                <w:sz w:val="20"/>
                <w:szCs w:val="20"/>
                <w:lang w:val="en-AU"/>
              </w:rPr>
              <w:t>92</w:t>
            </w:r>
            <w:r w:rsidR="007168AC" w:rsidRPr="005162C4">
              <w:rPr>
                <w:sz w:val="20"/>
                <w:szCs w:val="20"/>
                <w:lang w:val="en-AU"/>
              </w:rPr>
              <w:t>% expenditure</w:t>
            </w:r>
            <w:r w:rsidRPr="005162C4">
              <w:rPr>
                <w:sz w:val="20"/>
                <w:szCs w:val="20"/>
                <w:lang w:val="en-AU"/>
              </w:rPr>
              <w:t xml:space="preserve"> in 2006.</w:t>
            </w:r>
          </w:p>
        </w:tc>
      </w:tr>
      <w:tr w:rsidR="007F1806" w:rsidRPr="005162C4" w:rsidTr="00790BC1">
        <w:trPr>
          <w:jc w:val="center"/>
        </w:trPr>
        <w:tc>
          <w:tcPr>
            <w:tcW w:w="9019" w:type="dxa"/>
            <w:gridSpan w:val="4"/>
            <w:tcBorders>
              <w:left w:val="single" w:sz="12" w:space="0" w:color="auto"/>
              <w:bottom w:val="single" w:sz="4" w:space="0" w:color="auto"/>
              <w:right w:val="single" w:sz="12" w:space="0" w:color="auto"/>
            </w:tcBorders>
            <w:shd w:val="clear" w:color="auto" w:fill="4BACC6" w:themeFill="accent5"/>
            <w:vAlign w:val="center"/>
          </w:tcPr>
          <w:p w:rsidR="007F1806" w:rsidRPr="005162C4" w:rsidRDefault="005162C4" w:rsidP="005162C4">
            <w:pPr>
              <w:spacing w:after="0"/>
              <w:jc w:val="center"/>
              <w:rPr>
                <w:rFonts w:asciiTheme="minorHAnsi" w:hAnsiTheme="minorHAnsi" w:cstheme="minorHAnsi"/>
                <w:b/>
                <w:color w:val="FFFFFF" w:themeColor="background1"/>
                <w:sz w:val="20"/>
                <w:szCs w:val="20"/>
                <w:lang w:val="en-US"/>
              </w:rPr>
            </w:pPr>
            <w:r w:rsidRPr="005162C4">
              <w:rPr>
                <w:rFonts w:asciiTheme="minorHAnsi" w:hAnsiTheme="minorHAnsi" w:cstheme="minorHAnsi"/>
                <w:b/>
                <w:sz w:val="20"/>
                <w:szCs w:val="20"/>
                <w:lang w:val="en-US"/>
              </w:rPr>
              <w:lastRenderedPageBreak/>
              <w:t>IMPLICATIONS AND MATTERS ARISING</w:t>
            </w:r>
          </w:p>
        </w:tc>
      </w:tr>
      <w:tr w:rsidR="007F1806" w:rsidRPr="005162C4" w:rsidTr="00790BC1">
        <w:trPr>
          <w:jc w:val="center"/>
        </w:trPr>
        <w:tc>
          <w:tcPr>
            <w:tcW w:w="1000" w:type="pct"/>
            <w:tcBorders>
              <w:left w:val="single" w:sz="12" w:space="0" w:color="auto"/>
            </w:tcBorders>
            <w:shd w:val="clear" w:color="auto" w:fill="BFBFBF" w:themeFill="background1" w:themeFillShade="BF"/>
            <w:vAlign w:val="center"/>
          </w:tcPr>
          <w:p w:rsidR="007F1806" w:rsidRPr="005162C4" w:rsidRDefault="007F1806" w:rsidP="005162C4">
            <w:pPr>
              <w:spacing w:after="0"/>
              <w:jc w:val="center"/>
              <w:rPr>
                <w:sz w:val="20"/>
                <w:szCs w:val="20"/>
                <w:lang w:val="en-AU"/>
              </w:rPr>
            </w:pPr>
            <w:r w:rsidRPr="005162C4">
              <w:rPr>
                <w:sz w:val="20"/>
                <w:szCs w:val="20"/>
                <w:lang w:val="en-AU"/>
              </w:rPr>
              <w:t>For the performance of the education sector</w:t>
            </w:r>
          </w:p>
        </w:tc>
        <w:tc>
          <w:tcPr>
            <w:tcW w:w="7216" w:type="dxa"/>
            <w:gridSpan w:val="3"/>
            <w:tcBorders>
              <w:right w:val="single" w:sz="12" w:space="0" w:color="auto"/>
            </w:tcBorders>
            <w:vAlign w:val="center"/>
          </w:tcPr>
          <w:p w:rsidR="007F1806" w:rsidRPr="005162C4" w:rsidRDefault="00237685" w:rsidP="005162C4">
            <w:pPr>
              <w:pStyle w:val="ListParagraph"/>
              <w:numPr>
                <w:ilvl w:val="0"/>
                <w:numId w:val="12"/>
              </w:numPr>
              <w:spacing w:after="60" w:line="240" w:lineRule="auto"/>
              <w:ind w:left="284" w:hanging="284"/>
              <w:contextualSpacing w:val="0"/>
              <w:jc w:val="both"/>
              <w:rPr>
                <w:sz w:val="20"/>
                <w:szCs w:val="20"/>
                <w:lang w:val="en-AU"/>
              </w:rPr>
            </w:pPr>
            <w:r w:rsidRPr="005162C4">
              <w:rPr>
                <w:sz w:val="20"/>
                <w:szCs w:val="20"/>
                <w:lang w:val="en-AU"/>
              </w:rPr>
              <w:t xml:space="preserve">More recent actual expenditure data </w:t>
            </w:r>
            <w:r w:rsidR="00822048" w:rsidRPr="005162C4">
              <w:rPr>
                <w:sz w:val="20"/>
                <w:szCs w:val="20"/>
                <w:lang w:val="en-AU"/>
              </w:rPr>
              <w:t xml:space="preserve">are </w:t>
            </w:r>
            <w:r w:rsidRPr="005162C4">
              <w:rPr>
                <w:sz w:val="20"/>
                <w:szCs w:val="20"/>
                <w:lang w:val="en-AU"/>
              </w:rPr>
              <w:t>required to make any comment on implications for the education sector</w:t>
            </w:r>
          </w:p>
        </w:tc>
      </w:tr>
      <w:tr w:rsidR="007F1806" w:rsidRPr="005162C4" w:rsidTr="00790BC1">
        <w:trPr>
          <w:jc w:val="center"/>
        </w:trPr>
        <w:tc>
          <w:tcPr>
            <w:tcW w:w="1000" w:type="pct"/>
            <w:tcBorders>
              <w:left w:val="single" w:sz="12" w:space="0" w:color="auto"/>
              <w:bottom w:val="single" w:sz="12" w:space="0" w:color="auto"/>
            </w:tcBorders>
            <w:shd w:val="clear" w:color="auto" w:fill="BFBFBF" w:themeFill="background1" w:themeFillShade="BF"/>
            <w:vAlign w:val="center"/>
          </w:tcPr>
          <w:p w:rsidR="007F1806" w:rsidRPr="005162C4" w:rsidRDefault="007F1806" w:rsidP="005162C4">
            <w:pPr>
              <w:spacing w:after="0"/>
              <w:jc w:val="center"/>
              <w:rPr>
                <w:sz w:val="20"/>
                <w:szCs w:val="20"/>
                <w:lang w:val="en-AU"/>
              </w:rPr>
            </w:pPr>
            <w:r w:rsidRPr="005162C4">
              <w:rPr>
                <w:sz w:val="20"/>
                <w:szCs w:val="20"/>
                <w:lang w:val="en-AU"/>
              </w:rPr>
              <w:t>For the performance of the Education Partnership</w:t>
            </w:r>
          </w:p>
        </w:tc>
        <w:tc>
          <w:tcPr>
            <w:tcW w:w="7216" w:type="dxa"/>
            <w:gridSpan w:val="3"/>
            <w:tcBorders>
              <w:bottom w:val="single" w:sz="12" w:space="0" w:color="auto"/>
              <w:right w:val="single" w:sz="12" w:space="0" w:color="auto"/>
            </w:tcBorders>
            <w:vAlign w:val="center"/>
          </w:tcPr>
          <w:p w:rsidR="007F1806" w:rsidRPr="005162C4" w:rsidRDefault="00237685" w:rsidP="005162C4">
            <w:pPr>
              <w:pStyle w:val="ListParagraph"/>
              <w:numPr>
                <w:ilvl w:val="0"/>
                <w:numId w:val="12"/>
              </w:numPr>
              <w:spacing w:after="60" w:line="240" w:lineRule="auto"/>
              <w:ind w:left="284" w:hanging="284"/>
              <w:contextualSpacing w:val="0"/>
              <w:jc w:val="both"/>
              <w:rPr>
                <w:sz w:val="20"/>
                <w:szCs w:val="20"/>
                <w:lang w:val="en-AU"/>
              </w:rPr>
            </w:pPr>
            <w:r w:rsidRPr="005162C4">
              <w:rPr>
                <w:sz w:val="20"/>
                <w:szCs w:val="20"/>
                <w:lang w:val="en-AU"/>
              </w:rPr>
              <w:t xml:space="preserve">More recent actual expenditure data </w:t>
            </w:r>
            <w:r w:rsidR="00822048" w:rsidRPr="005162C4">
              <w:rPr>
                <w:sz w:val="20"/>
                <w:szCs w:val="20"/>
                <w:lang w:val="en-AU"/>
              </w:rPr>
              <w:t xml:space="preserve">are </w:t>
            </w:r>
            <w:r w:rsidRPr="005162C4">
              <w:rPr>
                <w:sz w:val="20"/>
                <w:szCs w:val="20"/>
                <w:lang w:val="en-AU"/>
              </w:rPr>
              <w:t>required to make any comment on implications for the Education Partnership</w:t>
            </w:r>
          </w:p>
        </w:tc>
      </w:tr>
    </w:tbl>
    <w:p w:rsidR="006A4E0A" w:rsidRDefault="006A4E0A" w:rsidP="006A4E0A"/>
    <w:p w:rsidR="006A4E0A" w:rsidRDefault="00962BFF" w:rsidP="001A3FC6">
      <w:pPr>
        <w:pStyle w:val="Caption"/>
      </w:pPr>
      <w:bookmarkStart w:id="115" w:name="_Toc374182088"/>
      <w:bookmarkStart w:id="116" w:name="_Toc381604828"/>
      <w:r>
        <w:t>Figure 44</w:t>
      </w:r>
      <w:r w:rsidR="001A3FC6">
        <w:t xml:space="preserve">: </w:t>
      </w:r>
      <w:r w:rsidR="006A4E0A" w:rsidRPr="007A0542">
        <w:t>Realised Education Expenditu</w:t>
      </w:r>
      <w:r w:rsidR="006A4E0A">
        <w:t>re as % o</w:t>
      </w:r>
      <w:r w:rsidR="00F15066">
        <w:t>f Planned Expenditure 2006-09</w:t>
      </w:r>
      <w:r w:rsidR="0036323E">
        <w:t>, EP and Non-</w:t>
      </w:r>
      <w:r w:rsidR="006A4E0A">
        <w:t>EP districts</w:t>
      </w:r>
      <w:bookmarkEnd w:id="115"/>
      <w:bookmarkEnd w:id="116"/>
    </w:p>
    <w:p w:rsidR="006A4E0A" w:rsidRDefault="00404DEF" w:rsidP="005162C4">
      <w:pPr>
        <w:spacing w:after="360"/>
        <w:jc w:val="center"/>
        <w:rPr>
          <w:b/>
          <w:i/>
          <w:noProof/>
          <w:lang w:val="en-AU" w:eastAsia="en-AU"/>
        </w:rPr>
      </w:pPr>
      <w:r>
        <w:rPr>
          <w:b/>
          <w:i/>
          <w:noProof/>
          <w:lang w:val="en-AU" w:eastAsia="en-AU"/>
        </w:rPr>
        <w:drawing>
          <wp:inline distT="0" distB="0" distL="0" distR="0" wp14:anchorId="3DAB2332" wp14:editId="6971FD3E">
            <wp:extent cx="5734050" cy="2828925"/>
            <wp:effectExtent l="19050" t="19050" r="19050" b="285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33415" cy="2828612"/>
                    </a:xfrm>
                    <a:prstGeom prst="rect">
                      <a:avLst/>
                    </a:prstGeom>
                    <a:noFill/>
                    <a:ln>
                      <a:solidFill>
                        <a:schemeClr val="accent1"/>
                      </a:solidFill>
                    </a:ln>
                  </pic:spPr>
                </pic:pic>
              </a:graphicData>
            </a:graphic>
          </wp:inline>
        </w:drawing>
      </w:r>
    </w:p>
    <w:p w:rsidR="0036323E" w:rsidRDefault="0036323E" w:rsidP="006A4E0A"/>
    <w:p w:rsidR="006A4E0A" w:rsidRDefault="001A3FC6" w:rsidP="001A3FC6">
      <w:pPr>
        <w:pStyle w:val="Caption"/>
      </w:pPr>
      <w:bookmarkStart w:id="117" w:name="_Toc374182089"/>
      <w:bookmarkStart w:id="118" w:name="_Toc381604829"/>
      <w:r>
        <w:lastRenderedPageBreak/>
        <w:t>Figure 4</w:t>
      </w:r>
      <w:r w:rsidR="00962BFF">
        <w:t>5</w:t>
      </w:r>
      <w:r>
        <w:t xml:space="preserve">: </w:t>
      </w:r>
      <w:r w:rsidR="006A4E0A" w:rsidRPr="007A0542">
        <w:t>Realised Education Expenditu</w:t>
      </w:r>
      <w:r w:rsidR="006A4E0A">
        <w:t xml:space="preserve">re as % of Planned Expenditure 2006 </w:t>
      </w:r>
      <w:r w:rsidR="003D74D9">
        <w:t>- 2009</w:t>
      </w:r>
      <w:r w:rsidR="006A4E0A">
        <w:t>, by Poverty Quintile</w:t>
      </w:r>
      <w:bookmarkEnd w:id="117"/>
      <w:bookmarkEnd w:id="118"/>
      <w:r w:rsidR="006A4E0A">
        <w:t xml:space="preserve"> </w:t>
      </w:r>
    </w:p>
    <w:p w:rsidR="006A4E0A" w:rsidRDefault="00404DEF" w:rsidP="005162C4">
      <w:pPr>
        <w:spacing w:after="360"/>
        <w:jc w:val="center"/>
      </w:pPr>
      <w:r>
        <w:rPr>
          <w:noProof/>
          <w:lang w:val="en-AU" w:eastAsia="en-AU"/>
        </w:rPr>
        <w:drawing>
          <wp:inline distT="0" distB="0" distL="0" distR="0" wp14:anchorId="550D29AF" wp14:editId="75050992">
            <wp:extent cx="5734050" cy="2476500"/>
            <wp:effectExtent l="19050" t="19050" r="19050"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33415" cy="2476226"/>
                    </a:xfrm>
                    <a:prstGeom prst="rect">
                      <a:avLst/>
                    </a:prstGeom>
                    <a:noFill/>
                    <a:ln>
                      <a:solidFill>
                        <a:schemeClr val="accent1"/>
                      </a:solidFill>
                    </a:ln>
                  </pic:spPr>
                </pic:pic>
              </a:graphicData>
            </a:graphic>
          </wp:inline>
        </w:drawing>
      </w:r>
    </w:p>
    <w:p w:rsidR="006A4E0A" w:rsidRDefault="006A4E0A" w:rsidP="001419DA">
      <w:pPr>
        <w:spacing w:line="276" w:lineRule="auto"/>
        <w:jc w:val="both"/>
      </w:pPr>
      <w:r w:rsidRPr="00FA7E38">
        <w:rPr>
          <w:b/>
          <w:i/>
        </w:rPr>
        <w:t>Policy Implications</w:t>
      </w:r>
      <w:r>
        <w:rPr>
          <w:b/>
          <w:i/>
        </w:rPr>
        <w:t xml:space="preserve">: </w:t>
      </w:r>
      <w:r w:rsidRPr="002334F0">
        <w:t xml:space="preserve">Too many districts </w:t>
      </w:r>
      <w:r>
        <w:t xml:space="preserve">may be </w:t>
      </w:r>
      <w:r w:rsidRPr="002334F0">
        <w:t>failing</w:t>
      </w:r>
      <w:r>
        <w:t xml:space="preserve"> to expend their allocated annual education budgets. The difficulty of the poorest districts in expending their budgets is of a particular concern given the access and quality problems in these districts. The quantum of funds may not be the greatest problem facing some districts, and/or there may be other problems related to disbursement restrictions and reporting or planning requirements.</w:t>
      </w:r>
    </w:p>
    <w:p w:rsidR="00237685" w:rsidRDefault="00237685" w:rsidP="001419DA">
      <w:pPr>
        <w:spacing w:line="276" w:lineRule="auto"/>
        <w:jc w:val="both"/>
      </w:pPr>
      <w:r>
        <w:t>However, more recent data is required to confirm that these findings still apply or if there have been any significant changes.</w:t>
      </w:r>
    </w:p>
    <w:p w:rsidR="00962BFF" w:rsidRDefault="00962BFF">
      <w:pPr>
        <w:spacing w:after="0"/>
        <w:rPr>
          <w:rFonts w:asciiTheme="minorHAnsi" w:hAnsiTheme="minorHAnsi" w:cstheme="minorHAnsi"/>
          <w:b/>
          <w:bCs/>
          <w:i/>
          <w:iCs/>
          <w:color w:val="003880"/>
          <w:sz w:val="24"/>
          <w:szCs w:val="28"/>
        </w:rPr>
      </w:pPr>
      <w:r>
        <w:br w:type="page"/>
      </w:r>
    </w:p>
    <w:p w:rsidR="006A4E0A" w:rsidRDefault="006A4E0A" w:rsidP="00DB55DD">
      <w:pPr>
        <w:pStyle w:val="Heading3"/>
      </w:pPr>
      <w:r>
        <w:lastRenderedPageBreak/>
        <w:t xml:space="preserve">SPI: Discretionary </w:t>
      </w:r>
      <w:r w:rsidRPr="004F53DB">
        <w:t xml:space="preserve">School Expenditure </w:t>
      </w:r>
      <w:r>
        <w:t>as Percentage</w:t>
      </w:r>
      <w:r w:rsidRPr="004F53DB">
        <w:t xml:space="preserve"> </w:t>
      </w:r>
      <w:r>
        <w:t>o</w:t>
      </w:r>
      <w:r w:rsidRPr="004F53DB">
        <w:t>f Total Education Expenditure</w:t>
      </w:r>
    </w:p>
    <w:p w:rsidR="006A4E0A" w:rsidRDefault="001A3FC6" w:rsidP="001A3FC6">
      <w:pPr>
        <w:pStyle w:val="Caption"/>
      </w:pPr>
      <w:bookmarkStart w:id="119" w:name="_Toc374182091"/>
      <w:bookmarkStart w:id="120" w:name="_Toc381604830"/>
      <w:r>
        <w:t>Figure 4</w:t>
      </w:r>
      <w:r w:rsidR="00962BFF">
        <w:t>6</w:t>
      </w:r>
      <w:r>
        <w:t xml:space="preserve">: </w:t>
      </w:r>
      <w:r w:rsidR="006A4E0A" w:rsidRPr="00D33073">
        <w:t>BOS Grants as % of</w:t>
      </w:r>
      <w:r w:rsidR="006A4E0A">
        <w:t xml:space="preserve"> Education &amp; Culture Budget 2006-2010 (public schools only)</w:t>
      </w:r>
      <w:bookmarkEnd w:id="119"/>
      <w:bookmarkEnd w:id="120"/>
    </w:p>
    <w:p w:rsidR="006A4E0A" w:rsidRDefault="006A4E0A" w:rsidP="005162C4">
      <w:pPr>
        <w:spacing w:after="360"/>
        <w:jc w:val="center"/>
      </w:pPr>
      <w:r>
        <w:rPr>
          <w:noProof/>
          <w:lang w:val="en-AU" w:eastAsia="en-AU"/>
        </w:rPr>
        <w:drawing>
          <wp:inline distT="0" distB="0" distL="0" distR="0" wp14:anchorId="5D4D0E90" wp14:editId="70349322">
            <wp:extent cx="5566410" cy="282275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66410" cy="2822756"/>
                    </a:xfrm>
                    <a:prstGeom prst="rect">
                      <a:avLst/>
                    </a:prstGeom>
                    <a:noFill/>
                    <a:ln>
                      <a:noFill/>
                    </a:ln>
                  </pic:spPr>
                </pic:pic>
              </a:graphicData>
            </a:graphic>
          </wp:inline>
        </w:drawing>
      </w:r>
    </w:p>
    <w:p w:rsidR="007F1806" w:rsidRDefault="007F1806" w:rsidP="006A4E0A">
      <w:pPr>
        <w:rPr>
          <w:sz w:val="16"/>
          <w:szCs w:val="16"/>
          <w:highlight w:val="yellow"/>
        </w:rPr>
      </w:pPr>
    </w:p>
    <w:tbl>
      <w:tblPr>
        <w:tblStyle w:val="TableGrid3"/>
        <w:tblW w:w="5000" w:type="pct"/>
        <w:jc w:val="center"/>
        <w:tblLayout w:type="fixed"/>
        <w:tblCellMar>
          <w:top w:w="28" w:type="dxa"/>
          <w:bottom w:w="28" w:type="dxa"/>
        </w:tblCellMar>
        <w:tblLook w:val="04A0" w:firstRow="1" w:lastRow="0" w:firstColumn="1" w:lastColumn="0" w:noHBand="0" w:noVBand="1"/>
      </w:tblPr>
      <w:tblGrid>
        <w:gridCol w:w="1849"/>
        <w:gridCol w:w="1849"/>
        <w:gridCol w:w="1849"/>
        <w:gridCol w:w="3698"/>
      </w:tblGrid>
      <w:tr w:rsidR="007F1806" w:rsidRPr="005162C4" w:rsidTr="00790BC1">
        <w:trPr>
          <w:tblHeader/>
          <w:jc w:val="center"/>
        </w:trPr>
        <w:tc>
          <w:tcPr>
            <w:tcW w:w="1000" w:type="pct"/>
            <w:tcBorders>
              <w:top w:val="single" w:sz="12" w:space="0" w:color="auto"/>
              <w:left w:val="single" w:sz="12" w:space="0" w:color="auto"/>
              <w:bottom w:val="single" w:sz="4" w:space="0" w:color="auto"/>
              <w:right w:val="single" w:sz="4" w:space="0" w:color="FFFFFF" w:themeColor="background1"/>
            </w:tcBorders>
            <w:shd w:val="clear" w:color="auto" w:fill="003880"/>
            <w:vAlign w:val="center"/>
          </w:tcPr>
          <w:p w:rsidR="007F1806" w:rsidRPr="005162C4" w:rsidRDefault="005162C4" w:rsidP="005162C4">
            <w:pPr>
              <w:spacing w:after="0"/>
              <w:jc w:val="center"/>
              <w:rPr>
                <w:rFonts w:asciiTheme="minorHAnsi" w:hAnsiTheme="minorHAnsi" w:cstheme="minorHAnsi"/>
                <w:b/>
                <w:color w:val="FFFFFF" w:themeColor="background1"/>
                <w:sz w:val="20"/>
                <w:szCs w:val="20"/>
                <w:lang w:val="en-US"/>
              </w:rPr>
            </w:pPr>
            <w:r w:rsidRPr="005162C4">
              <w:rPr>
                <w:rFonts w:asciiTheme="minorHAnsi" w:hAnsiTheme="minorHAnsi" w:cstheme="minorHAnsi"/>
                <w:b/>
                <w:color w:val="FFFFFF" w:themeColor="background1"/>
                <w:sz w:val="20"/>
                <w:szCs w:val="20"/>
                <w:lang w:val="en-US"/>
              </w:rPr>
              <w:t xml:space="preserve">SPI </w:t>
            </w:r>
          </w:p>
        </w:tc>
        <w:tc>
          <w:tcPr>
            <w:tcW w:w="7216" w:type="dxa"/>
            <w:gridSpan w:val="3"/>
            <w:tcBorders>
              <w:top w:val="single" w:sz="12" w:space="0" w:color="auto"/>
              <w:left w:val="single" w:sz="4" w:space="0" w:color="FFFFFF" w:themeColor="background1"/>
              <w:bottom w:val="single" w:sz="4" w:space="0" w:color="auto"/>
              <w:right w:val="single" w:sz="12" w:space="0" w:color="auto"/>
            </w:tcBorders>
            <w:shd w:val="clear" w:color="auto" w:fill="003880"/>
            <w:vAlign w:val="center"/>
          </w:tcPr>
          <w:p w:rsidR="007F1806" w:rsidRPr="005162C4" w:rsidRDefault="005162C4" w:rsidP="005162C4">
            <w:pPr>
              <w:spacing w:after="0"/>
              <w:jc w:val="center"/>
              <w:rPr>
                <w:rFonts w:asciiTheme="minorHAnsi" w:hAnsiTheme="minorHAnsi" w:cstheme="minorHAnsi"/>
                <w:b/>
                <w:color w:val="FFFFFF" w:themeColor="background1"/>
                <w:sz w:val="20"/>
                <w:szCs w:val="20"/>
                <w:lang w:val="en-US"/>
              </w:rPr>
            </w:pPr>
            <w:r w:rsidRPr="005162C4">
              <w:rPr>
                <w:rFonts w:asciiTheme="minorHAnsi" w:hAnsiTheme="minorHAnsi" w:cstheme="minorHAnsi"/>
                <w:b/>
                <w:bCs/>
                <w:color w:val="FFFFFF" w:themeColor="background1"/>
                <w:sz w:val="20"/>
                <w:szCs w:val="20"/>
                <w:lang w:val="en-US"/>
              </w:rPr>
              <w:t xml:space="preserve"> DISCRETIONARY SCHOOL EXPENDITURE AS PERCENTAGE OF TOTAL EDUCATION EXPENDITURE </w:t>
            </w:r>
          </w:p>
        </w:tc>
      </w:tr>
      <w:tr w:rsidR="007F1806" w:rsidRPr="005162C4" w:rsidTr="00790BC1">
        <w:trPr>
          <w:tblHeader/>
          <w:jc w:val="center"/>
        </w:trPr>
        <w:tc>
          <w:tcPr>
            <w:tcW w:w="9019" w:type="dxa"/>
            <w:gridSpan w:val="4"/>
            <w:tcBorders>
              <w:left w:val="single" w:sz="12" w:space="0" w:color="auto"/>
              <w:bottom w:val="single" w:sz="4" w:space="0" w:color="auto"/>
              <w:right w:val="single" w:sz="12" w:space="0" w:color="auto"/>
            </w:tcBorders>
            <w:shd w:val="clear" w:color="auto" w:fill="4BACC6" w:themeFill="accent5"/>
            <w:vAlign w:val="center"/>
          </w:tcPr>
          <w:p w:rsidR="007F1806" w:rsidRPr="005162C4" w:rsidRDefault="005162C4" w:rsidP="005162C4">
            <w:pPr>
              <w:spacing w:after="0"/>
              <w:jc w:val="center"/>
              <w:rPr>
                <w:rFonts w:asciiTheme="minorHAnsi" w:hAnsiTheme="minorHAnsi" w:cstheme="minorHAnsi"/>
                <w:b/>
                <w:color w:val="FFFFFF" w:themeColor="background1"/>
                <w:sz w:val="20"/>
                <w:szCs w:val="20"/>
                <w:lang w:val="en-US"/>
              </w:rPr>
            </w:pPr>
            <w:r w:rsidRPr="005162C4">
              <w:rPr>
                <w:rFonts w:asciiTheme="minorHAnsi" w:hAnsiTheme="minorHAnsi" w:cstheme="minorHAnsi"/>
                <w:b/>
                <w:sz w:val="20"/>
                <w:szCs w:val="20"/>
                <w:lang w:val="en-US"/>
              </w:rPr>
              <w:t>STATUS AND TRENDS</w:t>
            </w:r>
          </w:p>
        </w:tc>
      </w:tr>
      <w:tr w:rsidR="007F1806" w:rsidRPr="005162C4" w:rsidTr="00790BC1">
        <w:trPr>
          <w:jc w:val="center"/>
        </w:trPr>
        <w:tc>
          <w:tcPr>
            <w:tcW w:w="1000" w:type="pct"/>
            <w:tcBorders>
              <w:left w:val="single" w:sz="12" w:space="0" w:color="auto"/>
              <w:bottom w:val="single" w:sz="4" w:space="0" w:color="auto"/>
            </w:tcBorders>
            <w:shd w:val="clear" w:color="auto" w:fill="BFBFBF" w:themeFill="background1" w:themeFillShade="BF"/>
            <w:vAlign w:val="center"/>
          </w:tcPr>
          <w:p w:rsidR="007F1806" w:rsidRPr="005162C4" w:rsidRDefault="007F1806" w:rsidP="005162C4">
            <w:pPr>
              <w:spacing w:after="0"/>
              <w:jc w:val="center"/>
              <w:rPr>
                <w:sz w:val="20"/>
                <w:szCs w:val="20"/>
                <w:lang w:val="en-AU"/>
              </w:rPr>
            </w:pPr>
            <w:r w:rsidRPr="005162C4">
              <w:rPr>
                <w:sz w:val="20"/>
                <w:szCs w:val="20"/>
                <w:lang w:val="en-AU"/>
              </w:rPr>
              <w:t>Result</w:t>
            </w:r>
          </w:p>
        </w:tc>
        <w:tc>
          <w:tcPr>
            <w:tcW w:w="1000" w:type="pct"/>
            <w:shd w:val="clear" w:color="auto" w:fill="92D050"/>
            <w:vAlign w:val="center"/>
          </w:tcPr>
          <w:p w:rsidR="007F1806" w:rsidRPr="005162C4" w:rsidRDefault="003B1CD4" w:rsidP="005162C4">
            <w:pPr>
              <w:spacing w:after="0"/>
              <w:jc w:val="center"/>
              <w:rPr>
                <w:sz w:val="20"/>
                <w:szCs w:val="20"/>
                <w:lang w:val="en-AU"/>
              </w:rPr>
            </w:pPr>
            <w:r w:rsidRPr="005162C4">
              <w:rPr>
                <w:sz w:val="20"/>
                <w:szCs w:val="20"/>
                <w:lang w:val="en-AU"/>
              </w:rPr>
              <w:t>Posi</w:t>
            </w:r>
            <w:r w:rsidR="007F1806" w:rsidRPr="005162C4">
              <w:rPr>
                <w:sz w:val="20"/>
                <w:szCs w:val="20"/>
                <w:lang w:val="en-AU"/>
              </w:rPr>
              <w:t>tive</w:t>
            </w:r>
          </w:p>
        </w:tc>
        <w:tc>
          <w:tcPr>
            <w:tcW w:w="1000" w:type="pct"/>
            <w:shd w:val="clear" w:color="auto" w:fill="BFBFBF" w:themeFill="background1" w:themeFillShade="BF"/>
            <w:vAlign w:val="center"/>
          </w:tcPr>
          <w:p w:rsidR="007F1806" w:rsidRPr="005162C4" w:rsidRDefault="007F1806" w:rsidP="005162C4">
            <w:pPr>
              <w:spacing w:after="0"/>
              <w:jc w:val="center"/>
              <w:rPr>
                <w:sz w:val="20"/>
                <w:szCs w:val="20"/>
                <w:lang w:val="en-AU"/>
              </w:rPr>
            </w:pPr>
            <w:r w:rsidRPr="005162C4">
              <w:rPr>
                <w:sz w:val="20"/>
                <w:szCs w:val="20"/>
                <w:lang w:val="en-AU"/>
              </w:rPr>
              <w:t>Data availability</w:t>
            </w:r>
          </w:p>
        </w:tc>
        <w:tc>
          <w:tcPr>
            <w:tcW w:w="3608" w:type="dxa"/>
            <w:tcBorders>
              <w:right w:val="single" w:sz="12" w:space="0" w:color="auto"/>
            </w:tcBorders>
            <w:vAlign w:val="center"/>
          </w:tcPr>
          <w:p w:rsidR="007F1806" w:rsidRPr="005162C4" w:rsidRDefault="003B1CD4" w:rsidP="005162C4">
            <w:pPr>
              <w:spacing w:after="0"/>
              <w:rPr>
                <w:sz w:val="20"/>
                <w:szCs w:val="20"/>
                <w:lang w:val="en-AU"/>
              </w:rPr>
            </w:pPr>
            <w:r w:rsidRPr="005162C4">
              <w:rPr>
                <w:sz w:val="20"/>
                <w:szCs w:val="20"/>
                <w:lang w:val="en-AU"/>
              </w:rPr>
              <w:t xml:space="preserve">BOS grants are used as a proxy variable for discretionary expenditure. </w:t>
            </w:r>
          </w:p>
        </w:tc>
      </w:tr>
      <w:tr w:rsidR="007F1806" w:rsidRPr="005162C4" w:rsidTr="00790BC1">
        <w:trPr>
          <w:jc w:val="center"/>
        </w:trPr>
        <w:tc>
          <w:tcPr>
            <w:tcW w:w="1000" w:type="pct"/>
            <w:tcBorders>
              <w:left w:val="single" w:sz="12" w:space="0" w:color="auto"/>
            </w:tcBorders>
            <w:shd w:val="clear" w:color="auto" w:fill="BFBFBF" w:themeFill="background1" w:themeFillShade="BF"/>
            <w:vAlign w:val="center"/>
          </w:tcPr>
          <w:p w:rsidR="007F1806" w:rsidRPr="005162C4" w:rsidRDefault="007F1806" w:rsidP="005162C4">
            <w:pPr>
              <w:spacing w:after="0"/>
              <w:jc w:val="center"/>
              <w:rPr>
                <w:sz w:val="20"/>
                <w:szCs w:val="20"/>
                <w:lang w:val="en-AU"/>
              </w:rPr>
            </w:pPr>
            <w:r w:rsidRPr="005162C4">
              <w:rPr>
                <w:sz w:val="20"/>
                <w:szCs w:val="20"/>
                <w:lang w:val="en-AU"/>
              </w:rPr>
              <w:t>Observations</w:t>
            </w:r>
          </w:p>
        </w:tc>
        <w:tc>
          <w:tcPr>
            <w:tcW w:w="7216" w:type="dxa"/>
            <w:gridSpan w:val="3"/>
            <w:tcBorders>
              <w:right w:val="single" w:sz="12" w:space="0" w:color="auto"/>
            </w:tcBorders>
            <w:vAlign w:val="center"/>
          </w:tcPr>
          <w:p w:rsidR="003B1CD4" w:rsidRPr="005162C4" w:rsidRDefault="003B1CD4" w:rsidP="005162C4">
            <w:pPr>
              <w:pStyle w:val="ListParagraph"/>
              <w:numPr>
                <w:ilvl w:val="0"/>
                <w:numId w:val="12"/>
              </w:numPr>
              <w:spacing w:after="60" w:line="240" w:lineRule="auto"/>
              <w:ind w:left="284" w:hanging="284"/>
              <w:contextualSpacing w:val="0"/>
              <w:jc w:val="both"/>
              <w:rPr>
                <w:sz w:val="20"/>
                <w:szCs w:val="20"/>
                <w:lang w:val="en-AU"/>
              </w:rPr>
            </w:pPr>
            <w:r w:rsidRPr="005162C4">
              <w:rPr>
                <w:sz w:val="20"/>
                <w:szCs w:val="20"/>
                <w:lang w:val="en-AU"/>
              </w:rPr>
              <w:t>The BOS grants distributed by districts provide a key source of discretionary funds available to schools under their own management. They have injected a dramatic new dimension to school resourcing. Direct payment to schools minimizes the opportunities for leakage before the funds reach the school.</w:t>
            </w:r>
          </w:p>
          <w:p w:rsidR="003B1CD4" w:rsidRPr="005162C4" w:rsidRDefault="003B1CD4" w:rsidP="005162C4">
            <w:pPr>
              <w:pStyle w:val="ListParagraph"/>
              <w:numPr>
                <w:ilvl w:val="0"/>
                <w:numId w:val="12"/>
              </w:numPr>
              <w:spacing w:after="60" w:line="240" w:lineRule="auto"/>
              <w:ind w:left="284" w:hanging="284"/>
              <w:contextualSpacing w:val="0"/>
              <w:jc w:val="both"/>
              <w:rPr>
                <w:sz w:val="20"/>
                <w:szCs w:val="20"/>
                <w:lang w:val="en-AU"/>
              </w:rPr>
            </w:pPr>
            <w:r w:rsidRPr="005162C4">
              <w:rPr>
                <w:sz w:val="20"/>
                <w:szCs w:val="20"/>
                <w:lang w:val="en-AU"/>
              </w:rPr>
              <w:t>BOS grants offer great potential for funding innovative and securely resourced interventions at schools that have an ongoing recurrent funding base. This allows school principals to plan around these allocations instead of pursuing submission based grant models.</w:t>
            </w:r>
          </w:p>
          <w:p w:rsidR="003B1CD4" w:rsidRPr="005162C4" w:rsidRDefault="003B1CD4" w:rsidP="005162C4">
            <w:pPr>
              <w:pStyle w:val="ListParagraph"/>
              <w:numPr>
                <w:ilvl w:val="0"/>
                <w:numId w:val="12"/>
              </w:numPr>
              <w:spacing w:after="60" w:line="240" w:lineRule="auto"/>
              <w:ind w:left="284" w:hanging="284"/>
              <w:contextualSpacing w:val="0"/>
              <w:jc w:val="both"/>
              <w:rPr>
                <w:sz w:val="20"/>
                <w:szCs w:val="20"/>
                <w:lang w:val="en-AU"/>
              </w:rPr>
            </w:pPr>
            <w:r w:rsidRPr="005162C4">
              <w:rPr>
                <w:sz w:val="20"/>
                <w:szCs w:val="20"/>
                <w:lang w:val="en-AU"/>
              </w:rPr>
              <w:t>In 2012, the BOS grants have increased as a proportion of the district education budget as a result of slower growth in the district education budget, and an increase in the value of the BOS grants themselves</w:t>
            </w:r>
            <w:r w:rsidR="001A093B" w:rsidRPr="005162C4">
              <w:rPr>
                <w:sz w:val="20"/>
                <w:szCs w:val="20"/>
                <w:lang w:val="en-AU"/>
              </w:rPr>
              <w:t xml:space="preserve"> (see Figure</w:t>
            </w:r>
            <w:r w:rsidR="009B6D6D">
              <w:rPr>
                <w:sz w:val="20"/>
                <w:szCs w:val="20"/>
                <w:lang w:val="en-AU"/>
              </w:rPr>
              <w:t xml:space="preserve"> </w:t>
            </w:r>
            <w:r w:rsidR="001A093B" w:rsidRPr="005162C4">
              <w:rPr>
                <w:sz w:val="20"/>
                <w:szCs w:val="20"/>
                <w:lang w:val="en-AU"/>
              </w:rPr>
              <w:t>4</w:t>
            </w:r>
            <w:r w:rsidR="009B6D6D">
              <w:rPr>
                <w:sz w:val="20"/>
                <w:szCs w:val="20"/>
                <w:lang w:val="en-AU"/>
              </w:rPr>
              <w:t>6</w:t>
            </w:r>
            <w:r w:rsidR="001A093B" w:rsidRPr="005162C4">
              <w:rPr>
                <w:sz w:val="20"/>
                <w:szCs w:val="20"/>
                <w:lang w:val="en-AU"/>
              </w:rPr>
              <w:t>, above)</w:t>
            </w:r>
            <w:r w:rsidRPr="005162C4">
              <w:rPr>
                <w:sz w:val="20"/>
                <w:szCs w:val="20"/>
                <w:lang w:val="en-AU"/>
              </w:rPr>
              <w:t xml:space="preserve">. </w:t>
            </w:r>
          </w:p>
          <w:p w:rsidR="007F1806" w:rsidRPr="005162C4" w:rsidRDefault="003B1CD4" w:rsidP="005162C4">
            <w:pPr>
              <w:pStyle w:val="ListParagraph"/>
              <w:numPr>
                <w:ilvl w:val="0"/>
                <w:numId w:val="12"/>
              </w:numPr>
              <w:spacing w:after="60" w:line="240" w:lineRule="auto"/>
              <w:ind w:left="284" w:hanging="284"/>
              <w:contextualSpacing w:val="0"/>
              <w:jc w:val="both"/>
              <w:rPr>
                <w:sz w:val="20"/>
                <w:szCs w:val="20"/>
                <w:lang w:val="en-AU"/>
              </w:rPr>
            </w:pPr>
            <w:r w:rsidRPr="005162C4">
              <w:rPr>
                <w:sz w:val="20"/>
                <w:szCs w:val="20"/>
                <w:lang w:val="en-AU"/>
              </w:rPr>
              <w:t>The per-pupil BOS allocation has increased from Rp 397,000 to Rp 580,000 per primary student and from RP. 570,000 to RP. 710,000 per junior secondary student per year in 2012.</w:t>
            </w:r>
          </w:p>
        </w:tc>
      </w:tr>
      <w:tr w:rsidR="007F1806" w:rsidRPr="005162C4" w:rsidTr="00790BC1">
        <w:trPr>
          <w:tblHeader/>
          <w:jc w:val="center"/>
        </w:trPr>
        <w:tc>
          <w:tcPr>
            <w:tcW w:w="9019" w:type="dxa"/>
            <w:gridSpan w:val="4"/>
            <w:tcBorders>
              <w:left w:val="single" w:sz="12" w:space="0" w:color="auto"/>
              <w:bottom w:val="single" w:sz="4" w:space="0" w:color="auto"/>
              <w:right w:val="single" w:sz="12" w:space="0" w:color="auto"/>
            </w:tcBorders>
            <w:shd w:val="clear" w:color="auto" w:fill="4BACC6" w:themeFill="accent5"/>
            <w:vAlign w:val="center"/>
          </w:tcPr>
          <w:p w:rsidR="007F1806" w:rsidRPr="005162C4" w:rsidRDefault="005162C4" w:rsidP="005162C4">
            <w:pPr>
              <w:spacing w:after="0"/>
              <w:jc w:val="center"/>
              <w:rPr>
                <w:rFonts w:asciiTheme="minorHAnsi" w:hAnsiTheme="minorHAnsi" w:cstheme="minorHAnsi"/>
                <w:b/>
                <w:color w:val="FFFFFF" w:themeColor="background1"/>
                <w:sz w:val="20"/>
                <w:szCs w:val="20"/>
                <w:lang w:val="en-US"/>
              </w:rPr>
            </w:pPr>
            <w:r w:rsidRPr="005162C4">
              <w:rPr>
                <w:rFonts w:asciiTheme="minorHAnsi" w:hAnsiTheme="minorHAnsi" w:cstheme="minorHAnsi"/>
                <w:b/>
                <w:sz w:val="20"/>
                <w:szCs w:val="20"/>
                <w:lang w:val="en-US"/>
              </w:rPr>
              <w:t>IMPLICATIONS AND MATTERS ARISING</w:t>
            </w:r>
          </w:p>
        </w:tc>
      </w:tr>
      <w:tr w:rsidR="007F1806" w:rsidRPr="005162C4" w:rsidTr="00790BC1">
        <w:trPr>
          <w:jc w:val="center"/>
        </w:trPr>
        <w:tc>
          <w:tcPr>
            <w:tcW w:w="1000" w:type="pct"/>
            <w:tcBorders>
              <w:left w:val="single" w:sz="12" w:space="0" w:color="auto"/>
            </w:tcBorders>
            <w:shd w:val="clear" w:color="auto" w:fill="BFBFBF" w:themeFill="background1" w:themeFillShade="BF"/>
            <w:vAlign w:val="center"/>
          </w:tcPr>
          <w:p w:rsidR="007F1806" w:rsidRPr="005162C4" w:rsidRDefault="007F1806" w:rsidP="005162C4">
            <w:pPr>
              <w:spacing w:after="0"/>
              <w:jc w:val="center"/>
              <w:rPr>
                <w:sz w:val="20"/>
                <w:szCs w:val="20"/>
                <w:lang w:val="en-AU"/>
              </w:rPr>
            </w:pPr>
            <w:r w:rsidRPr="005162C4">
              <w:rPr>
                <w:sz w:val="20"/>
                <w:szCs w:val="20"/>
                <w:lang w:val="en-AU"/>
              </w:rPr>
              <w:t>For the performance of the education sector</w:t>
            </w:r>
          </w:p>
        </w:tc>
        <w:tc>
          <w:tcPr>
            <w:tcW w:w="7216" w:type="dxa"/>
            <w:gridSpan w:val="3"/>
            <w:tcBorders>
              <w:right w:val="single" w:sz="12" w:space="0" w:color="auto"/>
            </w:tcBorders>
            <w:vAlign w:val="center"/>
          </w:tcPr>
          <w:p w:rsidR="003B1CD4" w:rsidRPr="005162C4" w:rsidRDefault="003B1CD4" w:rsidP="005162C4">
            <w:pPr>
              <w:pStyle w:val="ListParagraph"/>
              <w:numPr>
                <w:ilvl w:val="0"/>
                <w:numId w:val="12"/>
              </w:numPr>
              <w:spacing w:after="60" w:line="240" w:lineRule="auto"/>
              <w:ind w:left="284" w:hanging="284"/>
              <w:contextualSpacing w:val="0"/>
              <w:jc w:val="both"/>
              <w:rPr>
                <w:sz w:val="20"/>
                <w:szCs w:val="20"/>
                <w:lang w:val="en-AU"/>
              </w:rPr>
            </w:pPr>
            <w:r w:rsidRPr="005162C4">
              <w:rPr>
                <w:sz w:val="20"/>
                <w:szCs w:val="20"/>
                <w:lang w:val="en-AU"/>
              </w:rPr>
              <w:t xml:space="preserve">BOS grants provide a critical injection of funds at the school level. It is important that these funds are utilised as effectively as possible. The injection of such a large scale of funds to schools poses an obvious fiduciary risk. This risk appears at the school level where there have been wide spread reports of funds not being used appropriately or not being accounted for as required. </w:t>
            </w:r>
          </w:p>
          <w:p w:rsidR="007F1806" w:rsidRPr="005162C4" w:rsidRDefault="003B1CD4" w:rsidP="005162C4">
            <w:pPr>
              <w:pStyle w:val="ListParagraph"/>
              <w:numPr>
                <w:ilvl w:val="0"/>
                <w:numId w:val="12"/>
              </w:numPr>
              <w:spacing w:after="60" w:line="240" w:lineRule="auto"/>
              <w:ind w:left="284" w:hanging="284"/>
              <w:contextualSpacing w:val="0"/>
              <w:jc w:val="both"/>
              <w:rPr>
                <w:sz w:val="20"/>
                <w:szCs w:val="20"/>
                <w:lang w:val="en-AU"/>
              </w:rPr>
            </w:pPr>
            <w:r w:rsidRPr="005162C4">
              <w:rPr>
                <w:sz w:val="20"/>
                <w:szCs w:val="20"/>
                <w:lang w:val="en-AU"/>
              </w:rPr>
              <w:t>The challenge for government will be to put in place the appropriate training, monitoring and support to enable the effective use of these funds as well as identifying the inevitable instances where</w:t>
            </w:r>
            <w:r w:rsidRPr="005162C4">
              <w:rPr>
                <w:sz w:val="20"/>
                <w:szCs w:val="20"/>
              </w:rPr>
              <w:t xml:space="preserve"> </w:t>
            </w:r>
            <w:r w:rsidRPr="005162C4">
              <w:rPr>
                <w:sz w:val="20"/>
                <w:szCs w:val="20"/>
                <w:lang w:val="en-AU"/>
              </w:rPr>
              <w:t xml:space="preserve">these funds are not properly expended or </w:t>
            </w:r>
            <w:r w:rsidRPr="005162C4">
              <w:rPr>
                <w:sz w:val="20"/>
                <w:szCs w:val="20"/>
                <w:lang w:val="en-AU"/>
              </w:rPr>
              <w:lastRenderedPageBreak/>
              <w:t xml:space="preserve">adequately reported. </w:t>
            </w:r>
          </w:p>
        </w:tc>
      </w:tr>
      <w:tr w:rsidR="007F1806" w:rsidRPr="005162C4" w:rsidTr="00790BC1">
        <w:trPr>
          <w:jc w:val="center"/>
        </w:trPr>
        <w:tc>
          <w:tcPr>
            <w:tcW w:w="1000" w:type="pct"/>
            <w:tcBorders>
              <w:left w:val="single" w:sz="12" w:space="0" w:color="auto"/>
              <w:bottom w:val="single" w:sz="12" w:space="0" w:color="auto"/>
            </w:tcBorders>
            <w:shd w:val="clear" w:color="auto" w:fill="BFBFBF" w:themeFill="background1" w:themeFillShade="BF"/>
            <w:vAlign w:val="center"/>
          </w:tcPr>
          <w:p w:rsidR="007F1806" w:rsidRPr="005162C4" w:rsidRDefault="007F1806" w:rsidP="005162C4">
            <w:pPr>
              <w:spacing w:after="0"/>
              <w:jc w:val="center"/>
              <w:rPr>
                <w:sz w:val="20"/>
                <w:szCs w:val="20"/>
                <w:lang w:val="en-AU"/>
              </w:rPr>
            </w:pPr>
            <w:r w:rsidRPr="005162C4">
              <w:rPr>
                <w:sz w:val="20"/>
                <w:szCs w:val="20"/>
                <w:lang w:val="en-AU"/>
              </w:rPr>
              <w:lastRenderedPageBreak/>
              <w:t>For the performance of the Education Partnership</w:t>
            </w:r>
          </w:p>
        </w:tc>
        <w:tc>
          <w:tcPr>
            <w:tcW w:w="7216" w:type="dxa"/>
            <w:gridSpan w:val="3"/>
            <w:tcBorders>
              <w:bottom w:val="single" w:sz="12" w:space="0" w:color="auto"/>
              <w:right w:val="single" w:sz="12" w:space="0" w:color="auto"/>
            </w:tcBorders>
            <w:vAlign w:val="center"/>
          </w:tcPr>
          <w:p w:rsidR="00913FF7" w:rsidRPr="005162C4" w:rsidRDefault="001A093B" w:rsidP="005162C4">
            <w:pPr>
              <w:pStyle w:val="ListParagraph"/>
              <w:numPr>
                <w:ilvl w:val="0"/>
                <w:numId w:val="12"/>
              </w:numPr>
              <w:spacing w:after="60" w:line="240" w:lineRule="auto"/>
              <w:ind w:left="284" w:hanging="284"/>
              <w:contextualSpacing w:val="0"/>
              <w:jc w:val="both"/>
              <w:rPr>
                <w:sz w:val="20"/>
                <w:szCs w:val="20"/>
                <w:lang w:val="en-AU"/>
              </w:rPr>
            </w:pPr>
            <w:r w:rsidRPr="005162C4">
              <w:rPr>
                <w:rFonts w:cstheme="minorHAnsi"/>
                <w:sz w:val="20"/>
                <w:szCs w:val="20"/>
              </w:rPr>
              <w:t>DFAT may wish to help</w:t>
            </w:r>
            <w:r w:rsidR="00913FF7" w:rsidRPr="005162C4">
              <w:rPr>
                <w:rFonts w:cstheme="minorHAnsi"/>
                <w:sz w:val="20"/>
                <w:szCs w:val="20"/>
              </w:rPr>
              <w:t xml:space="preserve"> clarify</w:t>
            </w:r>
            <w:r w:rsidRPr="005162C4">
              <w:rPr>
                <w:rFonts w:cstheme="minorHAnsi"/>
                <w:sz w:val="20"/>
                <w:szCs w:val="20"/>
              </w:rPr>
              <w:t xml:space="preserve"> and strengthe</w:t>
            </w:r>
            <w:r w:rsidR="00045BD1" w:rsidRPr="005162C4">
              <w:rPr>
                <w:rFonts w:cstheme="minorHAnsi"/>
                <w:sz w:val="20"/>
                <w:szCs w:val="20"/>
              </w:rPr>
              <w:t>n</w:t>
            </w:r>
            <w:r w:rsidR="00913FF7" w:rsidRPr="005162C4">
              <w:rPr>
                <w:rFonts w:cstheme="minorHAnsi"/>
                <w:sz w:val="20"/>
                <w:szCs w:val="20"/>
              </w:rPr>
              <w:t xml:space="preserve"> the role of the school committees in the management of BOS funds </w:t>
            </w:r>
            <w:r w:rsidRPr="005162C4">
              <w:rPr>
                <w:rFonts w:cstheme="minorHAnsi"/>
                <w:sz w:val="20"/>
                <w:szCs w:val="20"/>
              </w:rPr>
              <w:t>as part of its current and/or upcoming programing.</w:t>
            </w:r>
          </w:p>
        </w:tc>
      </w:tr>
    </w:tbl>
    <w:p w:rsidR="003B1CD4" w:rsidRDefault="003B1CD4" w:rsidP="006A4E0A">
      <w:pPr>
        <w:rPr>
          <w:sz w:val="16"/>
          <w:szCs w:val="16"/>
          <w:highlight w:val="yellow"/>
        </w:rPr>
      </w:pPr>
    </w:p>
    <w:p w:rsidR="00EE5671" w:rsidRPr="00E45EDE" w:rsidRDefault="00EE5671" w:rsidP="001419DA">
      <w:pPr>
        <w:spacing w:line="276" w:lineRule="auto"/>
        <w:jc w:val="both"/>
      </w:pPr>
      <w:r w:rsidRPr="00EE5671">
        <w:rPr>
          <w:b/>
          <w:i/>
          <w:color w:val="000000" w:themeColor="text1"/>
        </w:rPr>
        <w:t xml:space="preserve">Background: </w:t>
      </w:r>
      <w:r w:rsidRPr="00EE5671">
        <w:rPr>
          <w:color w:val="000000" w:themeColor="text1"/>
        </w:rPr>
        <w:t xml:space="preserve">In </w:t>
      </w:r>
      <w:r w:rsidRPr="00763261">
        <w:t>2011, the BOS grants were distributed to the district level of government which will then made payments to schools.</w:t>
      </w:r>
      <w:r>
        <w:t xml:space="preserve"> This changed flow of funding was</w:t>
      </w:r>
      <w:r w:rsidRPr="00763261">
        <w:t xml:space="preserve"> designed to reflect the function and responsibilities of local government towards education under the decentralization policy. It provided districts with significantly greater non-salary related resources to distribute amongst their schools. This was to help strengthen the relevance and importance of district monitoring and support teams for schools within their </w:t>
      </w:r>
      <w:r w:rsidRPr="00E45EDE">
        <w:t>jurisdiction. However, the policy increased the pressure and expectations of schools that were relying upon the efficiency and effectiveness of the district offices.</w:t>
      </w:r>
    </w:p>
    <w:p w:rsidR="00EE5671" w:rsidRPr="00E45EDE" w:rsidRDefault="00EE5671" w:rsidP="001419DA">
      <w:pPr>
        <w:spacing w:line="276" w:lineRule="auto"/>
        <w:jc w:val="both"/>
      </w:pPr>
      <w:r w:rsidRPr="00E45EDE">
        <w:t xml:space="preserve">The district management of the BOS distribution by district governments became a matter of national controversy during 2011. The widespread failure of many districts to manage these funds properly meant that delays and errors in the distribution of BOS funding were seen as a failure at the local rather than central level. By late 2011, the </w:t>
      </w:r>
      <w:r>
        <w:t>dis</w:t>
      </w:r>
      <w:r w:rsidRPr="00E45EDE">
        <w:t>bursement and general management of BOS funds by the district level was considered a gross failure. The program was subsequently brought back under the control of M</w:t>
      </w:r>
      <w:r w:rsidR="001A093B">
        <w:t>o</w:t>
      </w:r>
      <w:r w:rsidRPr="00E45EDE">
        <w:t>EC for the 2012 school year.</w:t>
      </w:r>
      <w:r>
        <w:t xml:space="preserve"> BOS funds in 2012 were distributed by the province (acting as the representative of the central government) directly to the schools. </w:t>
      </w:r>
    </w:p>
    <w:p w:rsidR="006A4E0A" w:rsidRPr="00E45EDE" w:rsidRDefault="006A4E0A" w:rsidP="001419DA">
      <w:pPr>
        <w:spacing w:line="276" w:lineRule="auto"/>
        <w:jc w:val="both"/>
      </w:pPr>
      <w:r w:rsidRPr="00E45EDE">
        <w:t>BOS grants</w:t>
      </w:r>
      <w:r w:rsidR="001A093B">
        <w:t>,</w:t>
      </w:r>
      <w:r w:rsidRPr="00E45EDE">
        <w:t xml:space="preserve"> as a percentage of total education expenditure</w:t>
      </w:r>
      <w:r w:rsidR="001A093B">
        <w:t>,</w:t>
      </w:r>
      <w:r w:rsidRPr="00E45EDE">
        <w:t xml:space="preserve"> are affected by the share of students progressing to secondary education. The per capita BOS grants for junior secondary students are 35% higher in value than grants for primary students. Districts with higher proportionate enrolment at secondary level have an increased proportionate weight in their BOS grants. As a consequence, inter-poverty quintile comparisons are distorted by differences </w:t>
      </w:r>
      <w:r>
        <w:t xml:space="preserve">in </w:t>
      </w:r>
      <w:r w:rsidRPr="00E45EDE">
        <w:t xml:space="preserve">secondary level enrolment rates. </w:t>
      </w:r>
    </w:p>
    <w:p w:rsidR="006A4E0A" w:rsidRDefault="006A4E0A" w:rsidP="001419DA">
      <w:pPr>
        <w:spacing w:line="276" w:lineRule="auto"/>
        <w:jc w:val="both"/>
      </w:pPr>
      <w:r w:rsidRPr="00E45EDE">
        <w:t>The significance of the BOS expenditures in comparison with total district expenditures declined for districts across all poverty quintiles between 2007 and 2008. This reflected the expanding outlays for education being made by the district levels of government during this period. However by 2009 and with the impact of the increase in the size of the per capita grants, the BOS had again risen in significance to 2006 levels.</w:t>
      </w:r>
    </w:p>
    <w:p w:rsidR="006A4E0A" w:rsidRDefault="006A4E0A" w:rsidP="001419DA">
      <w:pPr>
        <w:spacing w:line="276" w:lineRule="auto"/>
        <w:jc w:val="both"/>
      </w:pPr>
      <w:r>
        <w:t>In 2011, the BOS funds represented a smaller share of total expenditure as teacher salaries and allowances increased sharply. These salary and emolument increases are a flow on effect of the teacher certification process and will continue for a few more years (at least until 2015). In addition to salary increases, 2011 saw increases in district allocations for capital expenditures and other operational expenses.</w:t>
      </w:r>
    </w:p>
    <w:p w:rsidR="006A4E0A" w:rsidRPr="00E36E0A" w:rsidRDefault="006A4E0A" w:rsidP="001419DA">
      <w:pPr>
        <w:spacing w:line="276" w:lineRule="auto"/>
        <w:jc w:val="both"/>
      </w:pPr>
      <w:r>
        <w:t xml:space="preserve">In 2012, the BOS grants have increased as a proportion of the district education budget as a result of slower growth in the district education budget, and an increase in the value of the BOS grants themselves. </w:t>
      </w:r>
      <w:r w:rsidRPr="00E36E0A">
        <w:t>The per-pupil BOS allocation has increased from Rp 397,000 to Rp 580,000</w:t>
      </w:r>
      <w:r>
        <w:t xml:space="preserve"> per primary student and from R</w:t>
      </w:r>
      <w:r w:rsidR="00837A39">
        <w:t>p</w:t>
      </w:r>
      <w:r>
        <w:t>. 570,000 to R</w:t>
      </w:r>
      <w:r w:rsidR="00837A39">
        <w:t>p</w:t>
      </w:r>
      <w:r>
        <w:t>.</w:t>
      </w:r>
      <w:r w:rsidRPr="00E36E0A">
        <w:t xml:space="preserve"> 710,000 per junior secondary student per year in 2012. The BOS program covers around 44 million students in 228,000 primary and secondary schools.</w:t>
      </w:r>
      <w:r w:rsidR="004971BD">
        <w:t xml:space="preserve"> </w:t>
      </w:r>
    </w:p>
    <w:p w:rsidR="006A4E0A" w:rsidRPr="00E36E0A" w:rsidRDefault="006A4E0A" w:rsidP="001419DA">
      <w:pPr>
        <w:spacing w:line="276" w:lineRule="auto"/>
        <w:jc w:val="both"/>
      </w:pPr>
      <w:r>
        <w:lastRenderedPageBreak/>
        <w:t xml:space="preserve">It is estimated that in 2012 </w:t>
      </w:r>
      <w:r w:rsidRPr="00E36E0A">
        <w:t xml:space="preserve">the BOS program </w:t>
      </w:r>
      <w:r>
        <w:t xml:space="preserve">spent </w:t>
      </w:r>
      <w:r w:rsidRPr="00E36E0A">
        <w:t xml:space="preserve">US$3.07 billion (Rp 27.67 trillion), which represents about 8 percent of total education spending in Indonesia. The BOS allocation has increased five-fold from US$560 million in 2005 to US$3.07 billion in 2012. By increasing the amount of discretionary funds available to schools, the BOS program </w:t>
      </w:r>
      <w:r>
        <w:t xml:space="preserve">can help pave the way for more effective expenditures at the school level. </w:t>
      </w:r>
    </w:p>
    <w:p w:rsidR="006A4E0A" w:rsidRDefault="006A4E0A" w:rsidP="001419DA">
      <w:pPr>
        <w:spacing w:line="276" w:lineRule="auto"/>
        <w:jc w:val="both"/>
      </w:pPr>
      <w:r>
        <w:t xml:space="preserve">The BOS grants represent a smaller proportion of total expenditures for schooling in the poorest districts. This is because of the higher teacher costs (such as remote area allowances) and the lower student: teacher ratios which increase the per student teacher cost in these districts. As a consequence, the BOS funds represent a smaller contribution to the overall cost of delivering services to these districts. All other poverty quintile districts are more closely bunched together. </w:t>
      </w:r>
    </w:p>
    <w:p w:rsidR="006A4E0A" w:rsidRPr="00407F4A" w:rsidRDefault="001A3FC6" w:rsidP="001A3FC6">
      <w:pPr>
        <w:pStyle w:val="Caption"/>
      </w:pPr>
      <w:bookmarkStart w:id="121" w:name="_Toc374182093"/>
      <w:bookmarkStart w:id="122" w:name="_Toc381604831"/>
      <w:r>
        <w:t>Figure 4</w:t>
      </w:r>
      <w:r w:rsidR="00962BFF">
        <w:t>7</w:t>
      </w:r>
      <w:r>
        <w:t xml:space="preserve">: </w:t>
      </w:r>
      <w:r w:rsidR="006A4E0A" w:rsidRPr="00D33073">
        <w:t xml:space="preserve">BOS Grants as % of </w:t>
      </w:r>
      <w:r w:rsidR="006A4E0A">
        <w:t>Education &amp; Culture Budget 2006-2011,</w:t>
      </w:r>
      <w:r w:rsidR="006A4E0A" w:rsidRPr="00D33073">
        <w:t xml:space="preserve"> by Poverty Quintile</w:t>
      </w:r>
      <w:bookmarkEnd w:id="121"/>
      <w:bookmarkEnd w:id="122"/>
    </w:p>
    <w:p w:rsidR="006A4E0A" w:rsidRDefault="006A4E0A" w:rsidP="005162C4">
      <w:pPr>
        <w:pStyle w:val="BodyText"/>
        <w:spacing w:after="360"/>
        <w:jc w:val="center"/>
      </w:pPr>
      <w:r>
        <w:rPr>
          <w:noProof/>
          <w:lang w:eastAsia="en-AU"/>
        </w:rPr>
        <w:drawing>
          <wp:inline distT="0" distB="0" distL="0" distR="0" wp14:anchorId="2BFD83FA" wp14:editId="37BCD4A1">
            <wp:extent cx="5566410" cy="3747131"/>
            <wp:effectExtent l="19050" t="19050" r="15240" b="2540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66410" cy="3747131"/>
                    </a:xfrm>
                    <a:prstGeom prst="rect">
                      <a:avLst/>
                    </a:prstGeom>
                    <a:noFill/>
                    <a:ln>
                      <a:solidFill>
                        <a:schemeClr val="accent1"/>
                      </a:solidFill>
                    </a:ln>
                  </pic:spPr>
                </pic:pic>
              </a:graphicData>
            </a:graphic>
          </wp:inline>
        </w:drawing>
      </w:r>
    </w:p>
    <w:p w:rsidR="00DF49DF" w:rsidRDefault="00DF49DF" w:rsidP="00DF49DF"/>
    <w:p w:rsidR="00DF49DF" w:rsidRDefault="00DF49DF" w:rsidP="00DF49DF">
      <w:pPr>
        <w:sectPr w:rsidR="00DF49DF" w:rsidSect="006B7952">
          <w:headerReference w:type="first" r:id="rId88"/>
          <w:footerReference w:type="first" r:id="rId89"/>
          <w:footnotePr>
            <w:numRestart w:val="eachSect"/>
          </w:footnotePr>
          <w:endnotePr>
            <w:numRestart w:val="eachSect"/>
          </w:endnotePr>
          <w:pgSz w:w="11909" w:h="16834" w:code="9"/>
          <w:pgMar w:top="357" w:right="1440" w:bottom="1304" w:left="1440" w:header="431" w:footer="425" w:gutter="0"/>
          <w:cols w:space="720"/>
          <w:titlePg/>
          <w:docGrid w:linePitch="360"/>
        </w:sectPr>
      </w:pPr>
    </w:p>
    <w:p w:rsidR="00DF49DF" w:rsidRDefault="009D32EE" w:rsidP="006B7952">
      <w:pPr>
        <w:tabs>
          <w:tab w:val="left" w:pos="2977"/>
        </w:tabs>
        <w:spacing w:before="6960"/>
        <w:ind w:right="1701"/>
        <w:jc w:val="right"/>
        <w:rPr>
          <w:b/>
          <w:color w:val="FFFFFF" w:themeColor="background1"/>
          <w:sz w:val="36"/>
          <w:szCs w:val="36"/>
        </w:rPr>
      </w:pPr>
      <w:r>
        <w:rPr>
          <w:b/>
          <w:color w:val="FFFFFF" w:themeColor="background1"/>
          <w:sz w:val="36"/>
          <w:szCs w:val="36"/>
        </w:rPr>
        <w:lastRenderedPageBreak/>
        <w:t xml:space="preserve">The </w:t>
      </w:r>
      <w:r w:rsidR="00945A9C">
        <w:rPr>
          <w:b/>
          <w:color w:val="FFFFFF" w:themeColor="background1"/>
          <w:sz w:val="36"/>
          <w:szCs w:val="36"/>
        </w:rPr>
        <w:t xml:space="preserve">Bottom-Line </w:t>
      </w:r>
    </w:p>
    <w:p w:rsidR="00DF49DF" w:rsidRDefault="00DF49DF" w:rsidP="00DF49DF">
      <w:pPr>
        <w:sectPr w:rsidR="00DF49DF" w:rsidSect="006B7952">
          <w:headerReference w:type="default" r:id="rId90"/>
          <w:footerReference w:type="default" r:id="rId91"/>
          <w:headerReference w:type="first" r:id="rId92"/>
          <w:footerReference w:type="first" r:id="rId93"/>
          <w:footnotePr>
            <w:numRestart w:val="eachSect"/>
          </w:footnotePr>
          <w:endnotePr>
            <w:numRestart w:val="eachSect"/>
          </w:endnotePr>
          <w:pgSz w:w="11909" w:h="16834" w:code="9"/>
          <w:pgMar w:top="357" w:right="1440" w:bottom="1304" w:left="1440" w:header="431" w:footer="425" w:gutter="0"/>
          <w:cols w:space="720"/>
          <w:titlePg/>
          <w:docGrid w:linePitch="360"/>
        </w:sectPr>
      </w:pPr>
    </w:p>
    <w:p w:rsidR="00DF49DF" w:rsidRDefault="00DF49DF" w:rsidP="00DF49DF">
      <w:pPr>
        <w:pStyle w:val="Heading2"/>
        <w:numPr>
          <w:ilvl w:val="0"/>
          <w:numId w:val="0"/>
        </w:numPr>
        <w:ind w:left="720"/>
      </w:pPr>
    </w:p>
    <w:p w:rsidR="00245A84" w:rsidRPr="009A7158" w:rsidRDefault="009A7158" w:rsidP="009A7158">
      <w:pPr>
        <w:pStyle w:val="Heading1"/>
        <w:spacing w:after="1320"/>
        <w:ind w:left="357" w:hanging="357"/>
        <w:rPr>
          <w:color w:val="68BAD6"/>
        </w:rPr>
      </w:pPr>
      <w:bookmarkStart w:id="123" w:name="_Toc385504517"/>
      <w:r w:rsidRPr="009A7158">
        <w:rPr>
          <w:color w:val="68BAD6"/>
        </w:rPr>
        <w:t>THE BOTTOM-LINE</w:t>
      </w:r>
      <w:bookmarkEnd w:id="42"/>
      <w:bookmarkEnd w:id="123"/>
      <w:r w:rsidRPr="009A7158">
        <w:rPr>
          <w:color w:val="68BAD6"/>
        </w:rPr>
        <w:t xml:space="preserve"> </w:t>
      </w:r>
    </w:p>
    <w:p w:rsidR="00461F4F" w:rsidRPr="009A7158" w:rsidRDefault="00461F4F" w:rsidP="009A7158">
      <w:pPr>
        <w:pStyle w:val="Heading2"/>
        <w:spacing w:before="360" w:after="240"/>
        <w:ind w:left="567" w:hanging="567"/>
        <w:rPr>
          <w:rFonts w:asciiTheme="minorHAnsi" w:hAnsiTheme="minorHAnsi"/>
          <w:b/>
          <w:sz w:val="32"/>
          <w:szCs w:val="22"/>
        </w:rPr>
      </w:pPr>
      <w:bookmarkStart w:id="124" w:name="_Toc372401522"/>
      <w:r w:rsidRPr="009A7158">
        <w:rPr>
          <w:rFonts w:asciiTheme="minorHAnsi" w:hAnsiTheme="minorHAnsi"/>
          <w:b/>
          <w:sz w:val="32"/>
          <w:szCs w:val="22"/>
        </w:rPr>
        <w:t>What do the trends in sector financing mean for the education sector?</w:t>
      </w:r>
    </w:p>
    <w:p w:rsidR="001A093B" w:rsidRPr="00FE493A" w:rsidRDefault="001A093B" w:rsidP="009A7158">
      <w:pPr>
        <w:pStyle w:val="ListParagraph"/>
        <w:numPr>
          <w:ilvl w:val="0"/>
          <w:numId w:val="41"/>
        </w:numPr>
        <w:spacing w:after="0"/>
        <w:ind w:left="360"/>
        <w:contextualSpacing w:val="0"/>
        <w:jc w:val="both"/>
      </w:pPr>
      <w:r w:rsidRPr="007B732E">
        <w:rPr>
          <w:b/>
          <w:i/>
        </w:rPr>
        <w:t xml:space="preserve">Strong real growth in national public expenditure for education in 2012. </w:t>
      </w:r>
    </w:p>
    <w:p w:rsidR="001A093B" w:rsidRPr="00281B7A" w:rsidRDefault="001A093B" w:rsidP="009A7158">
      <w:pPr>
        <w:spacing w:line="276" w:lineRule="auto"/>
        <w:ind w:left="360"/>
        <w:jc w:val="both"/>
      </w:pPr>
      <w:r w:rsidRPr="00281B7A">
        <w:t>The GoI had particularly impressive growth in real and nominal terms in 2006 and 2009. Since 2009, grow</w:t>
      </w:r>
      <w:r>
        <w:t>th in education expenditures had</w:t>
      </w:r>
      <w:r w:rsidRPr="00281B7A">
        <w:t xml:space="preserve"> marginal</w:t>
      </w:r>
      <w:r>
        <w:t>ly outpaced inflation, but there wa</w:t>
      </w:r>
      <w:r w:rsidRPr="00281B7A">
        <w:t xml:space="preserve">s a plateau in the real increase of national funding for education. </w:t>
      </w:r>
      <w:r>
        <w:t>In 2012 we see the first significant increase in real terms for education funding.</w:t>
      </w:r>
    </w:p>
    <w:p w:rsidR="001A093B" w:rsidRPr="00FE493A" w:rsidRDefault="001A093B" w:rsidP="009A7158">
      <w:pPr>
        <w:pStyle w:val="ListParagraph"/>
        <w:numPr>
          <w:ilvl w:val="0"/>
          <w:numId w:val="41"/>
        </w:numPr>
        <w:spacing w:after="0"/>
        <w:ind w:left="360"/>
        <w:contextualSpacing w:val="0"/>
        <w:jc w:val="both"/>
      </w:pPr>
      <w:r w:rsidRPr="00FE493A">
        <w:rPr>
          <w:b/>
          <w:i/>
        </w:rPr>
        <w:t xml:space="preserve">Government commitment to meet a 20% target for education expenditure share of national budget has been met for the fourth year in a row. </w:t>
      </w:r>
    </w:p>
    <w:p w:rsidR="001A093B" w:rsidRPr="00DA470F" w:rsidRDefault="001A093B" w:rsidP="009A7158">
      <w:pPr>
        <w:spacing w:line="276" w:lineRule="auto"/>
        <w:ind w:left="360"/>
        <w:jc w:val="both"/>
      </w:pPr>
      <w:r w:rsidRPr="00DA470F">
        <w:t>The national expenditures for education in 201</w:t>
      </w:r>
      <w:r>
        <w:t>2</w:t>
      </w:r>
      <w:r w:rsidRPr="00DA470F">
        <w:t xml:space="preserve"> met the 20% ta</w:t>
      </w:r>
      <w:r>
        <w:t xml:space="preserve">rget. Unlike the previous three budget years, this has generated </w:t>
      </w:r>
      <w:r w:rsidRPr="00DA470F">
        <w:t>a large year</w:t>
      </w:r>
      <w:r>
        <w:t>-</w:t>
      </w:r>
      <w:r w:rsidRPr="00DA470F">
        <w:t>on</w:t>
      </w:r>
      <w:r>
        <w:t>-</w:t>
      </w:r>
      <w:r w:rsidRPr="00DA470F">
        <w:t>year increase</w:t>
      </w:r>
      <w:r>
        <w:t xml:space="preserve"> in</w:t>
      </w:r>
      <w:r w:rsidRPr="00DA470F">
        <w:t xml:space="preserve"> real funds available for education</w:t>
      </w:r>
      <w:r>
        <w:t>.</w:t>
      </w:r>
      <w:r w:rsidRPr="00DA470F">
        <w:t xml:space="preserve"> </w:t>
      </w:r>
      <w:r>
        <w:t xml:space="preserve">Education has benefited from total national public revenues and expenditures which have grown at a significantly faster rate than inflation. </w:t>
      </w:r>
    </w:p>
    <w:p w:rsidR="001A093B" w:rsidRDefault="001A093B" w:rsidP="009A7158">
      <w:pPr>
        <w:pStyle w:val="ListParagraph"/>
        <w:numPr>
          <w:ilvl w:val="0"/>
          <w:numId w:val="41"/>
        </w:numPr>
        <w:spacing w:after="0"/>
        <w:ind w:left="360"/>
        <w:contextualSpacing w:val="0"/>
        <w:jc w:val="both"/>
        <w:rPr>
          <w:i/>
          <w:color w:val="000000"/>
        </w:rPr>
      </w:pPr>
      <w:r w:rsidRPr="00FE493A">
        <w:rPr>
          <w:b/>
          <w:i/>
          <w:color w:val="000000"/>
        </w:rPr>
        <w:t>Average district level education expenditures across Indonesia have increased from 27% of the total district budget (APBD) in 2006 to nearly 35% share in 2012</w:t>
      </w:r>
      <w:r w:rsidRPr="00FE493A">
        <w:rPr>
          <w:i/>
          <w:color w:val="000000"/>
        </w:rPr>
        <w:t xml:space="preserve">. </w:t>
      </w:r>
    </w:p>
    <w:p w:rsidR="001A093B" w:rsidRPr="00FE493A" w:rsidRDefault="001A093B" w:rsidP="009A7158">
      <w:pPr>
        <w:pStyle w:val="ListParagraph"/>
        <w:spacing w:after="120"/>
        <w:ind w:left="360"/>
        <w:contextualSpacing w:val="0"/>
        <w:jc w:val="both"/>
        <w:rPr>
          <w:i/>
          <w:color w:val="000000"/>
        </w:rPr>
      </w:pPr>
    </w:p>
    <w:p w:rsidR="001A093B" w:rsidRDefault="001A093B" w:rsidP="009A7158">
      <w:pPr>
        <w:pStyle w:val="ListParagraph"/>
        <w:numPr>
          <w:ilvl w:val="0"/>
          <w:numId w:val="41"/>
        </w:numPr>
        <w:spacing w:after="0"/>
        <w:ind w:left="360"/>
        <w:contextualSpacing w:val="0"/>
        <w:jc w:val="both"/>
        <w:rPr>
          <w:color w:val="000000"/>
        </w:rPr>
      </w:pPr>
      <w:r w:rsidRPr="00FE493A">
        <w:rPr>
          <w:b/>
          <w:i/>
          <w:color w:val="000000"/>
        </w:rPr>
        <w:t>Education expenditures at the district level rose from 31% in 2009 to 35% in 2012</w:t>
      </w:r>
      <w:r w:rsidRPr="00FE493A">
        <w:rPr>
          <w:color w:val="000000"/>
        </w:rPr>
        <w:t xml:space="preserve"> </w:t>
      </w:r>
    </w:p>
    <w:p w:rsidR="001A093B" w:rsidRPr="00FE493A" w:rsidRDefault="001A093B" w:rsidP="009A7158">
      <w:pPr>
        <w:pStyle w:val="ListParagraph"/>
        <w:spacing w:after="120"/>
        <w:ind w:left="360"/>
        <w:contextualSpacing w:val="0"/>
        <w:jc w:val="both"/>
        <w:rPr>
          <w:color w:val="000000"/>
        </w:rPr>
      </w:pPr>
      <w:r>
        <w:rPr>
          <w:color w:val="000000"/>
        </w:rPr>
        <w:t>T</w:t>
      </w:r>
      <w:r w:rsidRPr="00FE493A">
        <w:rPr>
          <w:color w:val="000000"/>
        </w:rPr>
        <w:t xml:space="preserve">his demonstrates that districts </w:t>
      </w:r>
      <w:r>
        <w:rPr>
          <w:color w:val="000000"/>
        </w:rPr>
        <w:t xml:space="preserve">have, </w:t>
      </w:r>
      <w:r w:rsidRPr="00FE493A">
        <w:rPr>
          <w:color w:val="000000"/>
        </w:rPr>
        <w:t>on average</w:t>
      </w:r>
      <w:r>
        <w:rPr>
          <w:color w:val="000000"/>
        </w:rPr>
        <w:t>,</w:t>
      </w:r>
      <w:r w:rsidRPr="00FE493A">
        <w:rPr>
          <w:color w:val="000000"/>
        </w:rPr>
        <w:t xml:space="preserve"> strengthened their commitment toward education spending during the period 2009-2012. </w:t>
      </w:r>
    </w:p>
    <w:p w:rsidR="001A093B" w:rsidRDefault="001A093B" w:rsidP="009A7158">
      <w:pPr>
        <w:pStyle w:val="ListParagraph"/>
        <w:numPr>
          <w:ilvl w:val="0"/>
          <w:numId w:val="41"/>
        </w:numPr>
        <w:spacing w:after="0"/>
        <w:ind w:left="360"/>
        <w:contextualSpacing w:val="0"/>
        <w:jc w:val="both"/>
      </w:pPr>
      <w:r w:rsidRPr="007B732E">
        <w:rPr>
          <w:b/>
          <w:i/>
        </w:rPr>
        <w:t>The lowest average share of budget allocation for education was found in Papua (16%) and Maluku island group (25%)</w:t>
      </w:r>
      <w:r w:rsidRPr="007B732E">
        <w:rPr>
          <w:i/>
        </w:rPr>
        <w:t>.</w:t>
      </w:r>
      <w:r>
        <w:t xml:space="preserve"> </w:t>
      </w:r>
    </w:p>
    <w:p w:rsidR="001A093B" w:rsidRDefault="001A093B" w:rsidP="009A7158">
      <w:pPr>
        <w:spacing w:line="276" w:lineRule="auto"/>
        <w:ind w:left="360"/>
        <w:jc w:val="both"/>
      </w:pPr>
      <w:r>
        <w:t>While Maluku has shown growth since 2010, Papua has dropped again from an 18% education share of district budgets in 2010 to 16% in 2012. The island groups of Sulawesi, Kalimantan and Maluku went in the opposite direction and posted annual increases in the education share of district expenditures in 2012.</w:t>
      </w:r>
    </w:p>
    <w:p w:rsidR="001A093B" w:rsidRDefault="001A093B" w:rsidP="009A7158">
      <w:pPr>
        <w:pStyle w:val="ListParagraph"/>
        <w:numPr>
          <w:ilvl w:val="0"/>
          <w:numId w:val="41"/>
        </w:numPr>
        <w:spacing w:after="0"/>
        <w:ind w:left="360"/>
        <w:contextualSpacing w:val="0"/>
        <w:jc w:val="both"/>
      </w:pPr>
      <w:r w:rsidRPr="00FE493A">
        <w:rPr>
          <w:b/>
          <w:i/>
        </w:rPr>
        <w:t>Nationally, there are 30 districts which allocated less than 15% of their total district budget (APBD) on education in 2012</w:t>
      </w:r>
      <w:r w:rsidRPr="00FE493A">
        <w:rPr>
          <w:b/>
        </w:rPr>
        <w:t>.</w:t>
      </w:r>
      <w:r>
        <w:t xml:space="preserve"> </w:t>
      </w:r>
    </w:p>
    <w:p w:rsidR="001A093B" w:rsidRDefault="001A093B" w:rsidP="009A7158">
      <w:pPr>
        <w:spacing w:line="276" w:lineRule="auto"/>
        <w:ind w:left="360"/>
        <w:jc w:val="both"/>
      </w:pPr>
      <w:r>
        <w:t>Of the 30 districts spending less than 15% of their budget on education, 22 are in the poorest quintile, and 17 of these are found in Papua.</w:t>
      </w:r>
    </w:p>
    <w:p w:rsidR="001A093B" w:rsidRDefault="001A093B" w:rsidP="009A7158">
      <w:pPr>
        <w:pStyle w:val="ListParagraph"/>
        <w:numPr>
          <w:ilvl w:val="0"/>
          <w:numId w:val="41"/>
        </w:numPr>
        <w:spacing w:after="0"/>
        <w:ind w:left="360"/>
        <w:contextualSpacing w:val="0"/>
        <w:jc w:val="both"/>
      </w:pPr>
      <w:r w:rsidRPr="00FE493A">
        <w:rPr>
          <w:b/>
          <w:i/>
        </w:rPr>
        <w:t>The poorest districts have consistently committed the lowest proportion of their budget towards education during the period 2006-2012</w:t>
      </w:r>
      <w:r>
        <w:rPr>
          <w:b/>
          <w:i/>
        </w:rPr>
        <w:t xml:space="preserve"> </w:t>
      </w:r>
      <w:r w:rsidRPr="00AE7FBF">
        <w:rPr>
          <w:b/>
          <w:i/>
        </w:rPr>
        <w:t>(average 31% in 2012)</w:t>
      </w:r>
      <w:r>
        <w:t>.</w:t>
      </w:r>
    </w:p>
    <w:p w:rsidR="001A093B" w:rsidRDefault="001A093B" w:rsidP="009A7158">
      <w:pPr>
        <w:pStyle w:val="ListParagraph"/>
        <w:spacing w:after="120"/>
        <w:ind w:left="360"/>
        <w:contextualSpacing w:val="0"/>
        <w:jc w:val="both"/>
      </w:pPr>
    </w:p>
    <w:p w:rsidR="001A093B" w:rsidRPr="00FE493A" w:rsidRDefault="001A093B" w:rsidP="009A7158">
      <w:pPr>
        <w:pStyle w:val="ListParagraph"/>
        <w:numPr>
          <w:ilvl w:val="0"/>
          <w:numId w:val="41"/>
        </w:numPr>
        <w:spacing w:after="0"/>
        <w:ind w:left="360"/>
        <w:contextualSpacing w:val="0"/>
        <w:jc w:val="both"/>
        <w:rPr>
          <w:color w:val="000000"/>
        </w:rPr>
      </w:pPr>
      <w:r w:rsidRPr="007B732E">
        <w:rPr>
          <w:b/>
          <w:i/>
        </w:rPr>
        <w:t xml:space="preserve">In 2012 nearly 100 districts (nearly 20%) </w:t>
      </w:r>
      <w:r>
        <w:rPr>
          <w:b/>
          <w:i/>
        </w:rPr>
        <w:t>posted</w:t>
      </w:r>
      <w:r w:rsidRPr="007B732E">
        <w:rPr>
          <w:b/>
          <w:i/>
        </w:rPr>
        <w:t xml:space="preserve"> a decline in the</w:t>
      </w:r>
      <w:r>
        <w:rPr>
          <w:b/>
          <w:i/>
        </w:rPr>
        <w:t>ir</w:t>
      </w:r>
      <w:r w:rsidRPr="007B732E">
        <w:rPr>
          <w:b/>
          <w:i/>
        </w:rPr>
        <w:t xml:space="preserve"> education budget.</w:t>
      </w:r>
      <w:r>
        <w:t xml:space="preserve"> </w:t>
      </w:r>
    </w:p>
    <w:p w:rsidR="001A093B" w:rsidRPr="007B732E" w:rsidRDefault="001A093B" w:rsidP="009A7158">
      <w:pPr>
        <w:spacing w:line="276" w:lineRule="auto"/>
        <w:ind w:left="360"/>
        <w:jc w:val="both"/>
        <w:rPr>
          <w:color w:val="000000"/>
        </w:rPr>
      </w:pPr>
      <w:r>
        <w:t xml:space="preserve">This is a marked deterioration from 2011, when only 22 districts posted a decline in their annual education budget allocation. </w:t>
      </w:r>
    </w:p>
    <w:p w:rsidR="001A093B" w:rsidRPr="00FE493A" w:rsidRDefault="001A093B" w:rsidP="009A7158">
      <w:pPr>
        <w:pStyle w:val="ListParagraph"/>
        <w:numPr>
          <w:ilvl w:val="0"/>
          <w:numId w:val="41"/>
        </w:numPr>
        <w:spacing w:after="0"/>
        <w:ind w:left="360"/>
        <w:contextualSpacing w:val="0"/>
        <w:jc w:val="both"/>
        <w:rPr>
          <w:color w:val="000000"/>
        </w:rPr>
      </w:pPr>
      <w:r w:rsidRPr="007B732E">
        <w:rPr>
          <w:b/>
          <w:i/>
        </w:rPr>
        <w:t>The problem of contracting education budgets is focused on Papua</w:t>
      </w:r>
      <w:r>
        <w:t xml:space="preserve">. </w:t>
      </w:r>
    </w:p>
    <w:p w:rsidR="001A093B" w:rsidRPr="00FE493A" w:rsidRDefault="001A093B" w:rsidP="009A7158">
      <w:pPr>
        <w:spacing w:line="276" w:lineRule="auto"/>
        <w:ind w:left="360"/>
        <w:jc w:val="both"/>
        <w:rPr>
          <w:color w:val="000000"/>
        </w:rPr>
      </w:pPr>
      <w:r>
        <w:lastRenderedPageBreak/>
        <w:t>T</w:t>
      </w:r>
      <w:r w:rsidRPr="00FE493A">
        <w:rPr>
          <w:color w:val="000000"/>
        </w:rPr>
        <w:t xml:space="preserve">wenty </w:t>
      </w:r>
      <w:r>
        <w:rPr>
          <w:color w:val="000000"/>
        </w:rPr>
        <w:t xml:space="preserve">of the 31 </w:t>
      </w:r>
      <w:r w:rsidRPr="00FE493A">
        <w:rPr>
          <w:color w:val="000000"/>
        </w:rPr>
        <w:t>districts recording a decline in nominal annual district education expenditure</w:t>
      </w:r>
      <w:r>
        <w:rPr>
          <w:color w:val="000000"/>
        </w:rPr>
        <w:t xml:space="preserve"> </w:t>
      </w:r>
      <w:r w:rsidRPr="00FE493A">
        <w:rPr>
          <w:color w:val="000000"/>
        </w:rPr>
        <w:t>are located in Papua.</w:t>
      </w:r>
    </w:p>
    <w:p w:rsidR="001A093B" w:rsidRDefault="001A093B" w:rsidP="009A7158">
      <w:pPr>
        <w:pStyle w:val="ListParagraph"/>
        <w:numPr>
          <w:ilvl w:val="0"/>
          <w:numId w:val="41"/>
        </w:numPr>
        <w:spacing w:after="0"/>
        <w:ind w:left="360"/>
        <w:contextualSpacing w:val="0"/>
        <w:jc w:val="both"/>
        <w:rPr>
          <w:color w:val="000000"/>
        </w:rPr>
      </w:pPr>
      <w:r w:rsidRPr="00FE493A">
        <w:rPr>
          <w:b/>
          <w:i/>
          <w:color w:val="000000"/>
        </w:rPr>
        <w:t>Average district expenditure per student across the country grew but not as strongly as for 2011</w:t>
      </w:r>
      <w:r w:rsidRPr="00FE493A">
        <w:rPr>
          <w:color w:val="000000"/>
        </w:rPr>
        <w:t xml:space="preserve">. </w:t>
      </w:r>
    </w:p>
    <w:p w:rsidR="001A093B" w:rsidRPr="00FE493A" w:rsidRDefault="001A093B" w:rsidP="009A7158">
      <w:pPr>
        <w:spacing w:line="276" w:lineRule="auto"/>
        <w:ind w:left="360"/>
        <w:jc w:val="both"/>
        <w:rPr>
          <w:color w:val="000000"/>
        </w:rPr>
      </w:pPr>
      <w:r w:rsidRPr="00FE493A">
        <w:rPr>
          <w:color w:val="000000"/>
        </w:rPr>
        <w:t>Average education expenditure per student has grown to Rp. 3.1 million in 2012, from an average Rp. 2.8 million in 2011. Highest allocations per student are found in the poorest districts (quintile 5) at an average Rp. 3.4 million per student.</w:t>
      </w:r>
    </w:p>
    <w:p w:rsidR="001A093B" w:rsidRDefault="001A093B" w:rsidP="009A7158">
      <w:pPr>
        <w:pStyle w:val="ListParagraph"/>
        <w:numPr>
          <w:ilvl w:val="0"/>
          <w:numId w:val="41"/>
        </w:numPr>
        <w:spacing w:after="0"/>
        <w:ind w:left="360"/>
        <w:contextualSpacing w:val="0"/>
        <w:jc w:val="both"/>
      </w:pPr>
      <w:r w:rsidRPr="00FE493A">
        <w:rPr>
          <w:b/>
          <w:i/>
        </w:rPr>
        <w:t>The most striking aspect of the breakdown of per student expenditure is that the Papua island group declines in the annual per student allocation for education in 2012</w:t>
      </w:r>
      <w:r w:rsidRPr="00FE493A">
        <w:rPr>
          <w:b/>
        </w:rPr>
        <w:t>.</w:t>
      </w:r>
      <w:r>
        <w:t xml:space="preserve"> </w:t>
      </w:r>
    </w:p>
    <w:p w:rsidR="001A093B" w:rsidRPr="008B79C4" w:rsidRDefault="001A093B" w:rsidP="009A7158">
      <w:pPr>
        <w:spacing w:line="276" w:lineRule="auto"/>
        <w:ind w:left="360"/>
        <w:jc w:val="both"/>
      </w:pPr>
      <w:r>
        <w:t>In Papua, per student allocations for education drop 12% from Rp. 6.26 million in 2011 to Rp. 5.48 million in 2012.</w:t>
      </w:r>
    </w:p>
    <w:p w:rsidR="001A093B" w:rsidRDefault="001A093B" w:rsidP="009A7158">
      <w:pPr>
        <w:pStyle w:val="ListParagraph"/>
        <w:numPr>
          <w:ilvl w:val="0"/>
          <w:numId w:val="41"/>
        </w:numPr>
        <w:spacing w:after="0"/>
        <w:ind w:left="360"/>
        <w:contextualSpacing w:val="0"/>
        <w:jc w:val="both"/>
      </w:pPr>
      <w:r w:rsidRPr="00FE493A">
        <w:rPr>
          <w:b/>
          <w:i/>
        </w:rPr>
        <w:t>To achieve better learning outcomes across the poorest districts, the district governments in poorest districts will need to grow their education spending more quickly and drive a stronger ‘equity slope’ in education funding distribution.</w:t>
      </w:r>
      <w:r>
        <w:t xml:space="preserve"> </w:t>
      </w:r>
    </w:p>
    <w:p w:rsidR="001A093B" w:rsidRDefault="001A093B" w:rsidP="009A7158">
      <w:pPr>
        <w:spacing w:line="276" w:lineRule="auto"/>
        <w:ind w:left="360"/>
        <w:jc w:val="both"/>
      </w:pPr>
      <w:r>
        <w:t xml:space="preserve">During the four year period 2008-2011, Indonesia displayed overall growth in per student expenditures, with a linear trend for greater expenditures in the poorest districts. In 2012 the slope of this equity spending was halted, with slower growth in the poorest districts. </w:t>
      </w:r>
    </w:p>
    <w:p w:rsidR="001A093B" w:rsidRDefault="001A093B" w:rsidP="009A7158">
      <w:pPr>
        <w:pStyle w:val="ListParagraph"/>
        <w:numPr>
          <w:ilvl w:val="0"/>
          <w:numId w:val="41"/>
        </w:numPr>
        <w:spacing w:after="0"/>
        <w:ind w:left="360"/>
        <w:contextualSpacing w:val="0"/>
        <w:jc w:val="both"/>
      </w:pPr>
      <w:r w:rsidRPr="007B732E">
        <w:rPr>
          <w:b/>
          <w:i/>
        </w:rPr>
        <w:t>In 2012, the BOS grants have increased as a proportion of the district education budget (up to 14%)</w:t>
      </w:r>
      <w:r>
        <w:t xml:space="preserve">. </w:t>
      </w:r>
    </w:p>
    <w:p w:rsidR="001A093B" w:rsidRDefault="001A093B" w:rsidP="009A7158">
      <w:pPr>
        <w:spacing w:line="276" w:lineRule="auto"/>
        <w:ind w:left="360"/>
        <w:jc w:val="both"/>
      </w:pPr>
      <w:r>
        <w:t xml:space="preserve">This outcome is a result of slower growth in the district education budget, and an increase in the value of the BOS grants themselves. </w:t>
      </w:r>
      <w:r w:rsidRPr="00E36E0A">
        <w:t>The per-pupil BOS allocation has increased from Rp 397,000 to Rp 580,000</w:t>
      </w:r>
      <w:r>
        <w:t xml:space="preserve"> per primary student and from R</w:t>
      </w:r>
      <w:r w:rsidR="00837A39">
        <w:t>p</w:t>
      </w:r>
      <w:r>
        <w:t>. 570,000 to R</w:t>
      </w:r>
      <w:r w:rsidR="00837A39">
        <w:t>p</w:t>
      </w:r>
      <w:r>
        <w:t>.</w:t>
      </w:r>
      <w:r w:rsidRPr="00E36E0A">
        <w:t xml:space="preserve"> 710,000 per junior secondary student per year in 2012.</w:t>
      </w:r>
    </w:p>
    <w:p w:rsidR="001A093B" w:rsidRPr="00FE493A" w:rsidRDefault="001A093B" w:rsidP="009A7158">
      <w:pPr>
        <w:pStyle w:val="ListParagraph"/>
        <w:numPr>
          <w:ilvl w:val="0"/>
          <w:numId w:val="41"/>
        </w:numPr>
        <w:spacing w:after="0"/>
        <w:ind w:left="360"/>
        <w:contextualSpacing w:val="0"/>
        <w:jc w:val="both"/>
      </w:pPr>
      <w:r w:rsidRPr="00FE493A">
        <w:rPr>
          <w:b/>
          <w:i/>
        </w:rPr>
        <w:t>There were six districts in 2012 that meet Critical Education Funding Status (CEFS) criteria compared to 2011 (2 districts), 2010(12 districts) and 2009 (16 districts)</w:t>
      </w:r>
      <w:r w:rsidRPr="00FE493A">
        <w:rPr>
          <w:b/>
        </w:rPr>
        <w:t xml:space="preserve">. </w:t>
      </w:r>
    </w:p>
    <w:p w:rsidR="001A093B" w:rsidRDefault="001A093B" w:rsidP="009A7158">
      <w:pPr>
        <w:spacing w:line="276" w:lineRule="auto"/>
        <w:ind w:left="360"/>
        <w:jc w:val="both"/>
      </w:pPr>
      <w:r w:rsidRPr="00B07268">
        <w:t xml:space="preserve">The CEFS diagnostic tool </w:t>
      </w:r>
      <w:r w:rsidR="00045BD1">
        <w:t xml:space="preserve">developed by the ASFR </w:t>
      </w:r>
      <w:r w:rsidRPr="00B07268">
        <w:t xml:space="preserve">identifies districts that have (i) low expenditure per student, (ii) small education share of the district budget, and (iii) weak annual growth in their education budget. </w:t>
      </w:r>
    </w:p>
    <w:p w:rsidR="001A093B" w:rsidRDefault="001A093B" w:rsidP="009A7158">
      <w:pPr>
        <w:spacing w:line="276" w:lineRule="auto"/>
        <w:jc w:val="both"/>
        <w:rPr>
          <w:rFonts w:eastAsia="Calibri" w:cstheme="minorHAnsi"/>
        </w:rPr>
        <w:sectPr w:rsidR="001A093B" w:rsidSect="004B7458">
          <w:headerReference w:type="first" r:id="rId94"/>
          <w:footerReference w:type="first" r:id="rId95"/>
          <w:footnotePr>
            <w:numRestart w:val="eachSect"/>
          </w:footnotePr>
          <w:pgSz w:w="11909" w:h="16834" w:code="9"/>
          <w:pgMar w:top="357" w:right="1440" w:bottom="1304" w:left="1440" w:header="431" w:footer="425" w:gutter="0"/>
          <w:cols w:space="720"/>
          <w:titlePg/>
          <w:docGrid w:linePitch="360"/>
        </w:sectPr>
      </w:pPr>
    </w:p>
    <w:p w:rsidR="00461F4F" w:rsidRPr="00864378" w:rsidRDefault="00461F4F" w:rsidP="001A3FC6">
      <w:pPr>
        <w:pStyle w:val="Caption"/>
        <w:rPr>
          <w:rStyle w:val="Strong"/>
          <w:b/>
          <w:bCs w:val="0"/>
        </w:rPr>
      </w:pPr>
      <w:bookmarkStart w:id="125" w:name="_Toc381604832"/>
      <w:r w:rsidRPr="00864378">
        <w:rPr>
          <w:rStyle w:val="Strong"/>
          <w:b/>
          <w:bCs w:val="0"/>
        </w:rPr>
        <w:lastRenderedPageBreak/>
        <w:t xml:space="preserve">Table </w:t>
      </w:r>
      <w:r w:rsidR="001A3FC6">
        <w:rPr>
          <w:rStyle w:val="Strong"/>
          <w:b/>
          <w:bCs w:val="0"/>
        </w:rPr>
        <w:t>2</w:t>
      </w:r>
      <w:r w:rsidRPr="00864378">
        <w:rPr>
          <w:rStyle w:val="Strong"/>
          <w:b/>
          <w:bCs w:val="0"/>
        </w:rPr>
        <w:t xml:space="preserve">: Progress against </w:t>
      </w:r>
      <w:r w:rsidR="00790BC1" w:rsidRPr="00864378">
        <w:rPr>
          <w:rStyle w:val="Strong"/>
          <w:b/>
          <w:bCs w:val="0"/>
        </w:rPr>
        <w:t>Key Indicators</w:t>
      </w:r>
      <w:bookmarkEnd w:id="1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280"/>
        <w:gridCol w:w="3088"/>
        <w:gridCol w:w="1081"/>
        <w:gridCol w:w="1698"/>
        <w:gridCol w:w="1082"/>
        <w:gridCol w:w="4941"/>
      </w:tblGrid>
      <w:tr w:rsidR="009B6D6D" w:rsidRPr="0038463D" w:rsidTr="009B6D6D">
        <w:trPr>
          <w:tblHeader/>
          <w:jc w:val="center"/>
        </w:trPr>
        <w:tc>
          <w:tcPr>
            <w:tcW w:w="2280" w:type="dxa"/>
            <w:tcBorders>
              <w:top w:val="single" w:sz="12" w:space="0" w:color="auto"/>
              <w:left w:val="single" w:sz="12" w:space="0" w:color="auto"/>
              <w:right w:val="single" w:sz="4" w:space="0" w:color="FFFFFF" w:themeColor="background1"/>
            </w:tcBorders>
            <w:shd w:val="clear" w:color="auto" w:fill="003880"/>
            <w:vAlign w:val="center"/>
          </w:tcPr>
          <w:p w:rsidR="009B6D6D" w:rsidRPr="0038463D" w:rsidRDefault="009B6D6D" w:rsidP="009B6D6D">
            <w:pPr>
              <w:spacing w:after="0"/>
              <w:jc w:val="center"/>
              <w:rPr>
                <w:rFonts w:asciiTheme="minorHAnsi" w:hAnsiTheme="minorHAnsi"/>
                <w:b/>
                <w:bCs/>
                <w:iCs/>
                <w:color w:val="FFFFFF" w:themeColor="background1"/>
                <w:sz w:val="20"/>
                <w:szCs w:val="20"/>
                <w:lang w:val="en-AU"/>
              </w:rPr>
            </w:pPr>
            <w:r w:rsidRPr="0038463D">
              <w:rPr>
                <w:rFonts w:asciiTheme="minorHAnsi" w:hAnsiTheme="minorHAnsi"/>
                <w:b/>
                <w:bCs/>
                <w:iCs/>
                <w:color w:val="FFFFFF" w:themeColor="background1"/>
                <w:sz w:val="20"/>
                <w:szCs w:val="20"/>
                <w:lang w:val="en-AU"/>
              </w:rPr>
              <w:t>INDICATOR</w:t>
            </w:r>
          </w:p>
        </w:tc>
        <w:tc>
          <w:tcPr>
            <w:tcW w:w="3088" w:type="dxa"/>
            <w:tcBorders>
              <w:top w:val="single" w:sz="12" w:space="0" w:color="auto"/>
              <w:left w:val="single" w:sz="4" w:space="0" w:color="FFFFFF" w:themeColor="background1"/>
              <w:right w:val="single" w:sz="4" w:space="0" w:color="FFFFFF" w:themeColor="background1"/>
            </w:tcBorders>
            <w:shd w:val="clear" w:color="auto" w:fill="003880"/>
            <w:vAlign w:val="center"/>
          </w:tcPr>
          <w:p w:rsidR="009B6D6D" w:rsidRPr="0038463D" w:rsidRDefault="009B6D6D" w:rsidP="009B6D6D">
            <w:pPr>
              <w:spacing w:after="0"/>
              <w:jc w:val="center"/>
              <w:rPr>
                <w:rFonts w:asciiTheme="minorHAnsi" w:hAnsiTheme="minorHAnsi"/>
                <w:b/>
                <w:bCs/>
                <w:iCs/>
                <w:color w:val="FFFFFF" w:themeColor="background1"/>
                <w:sz w:val="20"/>
                <w:szCs w:val="20"/>
                <w:lang w:val="en-AU"/>
              </w:rPr>
            </w:pPr>
            <w:r w:rsidRPr="0038463D">
              <w:rPr>
                <w:rFonts w:asciiTheme="minorHAnsi" w:hAnsiTheme="minorHAnsi"/>
                <w:b/>
                <w:bCs/>
                <w:iCs/>
                <w:color w:val="FFFFFF" w:themeColor="background1"/>
                <w:sz w:val="20"/>
                <w:szCs w:val="20"/>
                <w:lang w:val="en-AU"/>
              </w:rPr>
              <w:t>DESCRIPTION</w:t>
            </w:r>
          </w:p>
        </w:tc>
        <w:tc>
          <w:tcPr>
            <w:tcW w:w="1081" w:type="dxa"/>
            <w:tcBorders>
              <w:top w:val="single" w:sz="12" w:space="0" w:color="auto"/>
              <w:left w:val="single" w:sz="4" w:space="0" w:color="FFFFFF" w:themeColor="background1"/>
              <w:right w:val="single" w:sz="4" w:space="0" w:color="FFFFFF" w:themeColor="background1"/>
            </w:tcBorders>
            <w:shd w:val="clear" w:color="auto" w:fill="003880"/>
            <w:vAlign w:val="center"/>
          </w:tcPr>
          <w:p w:rsidR="009B6D6D" w:rsidRPr="0038463D" w:rsidRDefault="009B6D6D" w:rsidP="009B6D6D">
            <w:pPr>
              <w:spacing w:after="0"/>
              <w:jc w:val="center"/>
              <w:rPr>
                <w:rFonts w:asciiTheme="minorHAnsi" w:hAnsiTheme="minorHAnsi"/>
                <w:b/>
                <w:bCs/>
                <w:iCs/>
                <w:color w:val="FFFFFF" w:themeColor="background1"/>
                <w:sz w:val="20"/>
                <w:szCs w:val="20"/>
                <w:lang w:val="en-AU"/>
              </w:rPr>
            </w:pPr>
            <w:r w:rsidRPr="0038463D">
              <w:rPr>
                <w:rFonts w:asciiTheme="minorHAnsi" w:hAnsiTheme="minorHAnsi"/>
                <w:b/>
                <w:bCs/>
                <w:iCs/>
                <w:color w:val="FFFFFF" w:themeColor="background1"/>
                <w:sz w:val="20"/>
                <w:szCs w:val="20"/>
                <w:lang w:val="en-AU"/>
              </w:rPr>
              <w:t>LEVEL</w:t>
            </w:r>
          </w:p>
        </w:tc>
        <w:tc>
          <w:tcPr>
            <w:tcW w:w="1698" w:type="dxa"/>
            <w:tcBorders>
              <w:top w:val="single" w:sz="12" w:space="0" w:color="auto"/>
              <w:left w:val="single" w:sz="4" w:space="0" w:color="FFFFFF" w:themeColor="background1"/>
              <w:right w:val="single" w:sz="4" w:space="0" w:color="FFFFFF" w:themeColor="background1"/>
            </w:tcBorders>
            <w:shd w:val="clear" w:color="auto" w:fill="003880"/>
            <w:vAlign w:val="center"/>
          </w:tcPr>
          <w:p w:rsidR="009B6D6D" w:rsidRPr="0038463D" w:rsidRDefault="009B6D6D" w:rsidP="009B6D6D">
            <w:pPr>
              <w:spacing w:after="0"/>
              <w:jc w:val="center"/>
              <w:rPr>
                <w:rFonts w:asciiTheme="minorHAnsi" w:hAnsiTheme="minorHAnsi"/>
                <w:b/>
                <w:bCs/>
                <w:iCs/>
                <w:color w:val="FFFFFF" w:themeColor="background1"/>
                <w:sz w:val="20"/>
                <w:szCs w:val="20"/>
                <w:lang w:val="en-AU"/>
              </w:rPr>
            </w:pPr>
            <w:r w:rsidRPr="0038463D">
              <w:rPr>
                <w:rFonts w:asciiTheme="minorHAnsi" w:hAnsiTheme="minorHAnsi"/>
                <w:b/>
                <w:bCs/>
                <w:iCs/>
                <w:color w:val="FFFFFF" w:themeColor="background1"/>
                <w:sz w:val="20"/>
                <w:szCs w:val="20"/>
                <w:lang w:val="en-AU"/>
              </w:rPr>
              <w:t>RELATED GOAL</w:t>
            </w:r>
          </w:p>
        </w:tc>
        <w:tc>
          <w:tcPr>
            <w:tcW w:w="1082" w:type="dxa"/>
            <w:tcBorders>
              <w:top w:val="single" w:sz="12" w:space="0" w:color="auto"/>
              <w:left w:val="single" w:sz="4" w:space="0" w:color="FFFFFF" w:themeColor="background1"/>
              <w:right w:val="single" w:sz="4" w:space="0" w:color="FFFFFF" w:themeColor="background1"/>
            </w:tcBorders>
            <w:shd w:val="clear" w:color="auto" w:fill="003880"/>
            <w:vAlign w:val="center"/>
          </w:tcPr>
          <w:p w:rsidR="009B6D6D" w:rsidRPr="0038463D" w:rsidRDefault="009B6D6D" w:rsidP="009B6D6D">
            <w:pPr>
              <w:spacing w:after="0"/>
              <w:jc w:val="center"/>
              <w:rPr>
                <w:rFonts w:asciiTheme="minorHAnsi" w:hAnsiTheme="minorHAnsi"/>
                <w:b/>
                <w:bCs/>
                <w:iCs/>
                <w:color w:val="FFFFFF" w:themeColor="background1"/>
                <w:sz w:val="20"/>
                <w:szCs w:val="20"/>
                <w:lang w:val="en-AU"/>
              </w:rPr>
            </w:pPr>
            <w:r w:rsidRPr="0038463D">
              <w:rPr>
                <w:rFonts w:asciiTheme="minorHAnsi" w:hAnsiTheme="minorHAnsi"/>
                <w:b/>
                <w:bCs/>
                <w:iCs/>
                <w:color w:val="FFFFFF" w:themeColor="background1"/>
                <w:sz w:val="20"/>
                <w:szCs w:val="20"/>
                <w:lang w:val="en-AU"/>
              </w:rPr>
              <w:t>RESULT</w:t>
            </w:r>
          </w:p>
        </w:tc>
        <w:tc>
          <w:tcPr>
            <w:tcW w:w="4941" w:type="dxa"/>
            <w:tcBorders>
              <w:top w:val="single" w:sz="12" w:space="0" w:color="auto"/>
              <w:left w:val="single" w:sz="4" w:space="0" w:color="FFFFFF" w:themeColor="background1"/>
              <w:right w:val="single" w:sz="12" w:space="0" w:color="auto"/>
            </w:tcBorders>
            <w:shd w:val="clear" w:color="auto" w:fill="003880"/>
            <w:vAlign w:val="center"/>
          </w:tcPr>
          <w:p w:rsidR="009B6D6D" w:rsidRPr="0038463D" w:rsidRDefault="009B6D6D" w:rsidP="009B6D6D">
            <w:pPr>
              <w:spacing w:after="0"/>
              <w:jc w:val="center"/>
              <w:rPr>
                <w:rFonts w:asciiTheme="minorHAnsi" w:hAnsiTheme="minorHAnsi"/>
                <w:b/>
                <w:bCs/>
                <w:iCs/>
                <w:color w:val="FFFFFF" w:themeColor="background1"/>
                <w:sz w:val="20"/>
                <w:szCs w:val="20"/>
                <w:lang w:val="en-AU"/>
              </w:rPr>
            </w:pPr>
            <w:r w:rsidRPr="0038463D">
              <w:rPr>
                <w:rFonts w:asciiTheme="minorHAnsi" w:hAnsiTheme="minorHAnsi"/>
                <w:b/>
                <w:bCs/>
                <w:iCs/>
                <w:color w:val="FFFFFF" w:themeColor="background1"/>
                <w:sz w:val="20"/>
                <w:szCs w:val="20"/>
                <w:lang w:val="en-AU"/>
              </w:rPr>
              <w:t>COMMENT AND IMPLICATIONS</w:t>
            </w:r>
          </w:p>
        </w:tc>
      </w:tr>
      <w:tr w:rsidR="009B6D6D" w:rsidRPr="0038463D" w:rsidTr="009B6D6D">
        <w:trPr>
          <w:jc w:val="center"/>
        </w:trPr>
        <w:tc>
          <w:tcPr>
            <w:tcW w:w="2280" w:type="dxa"/>
            <w:tcBorders>
              <w:left w:val="single" w:sz="12" w:space="0" w:color="auto"/>
            </w:tcBorders>
            <w:vAlign w:val="center"/>
          </w:tcPr>
          <w:p w:rsidR="009B6D6D" w:rsidRPr="0038463D" w:rsidRDefault="009B6D6D" w:rsidP="009B6D6D">
            <w:pPr>
              <w:spacing w:after="0"/>
              <w:rPr>
                <w:rFonts w:asciiTheme="minorHAnsi" w:hAnsiTheme="minorHAnsi"/>
                <w:sz w:val="20"/>
                <w:szCs w:val="20"/>
                <w:lang w:val="en-AU"/>
              </w:rPr>
            </w:pPr>
            <w:r w:rsidRPr="0038463D">
              <w:rPr>
                <w:rFonts w:asciiTheme="minorHAnsi" w:hAnsiTheme="minorHAnsi"/>
                <w:sz w:val="20"/>
                <w:szCs w:val="20"/>
                <w:lang w:val="en-AU"/>
              </w:rPr>
              <w:t>KPI 1</w:t>
            </w:r>
          </w:p>
          <w:p w:rsidR="009B6D6D" w:rsidRPr="0038463D" w:rsidRDefault="009B6D6D" w:rsidP="009B6D6D">
            <w:pPr>
              <w:spacing w:after="0"/>
              <w:rPr>
                <w:rFonts w:asciiTheme="minorHAnsi" w:hAnsiTheme="minorHAnsi"/>
                <w:sz w:val="20"/>
                <w:szCs w:val="20"/>
                <w:lang w:val="en-AU"/>
              </w:rPr>
            </w:pPr>
            <w:r w:rsidRPr="0038463D">
              <w:rPr>
                <w:rFonts w:asciiTheme="minorHAnsi" w:hAnsiTheme="minorHAnsi"/>
                <w:sz w:val="20"/>
                <w:szCs w:val="20"/>
                <w:lang w:val="en-AU"/>
              </w:rPr>
              <w:t>Share of public expenditure</w:t>
            </w:r>
          </w:p>
        </w:tc>
        <w:tc>
          <w:tcPr>
            <w:tcW w:w="3088" w:type="dxa"/>
            <w:vAlign w:val="center"/>
          </w:tcPr>
          <w:p w:rsidR="009B6D6D" w:rsidRPr="0038463D" w:rsidRDefault="009B6D6D" w:rsidP="009B6D6D">
            <w:pPr>
              <w:spacing w:after="0"/>
              <w:rPr>
                <w:rFonts w:asciiTheme="minorHAnsi" w:hAnsiTheme="minorHAnsi"/>
                <w:sz w:val="20"/>
                <w:szCs w:val="20"/>
                <w:lang w:val="en-AU"/>
              </w:rPr>
            </w:pPr>
            <w:r w:rsidRPr="0038463D">
              <w:rPr>
                <w:rFonts w:asciiTheme="minorHAnsi" w:hAnsiTheme="minorHAnsi"/>
                <w:sz w:val="20"/>
                <w:szCs w:val="20"/>
                <w:lang w:val="en-AU"/>
              </w:rPr>
              <w:t>Public expenditure on education as percentage of total public expenditure</w:t>
            </w:r>
            <w:r>
              <w:rPr>
                <w:rFonts w:asciiTheme="minorHAnsi" w:hAnsiTheme="minorHAnsi"/>
                <w:sz w:val="20"/>
                <w:szCs w:val="20"/>
                <w:lang w:val="en-AU"/>
              </w:rPr>
              <w:t xml:space="preserve"> </w:t>
            </w:r>
            <w:r w:rsidRPr="0038463D">
              <w:rPr>
                <w:rFonts w:asciiTheme="minorHAnsi" w:hAnsiTheme="minorHAnsi"/>
                <w:sz w:val="20"/>
                <w:szCs w:val="20"/>
                <w:lang w:val="en-AU"/>
              </w:rPr>
              <w:t>(covers MoEC and MoRA expenditure)</w:t>
            </w:r>
          </w:p>
        </w:tc>
        <w:tc>
          <w:tcPr>
            <w:tcW w:w="1081" w:type="dxa"/>
            <w:vAlign w:val="center"/>
          </w:tcPr>
          <w:p w:rsidR="009B6D6D" w:rsidRPr="0038463D" w:rsidRDefault="009B6D6D" w:rsidP="009B6D6D">
            <w:pPr>
              <w:spacing w:after="0"/>
              <w:jc w:val="center"/>
              <w:rPr>
                <w:rFonts w:asciiTheme="minorHAnsi" w:hAnsiTheme="minorHAnsi"/>
                <w:sz w:val="20"/>
                <w:szCs w:val="20"/>
                <w:lang w:val="en-AU"/>
              </w:rPr>
            </w:pPr>
            <w:r w:rsidRPr="0038463D">
              <w:rPr>
                <w:rFonts w:asciiTheme="minorHAnsi" w:hAnsiTheme="minorHAnsi"/>
                <w:sz w:val="20"/>
                <w:szCs w:val="20"/>
                <w:lang w:val="en-AU"/>
              </w:rPr>
              <w:t>National</w:t>
            </w:r>
          </w:p>
        </w:tc>
        <w:tc>
          <w:tcPr>
            <w:tcW w:w="1698" w:type="dxa"/>
            <w:vAlign w:val="center"/>
          </w:tcPr>
          <w:p w:rsidR="009B6D6D" w:rsidRPr="0038463D" w:rsidRDefault="009B6D6D" w:rsidP="009B6D6D">
            <w:pPr>
              <w:spacing w:after="0"/>
              <w:jc w:val="center"/>
              <w:rPr>
                <w:rFonts w:asciiTheme="minorHAnsi" w:hAnsiTheme="minorHAnsi"/>
                <w:sz w:val="20"/>
                <w:szCs w:val="20"/>
                <w:lang w:val="en-AU"/>
              </w:rPr>
            </w:pPr>
            <w:r w:rsidRPr="0038463D">
              <w:rPr>
                <w:rFonts w:asciiTheme="minorHAnsi" w:hAnsiTheme="minorHAnsi"/>
                <w:sz w:val="20"/>
                <w:szCs w:val="20"/>
                <w:lang w:val="en-AU"/>
              </w:rPr>
              <w:t>Government commitment</w:t>
            </w:r>
          </w:p>
        </w:tc>
        <w:tc>
          <w:tcPr>
            <w:tcW w:w="1082" w:type="dxa"/>
            <w:shd w:val="clear" w:color="auto" w:fill="92D050"/>
            <w:vAlign w:val="center"/>
          </w:tcPr>
          <w:p w:rsidR="009B6D6D" w:rsidRPr="0038463D" w:rsidRDefault="009B6D6D" w:rsidP="009B6D6D">
            <w:pPr>
              <w:spacing w:after="0"/>
              <w:jc w:val="center"/>
              <w:rPr>
                <w:rFonts w:asciiTheme="minorHAnsi" w:hAnsiTheme="minorHAnsi"/>
                <w:bCs/>
                <w:iCs/>
                <w:sz w:val="20"/>
                <w:szCs w:val="20"/>
                <w:lang w:val="en-AU"/>
              </w:rPr>
            </w:pPr>
            <w:r w:rsidRPr="0038463D">
              <w:rPr>
                <w:rFonts w:asciiTheme="minorHAnsi" w:hAnsiTheme="minorHAnsi"/>
                <w:bCs/>
                <w:iCs/>
                <w:sz w:val="20"/>
                <w:szCs w:val="20"/>
                <w:lang w:val="en-AU"/>
              </w:rPr>
              <w:t>Positive</w:t>
            </w:r>
          </w:p>
        </w:tc>
        <w:tc>
          <w:tcPr>
            <w:tcW w:w="4941" w:type="dxa"/>
            <w:tcBorders>
              <w:right w:val="single" w:sz="12" w:space="0" w:color="auto"/>
            </w:tcBorders>
            <w:vAlign w:val="center"/>
          </w:tcPr>
          <w:p w:rsidR="009B6D6D" w:rsidRPr="0038463D" w:rsidRDefault="009B6D6D" w:rsidP="009B6D6D">
            <w:pPr>
              <w:spacing w:after="0"/>
              <w:rPr>
                <w:rFonts w:asciiTheme="minorHAnsi" w:hAnsiTheme="minorHAnsi"/>
                <w:sz w:val="20"/>
                <w:szCs w:val="20"/>
                <w:lang w:val="en-AU"/>
              </w:rPr>
            </w:pPr>
            <w:r w:rsidRPr="0038463D">
              <w:rPr>
                <w:rFonts w:asciiTheme="minorHAnsi" w:hAnsiTheme="minorHAnsi"/>
                <w:b/>
                <w:sz w:val="20"/>
                <w:szCs w:val="20"/>
                <w:lang w:val="en-AU"/>
              </w:rPr>
              <w:t>Comment:</w:t>
            </w:r>
            <w:r w:rsidRPr="0038463D">
              <w:rPr>
                <w:rFonts w:asciiTheme="minorHAnsi" w:hAnsiTheme="minorHAnsi"/>
                <w:sz w:val="20"/>
                <w:szCs w:val="20"/>
                <w:lang w:val="en-AU"/>
              </w:rPr>
              <w:t xml:space="preserve"> Significant growth in allocations as proportion of national expenditure, from 12% 2001 (12%) to 20% by 2012.</w:t>
            </w:r>
            <w:r>
              <w:rPr>
                <w:rFonts w:asciiTheme="minorHAnsi" w:hAnsiTheme="minorHAnsi"/>
                <w:sz w:val="20"/>
                <w:szCs w:val="20"/>
                <w:lang w:val="en-AU"/>
              </w:rPr>
              <w:t xml:space="preserve"> </w:t>
            </w:r>
          </w:p>
          <w:p w:rsidR="009B6D6D" w:rsidRPr="0038463D" w:rsidRDefault="009B6D6D" w:rsidP="009B6D6D">
            <w:pPr>
              <w:spacing w:after="0"/>
              <w:rPr>
                <w:rFonts w:asciiTheme="minorHAnsi" w:hAnsiTheme="minorHAnsi"/>
                <w:sz w:val="20"/>
                <w:szCs w:val="20"/>
                <w:lang w:val="en-AU"/>
              </w:rPr>
            </w:pPr>
            <w:r w:rsidRPr="0038463D">
              <w:rPr>
                <w:rFonts w:asciiTheme="minorHAnsi" w:hAnsiTheme="minorHAnsi"/>
                <w:b/>
                <w:sz w:val="20"/>
                <w:szCs w:val="20"/>
                <w:lang w:val="en-AU"/>
              </w:rPr>
              <w:t xml:space="preserve">Implications: </w:t>
            </w:r>
            <w:r w:rsidRPr="0038463D">
              <w:rPr>
                <w:rFonts w:asciiTheme="minorHAnsi" w:hAnsiTheme="minorHAnsi"/>
                <w:sz w:val="20"/>
                <w:szCs w:val="20"/>
                <w:lang w:val="en-AU"/>
              </w:rPr>
              <w:t>Stable growth in education financing is positive for further investment.</w:t>
            </w:r>
          </w:p>
        </w:tc>
      </w:tr>
      <w:tr w:rsidR="009B6D6D" w:rsidRPr="0038463D" w:rsidTr="009B6D6D">
        <w:trPr>
          <w:jc w:val="center"/>
        </w:trPr>
        <w:tc>
          <w:tcPr>
            <w:tcW w:w="2280" w:type="dxa"/>
            <w:tcBorders>
              <w:left w:val="single" w:sz="12" w:space="0" w:color="auto"/>
            </w:tcBorders>
            <w:vAlign w:val="center"/>
          </w:tcPr>
          <w:p w:rsidR="009B6D6D" w:rsidRPr="0038463D" w:rsidRDefault="009B6D6D" w:rsidP="009B6D6D">
            <w:pPr>
              <w:spacing w:after="0"/>
              <w:rPr>
                <w:rFonts w:asciiTheme="minorHAnsi" w:hAnsiTheme="minorHAnsi"/>
                <w:sz w:val="20"/>
                <w:szCs w:val="20"/>
                <w:lang w:val="en-AU"/>
              </w:rPr>
            </w:pPr>
            <w:r w:rsidRPr="0038463D">
              <w:rPr>
                <w:rFonts w:asciiTheme="minorHAnsi" w:hAnsiTheme="minorHAnsi"/>
                <w:sz w:val="20"/>
                <w:szCs w:val="20"/>
                <w:lang w:val="en-AU"/>
              </w:rPr>
              <w:t xml:space="preserve">KPI 2 </w:t>
            </w:r>
          </w:p>
          <w:p w:rsidR="009B6D6D" w:rsidRPr="0038463D" w:rsidRDefault="009B6D6D" w:rsidP="009B6D6D">
            <w:pPr>
              <w:spacing w:after="0"/>
              <w:rPr>
                <w:rFonts w:asciiTheme="minorHAnsi" w:hAnsiTheme="minorHAnsi"/>
                <w:sz w:val="20"/>
                <w:szCs w:val="20"/>
                <w:lang w:val="en-AU"/>
              </w:rPr>
            </w:pPr>
            <w:r w:rsidRPr="0038463D">
              <w:rPr>
                <w:rFonts w:asciiTheme="minorHAnsi" w:hAnsiTheme="minorHAnsi"/>
                <w:sz w:val="20"/>
                <w:szCs w:val="20"/>
                <w:lang w:val="en-AU"/>
              </w:rPr>
              <w:t>Share of GDP</w:t>
            </w:r>
          </w:p>
        </w:tc>
        <w:tc>
          <w:tcPr>
            <w:tcW w:w="3088" w:type="dxa"/>
            <w:vAlign w:val="center"/>
          </w:tcPr>
          <w:p w:rsidR="009B6D6D" w:rsidRPr="0038463D" w:rsidRDefault="009B6D6D" w:rsidP="009B6D6D">
            <w:pPr>
              <w:spacing w:after="0"/>
              <w:rPr>
                <w:rFonts w:asciiTheme="minorHAnsi" w:hAnsiTheme="minorHAnsi"/>
                <w:sz w:val="20"/>
                <w:szCs w:val="20"/>
                <w:lang w:val="en-AU"/>
              </w:rPr>
            </w:pPr>
            <w:r w:rsidRPr="0038463D">
              <w:rPr>
                <w:rFonts w:asciiTheme="minorHAnsi" w:hAnsiTheme="minorHAnsi"/>
                <w:sz w:val="20"/>
                <w:szCs w:val="20"/>
                <w:lang w:val="en-AU"/>
              </w:rPr>
              <w:t xml:space="preserve">Public expenditure on education as percentage of GDP </w:t>
            </w:r>
          </w:p>
        </w:tc>
        <w:tc>
          <w:tcPr>
            <w:tcW w:w="1081" w:type="dxa"/>
            <w:vAlign w:val="center"/>
          </w:tcPr>
          <w:p w:rsidR="009B6D6D" w:rsidRPr="0038463D" w:rsidRDefault="009B6D6D" w:rsidP="009B6D6D">
            <w:pPr>
              <w:spacing w:after="0"/>
              <w:jc w:val="center"/>
              <w:rPr>
                <w:rFonts w:asciiTheme="minorHAnsi" w:hAnsiTheme="minorHAnsi"/>
                <w:sz w:val="20"/>
                <w:szCs w:val="20"/>
                <w:lang w:val="en-AU"/>
              </w:rPr>
            </w:pPr>
            <w:r w:rsidRPr="0038463D">
              <w:rPr>
                <w:rFonts w:asciiTheme="minorHAnsi" w:hAnsiTheme="minorHAnsi"/>
                <w:sz w:val="20"/>
                <w:szCs w:val="20"/>
                <w:lang w:val="en-AU"/>
              </w:rPr>
              <w:t>National</w:t>
            </w:r>
          </w:p>
          <w:p w:rsidR="009B6D6D" w:rsidRPr="0038463D" w:rsidRDefault="009B6D6D" w:rsidP="009B6D6D">
            <w:pPr>
              <w:spacing w:after="0"/>
              <w:jc w:val="center"/>
              <w:rPr>
                <w:rFonts w:asciiTheme="minorHAnsi" w:hAnsiTheme="minorHAnsi"/>
                <w:sz w:val="20"/>
                <w:szCs w:val="20"/>
                <w:lang w:val="en-AU"/>
              </w:rPr>
            </w:pPr>
          </w:p>
        </w:tc>
        <w:tc>
          <w:tcPr>
            <w:tcW w:w="1698" w:type="dxa"/>
            <w:vAlign w:val="center"/>
          </w:tcPr>
          <w:p w:rsidR="009B6D6D" w:rsidRPr="0038463D" w:rsidRDefault="009B6D6D" w:rsidP="009B6D6D">
            <w:pPr>
              <w:spacing w:after="0"/>
              <w:jc w:val="center"/>
              <w:rPr>
                <w:rFonts w:asciiTheme="minorHAnsi" w:hAnsiTheme="minorHAnsi"/>
                <w:sz w:val="20"/>
                <w:szCs w:val="20"/>
                <w:lang w:val="en-AU"/>
              </w:rPr>
            </w:pPr>
            <w:r w:rsidRPr="0038463D">
              <w:rPr>
                <w:rFonts w:asciiTheme="minorHAnsi" w:hAnsiTheme="minorHAnsi"/>
                <w:sz w:val="20"/>
                <w:szCs w:val="20"/>
                <w:lang w:val="en-AU"/>
              </w:rPr>
              <w:t>Government commitment</w:t>
            </w:r>
          </w:p>
        </w:tc>
        <w:tc>
          <w:tcPr>
            <w:tcW w:w="1082" w:type="dxa"/>
            <w:shd w:val="clear" w:color="auto" w:fill="92D050"/>
            <w:vAlign w:val="center"/>
          </w:tcPr>
          <w:p w:rsidR="009B6D6D" w:rsidRPr="0038463D" w:rsidRDefault="009B6D6D" w:rsidP="009B6D6D">
            <w:pPr>
              <w:spacing w:after="0"/>
              <w:jc w:val="center"/>
              <w:rPr>
                <w:rFonts w:asciiTheme="minorHAnsi" w:hAnsiTheme="minorHAnsi"/>
                <w:bCs/>
                <w:iCs/>
                <w:sz w:val="20"/>
                <w:szCs w:val="20"/>
                <w:lang w:val="en-AU"/>
              </w:rPr>
            </w:pPr>
            <w:r w:rsidRPr="0038463D">
              <w:rPr>
                <w:rFonts w:asciiTheme="minorHAnsi" w:hAnsiTheme="minorHAnsi"/>
                <w:bCs/>
                <w:iCs/>
                <w:sz w:val="20"/>
                <w:szCs w:val="20"/>
                <w:lang w:val="en-AU"/>
              </w:rPr>
              <w:t>Positive</w:t>
            </w:r>
          </w:p>
        </w:tc>
        <w:tc>
          <w:tcPr>
            <w:tcW w:w="4941" w:type="dxa"/>
            <w:tcBorders>
              <w:right w:val="single" w:sz="12" w:space="0" w:color="auto"/>
            </w:tcBorders>
            <w:vAlign w:val="center"/>
          </w:tcPr>
          <w:p w:rsidR="009B6D6D" w:rsidRPr="0038463D" w:rsidRDefault="009B6D6D" w:rsidP="009B6D6D">
            <w:pPr>
              <w:spacing w:after="0"/>
              <w:rPr>
                <w:rFonts w:asciiTheme="minorHAnsi" w:hAnsiTheme="minorHAnsi"/>
                <w:sz w:val="20"/>
                <w:szCs w:val="20"/>
                <w:lang w:val="en-AU"/>
              </w:rPr>
            </w:pPr>
            <w:r w:rsidRPr="0038463D">
              <w:rPr>
                <w:rFonts w:asciiTheme="minorHAnsi" w:hAnsiTheme="minorHAnsi"/>
                <w:b/>
                <w:sz w:val="20"/>
                <w:szCs w:val="20"/>
                <w:lang w:val="en-AU"/>
              </w:rPr>
              <w:t>Comment:</w:t>
            </w:r>
            <w:r w:rsidRPr="0038463D">
              <w:rPr>
                <w:rFonts w:asciiTheme="minorHAnsi" w:hAnsiTheme="minorHAnsi"/>
                <w:sz w:val="20"/>
                <w:szCs w:val="20"/>
                <w:lang w:val="en-AU"/>
              </w:rPr>
              <w:t xml:space="preserve"> Education expenditure, as a proportion of GDP, increased from 3.3% in 2011 to 3.5% in 2012.</w:t>
            </w:r>
          </w:p>
        </w:tc>
      </w:tr>
      <w:tr w:rsidR="009B6D6D" w:rsidRPr="0038463D" w:rsidTr="009B6D6D">
        <w:trPr>
          <w:jc w:val="center"/>
        </w:trPr>
        <w:tc>
          <w:tcPr>
            <w:tcW w:w="2280" w:type="dxa"/>
            <w:tcBorders>
              <w:left w:val="single" w:sz="12" w:space="0" w:color="auto"/>
            </w:tcBorders>
            <w:vAlign w:val="center"/>
          </w:tcPr>
          <w:p w:rsidR="009B6D6D" w:rsidRPr="0038463D" w:rsidRDefault="009B6D6D" w:rsidP="009B6D6D">
            <w:pPr>
              <w:spacing w:after="0"/>
              <w:rPr>
                <w:rFonts w:asciiTheme="minorHAnsi" w:hAnsiTheme="minorHAnsi"/>
                <w:sz w:val="20"/>
                <w:szCs w:val="20"/>
                <w:lang w:val="en-AU"/>
              </w:rPr>
            </w:pPr>
            <w:r w:rsidRPr="0038463D">
              <w:rPr>
                <w:rFonts w:asciiTheme="minorHAnsi" w:hAnsiTheme="minorHAnsi"/>
                <w:sz w:val="20"/>
                <w:szCs w:val="20"/>
                <w:lang w:val="en-AU"/>
              </w:rPr>
              <w:t xml:space="preserve">KPI 3 </w:t>
            </w:r>
          </w:p>
          <w:p w:rsidR="009B6D6D" w:rsidRPr="0038463D" w:rsidRDefault="009B6D6D" w:rsidP="009B6D6D">
            <w:pPr>
              <w:spacing w:after="0"/>
              <w:rPr>
                <w:rFonts w:asciiTheme="minorHAnsi" w:hAnsiTheme="minorHAnsi"/>
                <w:sz w:val="20"/>
                <w:szCs w:val="20"/>
                <w:lang w:val="en-AU"/>
              </w:rPr>
            </w:pPr>
            <w:r w:rsidRPr="0038463D">
              <w:rPr>
                <w:rFonts w:asciiTheme="minorHAnsi" w:hAnsiTheme="minorHAnsi"/>
                <w:sz w:val="20"/>
                <w:szCs w:val="20"/>
                <w:lang w:val="en-AU"/>
              </w:rPr>
              <w:t>Share of non-salary resources</w:t>
            </w:r>
          </w:p>
        </w:tc>
        <w:tc>
          <w:tcPr>
            <w:tcW w:w="3088" w:type="dxa"/>
            <w:vAlign w:val="center"/>
          </w:tcPr>
          <w:p w:rsidR="009B6D6D" w:rsidRPr="0038463D" w:rsidRDefault="009B6D6D" w:rsidP="009B6D6D">
            <w:pPr>
              <w:spacing w:after="0"/>
              <w:rPr>
                <w:rFonts w:asciiTheme="minorHAnsi" w:hAnsiTheme="minorHAnsi"/>
                <w:sz w:val="20"/>
                <w:szCs w:val="20"/>
                <w:lang w:val="en-AU"/>
              </w:rPr>
            </w:pPr>
            <w:r w:rsidRPr="0038463D">
              <w:rPr>
                <w:rFonts w:asciiTheme="minorHAnsi" w:hAnsiTheme="minorHAnsi"/>
                <w:sz w:val="20"/>
                <w:szCs w:val="20"/>
                <w:lang w:val="en-AU"/>
              </w:rPr>
              <w:t>% share of education budget spending on non-salary costs.</w:t>
            </w:r>
          </w:p>
        </w:tc>
        <w:tc>
          <w:tcPr>
            <w:tcW w:w="1081" w:type="dxa"/>
            <w:vAlign w:val="center"/>
          </w:tcPr>
          <w:p w:rsidR="009B6D6D" w:rsidRPr="0038463D" w:rsidRDefault="009B6D6D" w:rsidP="009B6D6D">
            <w:pPr>
              <w:spacing w:after="0"/>
              <w:jc w:val="center"/>
              <w:rPr>
                <w:rFonts w:asciiTheme="minorHAnsi" w:hAnsiTheme="minorHAnsi"/>
                <w:sz w:val="20"/>
                <w:szCs w:val="20"/>
                <w:lang w:val="en-AU"/>
              </w:rPr>
            </w:pPr>
            <w:r w:rsidRPr="0038463D">
              <w:rPr>
                <w:rFonts w:asciiTheme="minorHAnsi" w:hAnsiTheme="minorHAnsi"/>
                <w:sz w:val="20"/>
                <w:szCs w:val="20"/>
                <w:lang w:val="en-AU"/>
              </w:rPr>
              <w:t>National</w:t>
            </w:r>
          </w:p>
        </w:tc>
        <w:tc>
          <w:tcPr>
            <w:tcW w:w="1698" w:type="dxa"/>
            <w:vAlign w:val="center"/>
          </w:tcPr>
          <w:p w:rsidR="009B6D6D" w:rsidRPr="0038463D" w:rsidRDefault="009B6D6D" w:rsidP="009B6D6D">
            <w:pPr>
              <w:spacing w:after="0"/>
              <w:jc w:val="center"/>
              <w:rPr>
                <w:rFonts w:asciiTheme="minorHAnsi" w:hAnsiTheme="minorHAnsi"/>
                <w:sz w:val="20"/>
                <w:szCs w:val="20"/>
                <w:lang w:val="en-AU"/>
              </w:rPr>
            </w:pPr>
            <w:r w:rsidRPr="0038463D">
              <w:rPr>
                <w:rFonts w:asciiTheme="minorHAnsi" w:hAnsiTheme="minorHAnsi"/>
                <w:sz w:val="20"/>
                <w:szCs w:val="20"/>
                <w:lang w:val="en-AU"/>
              </w:rPr>
              <w:t>Quality</w:t>
            </w:r>
          </w:p>
        </w:tc>
        <w:tc>
          <w:tcPr>
            <w:tcW w:w="1082" w:type="dxa"/>
            <w:shd w:val="clear" w:color="auto" w:fill="92D050"/>
            <w:vAlign w:val="center"/>
          </w:tcPr>
          <w:p w:rsidR="009B6D6D" w:rsidRPr="0038463D" w:rsidRDefault="009B6D6D" w:rsidP="009B6D6D">
            <w:pPr>
              <w:spacing w:after="0"/>
              <w:jc w:val="center"/>
              <w:rPr>
                <w:rFonts w:asciiTheme="minorHAnsi" w:hAnsiTheme="minorHAnsi"/>
                <w:bCs/>
                <w:iCs/>
                <w:sz w:val="20"/>
                <w:szCs w:val="20"/>
                <w:lang w:val="en-AU"/>
              </w:rPr>
            </w:pPr>
            <w:r w:rsidRPr="0038463D">
              <w:rPr>
                <w:rFonts w:asciiTheme="minorHAnsi" w:hAnsiTheme="minorHAnsi"/>
                <w:bCs/>
                <w:iCs/>
                <w:sz w:val="20"/>
                <w:szCs w:val="20"/>
                <w:lang w:val="en-AU"/>
              </w:rPr>
              <w:t>Positive</w:t>
            </w:r>
          </w:p>
        </w:tc>
        <w:tc>
          <w:tcPr>
            <w:tcW w:w="4941" w:type="dxa"/>
            <w:tcBorders>
              <w:right w:val="single" w:sz="12" w:space="0" w:color="auto"/>
            </w:tcBorders>
            <w:vAlign w:val="center"/>
          </w:tcPr>
          <w:p w:rsidR="009B6D6D" w:rsidRPr="0038463D" w:rsidRDefault="009B6D6D" w:rsidP="009B6D6D">
            <w:pPr>
              <w:spacing w:after="0"/>
              <w:rPr>
                <w:rFonts w:asciiTheme="minorHAnsi" w:hAnsiTheme="minorHAnsi"/>
                <w:sz w:val="20"/>
                <w:szCs w:val="20"/>
                <w:lang w:val="en-AU"/>
              </w:rPr>
            </w:pPr>
            <w:r w:rsidRPr="0038463D">
              <w:rPr>
                <w:rFonts w:asciiTheme="minorHAnsi" w:hAnsiTheme="minorHAnsi"/>
                <w:b/>
                <w:sz w:val="20"/>
                <w:szCs w:val="20"/>
                <w:lang w:val="en-AU"/>
              </w:rPr>
              <w:t>Comment:</w:t>
            </w:r>
            <w:r w:rsidRPr="0038463D">
              <w:rPr>
                <w:rFonts w:asciiTheme="minorHAnsi" w:hAnsiTheme="minorHAnsi"/>
                <w:sz w:val="20"/>
                <w:szCs w:val="20"/>
                <w:lang w:val="en-AU"/>
              </w:rPr>
              <w:t xml:space="preserve"> Non-salary share of expenditures in 2011 increased to 25% of total district level expenditures (up from 13% in 2010). </w:t>
            </w:r>
          </w:p>
          <w:p w:rsidR="009B6D6D" w:rsidRPr="0038463D" w:rsidRDefault="009B6D6D" w:rsidP="009B6D6D">
            <w:pPr>
              <w:spacing w:after="0"/>
              <w:rPr>
                <w:rFonts w:asciiTheme="minorHAnsi" w:hAnsiTheme="minorHAnsi"/>
                <w:sz w:val="20"/>
                <w:szCs w:val="20"/>
                <w:lang w:val="en-AU"/>
              </w:rPr>
            </w:pPr>
            <w:r w:rsidRPr="0038463D">
              <w:rPr>
                <w:rFonts w:asciiTheme="minorHAnsi" w:hAnsiTheme="minorHAnsi"/>
                <w:b/>
                <w:sz w:val="20"/>
                <w:szCs w:val="20"/>
                <w:lang w:val="en-AU"/>
              </w:rPr>
              <w:t xml:space="preserve">Implications: </w:t>
            </w:r>
            <w:r w:rsidRPr="0038463D">
              <w:rPr>
                <w:rFonts w:asciiTheme="minorHAnsi" w:hAnsiTheme="minorHAnsi"/>
                <w:sz w:val="20"/>
                <w:szCs w:val="20"/>
                <w:lang w:val="en-AU"/>
              </w:rPr>
              <w:t>Growth in budget is not being solely consumed by salaries. New budget allocations were especially strong for capital items.</w:t>
            </w:r>
          </w:p>
        </w:tc>
      </w:tr>
      <w:tr w:rsidR="009B6D6D" w:rsidRPr="0038463D" w:rsidTr="009B6D6D">
        <w:trPr>
          <w:jc w:val="center"/>
        </w:trPr>
        <w:tc>
          <w:tcPr>
            <w:tcW w:w="2280" w:type="dxa"/>
            <w:tcBorders>
              <w:left w:val="single" w:sz="12" w:space="0" w:color="auto"/>
            </w:tcBorders>
            <w:vAlign w:val="center"/>
          </w:tcPr>
          <w:p w:rsidR="009B6D6D" w:rsidRPr="0038463D" w:rsidRDefault="009B6D6D" w:rsidP="009B6D6D">
            <w:pPr>
              <w:spacing w:after="0"/>
              <w:rPr>
                <w:rFonts w:asciiTheme="minorHAnsi" w:hAnsiTheme="minorHAnsi"/>
                <w:sz w:val="20"/>
                <w:szCs w:val="20"/>
                <w:lang w:val="en-AU"/>
              </w:rPr>
            </w:pPr>
            <w:r w:rsidRPr="0038463D">
              <w:rPr>
                <w:rFonts w:asciiTheme="minorHAnsi" w:hAnsiTheme="minorHAnsi"/>
                <w:sz w:val="20"/>
                <w:szCs w:val="20"/>
                <w:lang w:val="en-AU"/>
              </w:rPr>
              <w:t xml:space="preserve">KPI 4 </w:t>
            </w:r>
          </w:p>
          <w:p w:rsidR="009B6D6D" w:rsidRPr="0038463D" w:rsidRDefault="009B6D6D" w:rsidP="009B6D6D">
            <w:pPr>
              <w:spacing w:after="0"/>
              <w:rPr>
                <w:rFonts w:asciiTheme="minorHAnsi" w:hAnsiTheme="minorHAnsi"/>
                <w:sz w:val="20"/>
                <w:szCs w:val="20"/>
                <w:lang w:val="en-AU"/>
              </w:rPr>
            </w:pPr>
            <w:r w:rsidRPr="0038463D">
              <w:rPr>
                <w:rFonts w:asciiTheme="minorHAnsi" w:hAnsiTheme="minorHAnsi"/>
                <w:sz w:val="20"/>
                <w:szCs w:val="20"/>
                <w:lang w:val="en-AU"/>
              </w:rPr>
              <w:t>National commitment to non-formal learning</w:t>
            </w:r>
          </w:p>
        </w:tc>
        <w:tc>
          <w:tcPr>
            <w:tcW w:w="3088" w:type="dxa"/>
            <w:vAlign w:val="center"/>
          </w:tcPr>
          <w:p w:rsidR="009B6D6D" w:rsidRPr="0038463D" w:rsidRDefault="009B6D6D" w:rsidP="009B6D6D">
            <w:pPr>
              <w:spacing w:after="0"/>
              <w:rPr>
                <w:rFonts w:asciiTheme="minorHAnsi" w:hAnsiTheme="minorHAnsi"/>
                <w:sz w:val="20"/>
                <w:szCs w:val="20"/>
                <w:lang w:val="en-AU"/>
              </w:rPr>
            </w:pPr>
            <w:r w:rsidRPr="0038463D">
              <w:rPr>
                <w:rFonts w:asciiTheme="minorHAnsi" w:hAnsiTheme="minorHAnsi"/>
                <w:sz w:val="20"/>
                <w:szCs w:val="20"/>
                <w:lang w:val="en-AU"/>
              </w:rPr>
              <w:t>Public expenditure on literacy and non-formal education (NFE)</w:t>
            </w:r>
            <w:r>
              <w:rPr>
                <w:rFonts w:asciiTheme="minorHAnsi" w:hAnsiTheme="minorHAnsi"/>
                <w:sz w:val="20"/>
                <w:szCs w:val="20"/>
                <w:lang w:val="en-AU"/>
              </w:rPr>
              <w:t xml:space="preserve"> </w:t>
            </w:r>
            <w:r w:rsidRPr="0038463D">
              <w:rPr>
                <w:rFonts w:asciiTheme="minorHAnsi" w:hAnsiTheme="minorHAnsi"/>
                <w:sz w:val="20"/>
                <w:szCs w:val="20"/>
                <w:lang w:val="en-AU"/>
              </w:rPr>
              <w:t>as percentage of public expenditure on education</w:t>
            </w:r>
          </w:p>
        </w:tc>
        <w:tc>
          <w:tcPr>
            <w:tcW w:w="1081" w:type="dxa"/>
            <w:vAlign w:val="center"/>
          </w:tcPr>
          <w:p w:rsidR="009B6D6D" w:rsidRPr="0038463D" w:rsidRDefault="009B6D6D" w:rsidP="009B6D6D">
            <w:pPr>
              <w:spacing w:after="0"/>
              <w:jc w:val="center"/>
              <w:rPr>
                <w:rFonts w:asciiTheme="minorHAnsi" w:hAnsiTheme="minorHAnsi"/>
                <w:sz w:val="20"/>
                <w:szCs w:val="20"/>
                <w:lang w:val="en-AU"/>
              </w:rPr>
            </w:pPr>
            <w:r w:rsidRPr="0038463D">
              <w:rPr>
                <w:rFonts w:asciiTheme="minorHAnsi" w:hAnsiTheme="minorHAnsi"/>
                <w:sz w:val="20"/>
                <w:szCs w:val="20"/>
                <w:lang w:val="en-AU"/>
              </w:rPr>
              <w:t>National</w:t>
            </w:r>
          </w:p>
        </w:tc>
        <w:tc>
          <w:tcPr>
            <w:tcW w:w="1698" w:type="dxa"/>
            <w:vAlign w:val="center"/>
          </w:tcPr>
          <w:p w:rsidR="009B6D6D" w:rsidRPr="0038463D" w:rsidRDefault="009B6D6D" w:rsidP="009B6D6D">
            <w:pPr>
              <w:spacing w:after="0"/>
              <w:jc w:val="center"/>
              <w:rPr>
                <w:rFonts w:asciiTheme="minorHAnsi" w:hAnsiTheme="minorHAnsi"/>
                <w:sz w:val="20"/>
                <w:szCs w:val="20"/>
                <w:lang w:val="en-AU"/>
              </w:rPr>
            </w:pPr>
            <w:r w:rsidRPr="0038463D">
              <w:rPr>
                <w:rFonts w:asciiTheme="minorHAnsi" w:hAnsiTheme="minorHAnsi"/>
                <w:sz w:val="20"/>
                <w:szCs w:val="20"/>
                <w:lang w:val="en-AU"/>
              </w:rPr>
              <w:t>Equity/access</w:t>
            </w:r>
          </w:p>
        </w:tc>
        <w:tc>
          <w:tcPr>
            <w:tcW w:w="1082" w:type="dxa"/>
            <w:shd w:val="clear" w:color="auto" w:fill="FF0000"/>
            <w:vAlign w:val="center"/>
          </w:tcPr>
          <w:p w:rsidR="009B6D6D" w:rsidRPr="0038463D" w:rsidRDefault="009B6D6D" w:rsidP="009B6D6D">
            <w:pPr>
              <w:spacing w:after="0"/>
              <w:jc w:val="center"/>
              <w:rPr>
                <w:rFonts w:asciiTheme="minorHAnsi" w:hAnsiTheme="minorHAnsi"/>
                <w:sz w:val="20"/>
                <w:szCs w:val="20"/>
                <w:lang w:val="en-AU"/>
              </w:rPr>
            </w:pPr>
            <w:r w:rsidRPr="0038463D">
              <w:rPr>
                <w:rFonts w:asciiTheme="minorHAnsi" w:hAnsiTheme="minorHAnsi"/>
                <w:sz w:val="20"/>
                <w:szCs w:val="20"/>
                <w:lang w:val="en-AU"/>
              </w:rPr>
              <w:t>Negative</w:t>
            </w:r>
          </w:p>
        </w:tc>
        <w:tc>
          <w:tcPr>
            <w:tcW w:w="4941" w:type="dxa"/>
            <w:tcBorders>
              <w:right w:val="single" w:sz="12" w:space="0" w:color="auto"/>
            </w:tcBorders>
            <w:vAlign w:val="center"/>
          </w:tcPr>
          <w:p w:rsidR="009B6D6D" w:rsidRPr="0038463D" w:rsidRDefault="009B6D6D" w:rsidP="009B6D6D">
            <w:pPr>
              <w:spacing w:after="0"/>
              <w:rPr>
                <w:rFonts w:asciiTheme="minorHAnsi" w:hAnsiTheme="minorHAnsi"/>
                <w:sz w:val="20"/>
                <w:szCs w:val="20"/>
                <w:lang w:val="en-AU"/>
              </w:rPr>
            </w:pPr>
            <w:r w:rsidRPr="0038463D">
              <w:rPr>
                <w:rFonts w:asciiTheme="minorHAnsi" w:hAnsiTheme="minorHAnsi"/>
                <w:b/>
                <w:sz w:val="20"/>
                <w:szCs w:val="20"/>
                <w:lang w:val="en-AU"/>
              </w:rPr>
              <w:t>Comment:</w:t>
            </w:r>
            <w:r w:rsidRPr="0038463D">
              <w:rPr>
                <w:rFonts w:asciiTheme="minorHAnsi" w:hAnsiTheme="minorHAnsi"/>
                <w:sz w:val="20"/>
                <w:szCs w:val="20"/>
                <w:lang w:val="en-AU"/>
              </w:rPr>
              <w:t xml:space="preserve"> NFE expenditure is approximately 1% of total expenditure for education. </w:t>
            </w:r>
          </w:p>
          <w:p w:rsidR="009B6D6D" w:rsidRPr="0038463D" w:rsidRDefault="009B6D6D" w:rsidP="009B6D6D">
            <w:pPr>
              <w:spacing w:after="0"/>
              <w:rPr>
                <w:rFonts w:asciiTheme="minorHAnsi" w:hAnsiTheme="minorHAnsi"/>
                <w:sz w:val="20"/>
                <w:szCs w:val="20"/>
                <w:lang w:val="en-AU"/>
              </w:rPr>
            </w:pPr>
            <w:r w:rsidRPr="0038463D">
              <w:rPr>
                <w:rFonts w:asciiTheme="minorHAnsi" w:hAnsiTheme="minorHAnsi"/>
                <w:b/>
                <w:sz w:val="20"/>
                <w:szCs w:val="20"/>
                <w:lang w:val="en-AU"/>
              </w:rPr>
              <w:t xml:space="preserve">Implications: </w:t>
            </w:r>
            <w:r w:rsidRPr="0038463D">
              <w:rPr>
                <w:rFonts w:asciiTheme="minorHAnsi" w:hAnsiTheme="minorHAnsi"/>
                <w:sz w:val="20"/>
                <w:szCs w:val="20"/>
                <w:lang w:val="en-AU"/>
              </w:rPr>
              <w:t>Key advantage of NFE is its cost-effectiveness; increased levels of investment are needed to maximise possible economic and social returns.</w:t>
            </w:r>
          </w:p>
        </w:tc>
      </w:tr>
      <w:tr w:rsidR="009B6D6D" w:rsidRPr="0038463D" w:rsidTr="009B6D6D">
        <w:trPr>
          <w:jc w:val="center"/>
        </w:trPr>
        <w:tc>
          <w:tcPr>
            <w:tcW w:w="2280" w:type="dxa"/>
            <w:tcBorders>
              <w:left w:val="single" w:sz="12" w:space="0" w:color="auto"/>
            </w:tcBorders>
            <w:vAlign w:val="center"/>
          </w:tcPr>
          <w:p w:rsidR="009B6D6D" w:rsidRPr="0038463D" w:rsidRDefault="009B6D6D" w:rsidP="009B6D6D">
            <w:pPr>
              <w:spacing w:after="0"/>
              <w:rPr>
                <w:rFonts w:asciiTheme="minorHAnsi" w:hAnsiTheme="minorHAnsi"/>
                <w:sz w:val="20"/>
                <w:szCs w:val="20"/>
                <w:lang w:val="en-AU"/>
              </w:rPr>
            </w:pPr>
            <w:r w:rsidRPr="0038463D">
              <w:rPr>
                <w:rFonts w:asciiTheme="minorHAnsi" w:hAnsiTheme="minorHAnsi"/>
                <w:sz w:val="20"/>
                <w:szCs w:val="20"/>
                <w:lang w:val="en-AU"/>
              </w:rPr>
              <w:t xml:space="preserve">KPI 5 </w:t>
            </w:r>
          </w:p>
          <w:p w:rsidR="009B6D6D" w:rsidRPr="0038463D" w:rsidRDefault="009B6D6D" w:rsidP="009B6D6D">
            <w:pPr>
              <w:spacing w:after="0"/>
              <w:rPr>
                <w:rFonts w:asciiTheme="minorHAnsi" w:hAnsiTheme="minorHAnsi"/>
                <w:sz w:val="20"/>
                <w:szCs w:val="20"/>
                <w:lang w:val="en-AU"/>
              </w:rPr>
            </w:pPr>
            <w:r w:rsidRPr="0038463D">
              <w:rPr>
                <w:rFonts w:asciiTheme="minorHAnsi" w:hAnsiTheme="minorHAnsi"/>
                <w:sz w:val="20"/>
                <w:szCs w:val="20"/>
                <w:lang w:val="en-AU"/>
              </w:rPr>
              <w:t>Commitment to basic education relative to national wealth</w:t>
            </w:r>
          </w:p>
        </w:tc>
        <w:tc>
          <w:tcPr>
            <w:tcW w:w="3088" w:type="dxa"/>
            <w:vAlign w:val="center"/>
          </w:tcPr>
          <w:p w:rsidR="009B6D6D" w:rsidRPr="0038463D" w:rsidRDefault="009B6D6D" w:rsidP="009B6D6D">
            <w:pPr>
              <w:spacing w:after="0"/>
              <w:rPr>
                <w:rFonts w:asciiTheme="minorHAnsi" w:hAnsiTheme="minorHAnsi"/>
                <w:sz w:val="20"/>
                <w:szCs w:val="20"/>
                <w:lang w:val="en-AU"/>
              </w:rPr>
            </w:pPr>
            <w:r w:rsidRPr="0038463D">
              <w:rPr>
                <w:rFonts w:asciiTheme="minorHAnsi" w:hAnsiTheme="minorHAnsi"/>
                <w:sz w:val="20"/>
                <w:szCs w:val="20"/>
                <w:lang w:val="en-AU"/>
              </w:rPr>
              <w:t>Public recurrent expenditure on basic education as percentage of all public education expenditure</w:t>
            </w:r>
          </w:p>
        </w:tc>
        <w:tc>
          <w:tcPr>
            <w:tcW w:w="1081" w:type="dxa"/>
            <w:vAlign w:val="center"/>
          </w:tcPr>
          <w:p w:rsidR="009B6D6D" w:rsidRPr="0038463D" w:rsidRDefault="009B6D6D" w:rsidP="009B6D6D">
            <w:pPr>
              <w:spacing w:after="0"/>
              <w:jc w:val="center"/>
              <w:rPr>
                <w:rFonts w:asciiTheme="minorHAnsi" w:hAnsiTheme="minorHAnsi"/>
                <w:sz w:val="20"/>
                <w:szCs w:val="20"/>
                <w:lang w:val="en-AU"/>
              </w:rPr>
            </w:pPr>
            <w:r w:rsidRPr="0038463D">
              <w:rPr>
                <w:rFonts w:asciiTheme="minorHAnsi" w:hAnsiTheme="minorHAnsi"/>
                <w:sz w:val="20"/>
                <w:szCs w:val="20"/>
                <w:lang w:val="en-AU"/>
              </w:rPr>
              <w:t>National</w:t>
            </w:r>
          </w:p>
        </w:tc>
        <w:tc>
          <w:tcPr>
            <w:tcW w:w="1698" w:type="dxa"/>
            <w:vAlign w:val="center"/>
          </w:tcPr>
          <w:p w:rsidR="009B6D6D" w:rsidRPr="0038463D" w:rsidRDefault="009B6D6D" w:rsidP="009B6D6D">
            <w:pPr>
              <w:spacing w:after="0"/>
              <w:jc w:val="center"/>
              <w:rPr>
                <w:rFonts w:asciiTheme="minorHAnsi" w:hAnsiTheme="minorHAnsi"/>
                <w:sz w:val="20"/>
                <w:szCs w:val="20"/>
                <w:lang w:val="en-AU"/>
              </w:rPr>
            </w:pPr>
            <w:r w:rsidRPr="0038463D">
              <w:rPr>
                <w:rFonts w:asciiTheme="minorHAnsi" w:hAnsiTheme="minorHAnsi"/>
                <w:sz w:val="20"/>
                <w:szCs w:val="20"/>
                <w:lang w:val="en-AU"/>
              </w:rPr>
              <w:t>Equity/access</w:t>
            </w:r>
          </w:p>
        </w:tc>
        <w:tc>
          <w:tcPr>
            <w:tcW w:w="1082" w:type="dxa"/>
            <w:shd w:val="clear" w:color="auto" w:fill="92D050"/>
            <w:vAlign w:val="center"/>
          </w:tcPr>
          <w:p w:rsidR="009B6D6D" w:rsidRPr="0038463D" w:rsidRDefault="009B6D6D" w:rsidP="009B6D6D">
            <w:pPr>
              <w:spacing w:after="0"/>
              <w:jc w:val="center"/>
              <w:rPr>
                <w:rFonts w:asciiTheme="minorHAnsi" w:hAnsiTheme="minorHAnsi"/>
                <w:sz w:val="20"/>
                <w:szCs w:val="20"/>
                <w:lang w:val="en-AU"/>
              </w:rPr>
            </w:pPr>
            <w:r w:rsidRPr="0038463D">
              <w:rPr>
                <w:rFonts w:asciiTheme="minorHAnsi" w:hAnsiTheme="minorHAnsi"/>
                <w:sz w:val="20"/>
                <w:szCs w:val="20"/>
                <w:lang w:val="en-AU"/>
              </w:rPr>
              <w:t>Positive</w:t>
            </w:r>
          </w:p>
        </w:tc>
        <w:tc>
          <w:tcPr>
            <w:tcW w:w="4941" w:type="dxa"/>
            <w:tcBorders>
              <w:right w:val="single" w:sz="12" w:space="0" w:color="auto"/>
            </w:tcBorders>
            <w:vAlign w:val="center"/>
          </w:tcPr>
          <w:p w:rsidR="009B6D6D" w:rsidRPr="0038463D" w:rsidRDefault="009B6D6D" w:rsidP="009B6D6D">
            <w:pPr>
              <w:spacing w:after="0"/>
              <w:rPr>
                <w:rFonts w:asciiTheme="minorHAnsi" w:hAnsiTheme="minorHAnsi"/>
                <w:sz w:val="20"/>
                <w:szCs w:val="20"/>
                <w:lang w:val="en-AU"/>
              </w:rPr>
            </w:pPr>
            <w:r w:rsidRPr="0038463D">
              <w:rPr>
                <w:rFonts w:asciiTheme="minorHAnsi" w:hAnsiTheme="minorHAnsi"/>
                <w:b/>
                <w:sz w:val="20"/>
                <w:szCs w:val="20"/>
                <w:lang w:val="en-AU"/>
              </w:rPr>
              <w:t>Comment:</w:t>
            </w:r>
            <w:r w:rsidRPr="0038463D">
              <w:rPr>
                <w:rFonts w:asciiTheme="minorHAnsi" w:hAnsiTheme="minorHAnsi"/>
                <w:sz w:val="20"/>
                <w:szCs w:val="20"/>
                <w:lang w:val="en-AU"/>
              </w:rPr>
              <w:t xml:space="preserve"> In 2009 basic education accounted for approximately 56% of education expenditure. By contrast, less than 20% of MORA education expenditure was on basic education.</w:t>
            </w:r>
          </w:p>
          <w:p w:rsidR="009B6D6D" w:rsidRPr="0038463D" w:rsidRDefault="009B6D6D" w:rsidP="009B6D6D">
            <w:pPr>
              <w:spacing w:after="0"/>
              <w:rPr>
                <w:rFonts w:asciiTheme="minorHAnsi" w:hAnsiTheme="minorHAnsi"/>
                <w:sz w:val="20"/>
                <w:szCs w:val="20"/>
                <w:lang w:val="en-AU"/>
              </w:rPr>
            </w:pPr>
            <w:r w:rsidRPr="0038463D">
              <w:rPr>
                <w:rFonts w:asciiTheme="minorHAnsi" w:hAnsiTheme="minorHAnsi"/>
                <w:b/>
                <w:sz w:val="20"/>
                <w:szCs w:val="20"/>
                <w:lang w:val="en-AU"/>
              </w:rPr>
              <w:t xml:space="preserve">Implications: </w:t>
            </w:r>
            <w:r w:rsidRPr="0038463D">
              <w:rPr>
                <w:rFonts w:asciiTheme="minorHAnsi" w:hAnsiTheme="minorHAnsi"/>
                <w:sz w:val="20"/>
                <w:szCs w:val="20"/>
                <w:lang w:val="en-AU"/>
              </w:rPr>
              <w:t>It is unclear what has been driving the fluctuations in the basic education share of MoRA expenditures.</w:t>
            </w:r>
          </w:p>
        </w:tc>
      </w:tr>
      <w:tr w:rsidR="009B6D6D" w:rsidRPr="0038463D" w:rsidTr="009B6D6D">
        <w:trPr>
          <w:jc w:val="center"/>
        </w:trPr>
        <w:tc>
          <w:tcPr>
            <w:tcW w:w="2280" w:type="dxa"/>
            <w:tcBorders>
              <w:left w:val="single" w:sz="12" w:space="0" w:color="auto"/>
            </w:tcBorders>
            <w:vAlign w:val="center"/>
          </w:tcPr>
          <w:p w:rsidR="009B6D6D" w:rsidRPr="0038463D" w:rsidRDefault="009B6D6D" w:rsidP="009B6D6D">
            <w:pPr>
              <w:spacing w:after="0"/>
              <w:rPr>
                <w:rFonts w:asciiTheme="minorHAnsi" w:hAnsiTheme="minorHAnsi"/>
                <w:sz w:val="20"/>
                <w:szCs w:val="20"/>
                <w:lang w:val="en-AU"/>
              </w:rPr>
            </w:pPr>
            <w:r w:rsidRPr="0038463D">
              <w:rPr>
                <w:rFonts w:asciiTheme="minorHAnsi" w:hAnsiTheme="minorHAnsi"/>
                <w:sz w:val="20"/>
                <w:szCs w:val="20"/>
                <w:lang w:val="en-AU"/>
              </w:rPr>
              <w:t xml:space="preserve">KPI 6 </w:t>
            </w:r>
          </w:p>
          <w:p w:rsidR="009B6D6D" w:rsidRPr="0038463D" w:rsidRDefault="009B6D6D" w:rsidP="009B6D6D">
            <w:pPr>
              <w:spacing w:after="0"/>
              <w:rPr>
                <w:rFonts w:asciiTheme="minorHAnsi" w:hAnsiTheme="minorHAnsi"/>
                <w:sz w:val="20"/>
                <w:szCs w:val="20"/>
                <w:lang w:val="en-AU"/>
              </w:rPr>
            </w:pPr>
            <w:r w:rsidRPr="0038463D">
              <w:rPr>
                <w:rFonts w:asciiTheme="minorHAnsi" w:hAnsiTheme="minorHAnsi"/>
                <w:sz w:val="20"/>
                <w:szCs w:val="20"/>
                <w:lang w:val="en-AU"/>
              </w:rPr>
              <w:t>District commitment to education</w:t>
            </w:r>
          </w:p>
        </w:tc>
        <w:tc>
          <w:tcPr>
            <w:tcW w:w="3088" w:type="dxa"/>
            <w:vAlign w:val="center"/>
          </w:tcPr>
          <w:p w:rsidR="009B6D6D" w:rsidRPr="0038463D" w:rsidRDefault="009B6D6D" w:rsidP="009B6D6D">
            <w:pPr>
              <w:spacing w:after="0"/>
              <w:rPr>
                <w:rFonts w:asciiTheme="minorHAnsi" w:hAnsiTheme="minorHAnsi"/>
                <w:sz w:val="20"/>
                <w:szCs w:val="20"/>
                <w:lang w:val="en-AU"/>
              </w:rPr>
            </w:pPr>
            <w:r w:rsidRPr="0038463D">
              <w:rPr>
                <w:rFonts w:asciiTheme="minorHAnsi" w:hAnsiTheme="minorHAnsi"/>
                <w:sz w:val="20"/>
                <w:szCs w:val="20"/>
                <w:lang w:val="en-AU"/>
              </w:rPr>
              <w:t>Education as % of total public expenditures</w:t>
            </w:r>
          </w:p>
        </w:tc>
        <w:tc>
          <w:tcPr>
            <w:tcW w:w="1081" w:type="dxa"/>
            <w:vAlign w:val="center"/>
          </w:tcPr>
          <w:p w:rsidR="009B6D6D" w:rsidRPr="0038463D" w:rsidRDefault="009B6D6D" w:rsidP="009B6D6D">
            <w:pPr>
              <w:spacing w:after="0"/>
              <w:jc w:val="center"/>
              <w:rPr>
                <w:rFonts w:asciiTheme="minorHAnsi" w:hAnsiTheme="minorHAnsi"/>
                <w:sz w:val="20"/>
                <w:szCs w:val="20"/>
                <w:lang w:val="en-AU"/>
              </w:rPr>
            </w:pPr>
            <w:r w:rsidRPr="0038463D">
              <w:rPr>
                <w:rFonts w:asciiTheme="minorHAnsi" w:hAnsiTheme="minorHAnsi"/>
                <w:sz w:val="20"/>
                <w:szCs w:val="20"/>
                <w:lang w:val="en-AU"/>
              </w:rPr>
              <w:t>District</w:t>
            </w:r>
          </w:p>
          <w:p w:rsidR="009B6D6D" w:rsidRPr="0038463D" w:rsidRDefault="009B6D6D" w:rsidP="009B6D6D">
            <w:pPr>
              <w:spacing w:after="0"/>
              <w:jc w:val="center"/>
              <w:rPr>
                <w:rFonts w:asciiTheme="minorHAnsi" w:hAnsiTheme="minorHAnsi"/>
                <w:sz w:val="20"/>
                <w:szCs w:val="20"/>
                <w:lang w:val="en-AU"/>
              </w:rPr>
            </w:pPr>
          </w:p>
        </w:tc>
        <w:tc>
          <w:tcPr>
            <w:tcW w:w="1698" w:type="dxa"/>
            <w:vAlign w:val="center"/>
          </w:tcPr>
          <w:p w:rsidR="009B6D6D" w:rsidRPr="0038463D" w:rsidRDefault="009B6D6D" w:rsidP="009B6D6D">
            <w:pPr>
              <w:spacing w:after="0"/>
              <w:jc w:val="center"/>
              <w:rPr>
                <w:rFonts w:asciiTheme="minorHAnsi" w:hAnsiTheme="minorHAnsi"/>
                <w:sz w:val="20"/>
                <w:szCs w:val="20"/>
                <w:lang w:val="en-AU"/>
              </w:rPr>
            </w:pPr>
            <w:r w:rsidRPr="0038463D">
              <w:rPr>
                <w:rFonts w:asciiTheme="minorHAnsi" w:hAnsiTheme="minorHAnsi"/>
                <w:sz w:val="20"/>
                <w:szCs w:val="20"/>
                <w:lang w:val="en-AU"/>
              </w:rPr>
              <w:t>Government commitment</w:t>
            </w:r>
          </w:p>
          <w:p w:rsidR="009B6D6D" w:rsidRPr="0038463D" w:rsidRDefault="009B6D6D" w:rsidP="009B6D6D">
            <w:pPr>
              <w:spacing w:after="0"/>
              <w:jc w:val="center"/>
              <w:rPr>
                <w:rFonts w:asciiTheme="minorHAnsi" w:hAnsiTheme="minorHAnsi"/>
                <w:sz w:val="20"/>
                <w:szCs w:val="20"/>
                <w:lang w:val="en-AU"/>
              </w:rPr>
            </w:pPr>
            <w:r w:rsidRPr="0038463D">
              <w:rPr>
                <w:rFonts w:asciiTheme="minorHAnsi" w:hAnsiTheme="minorHAnsi"/>
                <w:sz w:val="20"/>
                <w:szCs w:val="20"/>
                <w:lang w:val="en-AU"/>
              </w:rPr>
              <w:t>Equity/access</w:t>
            </w:r>
          </w:p>
        </w:tc>
        <w:tc>
          <w:tcPr>
            <w:tcW w:w="1082" w:type="dxa"/>
            <w:shd w:val="clear" w:color="auto" w:fill="FFC000"/>
            <w:vAlign w:val="center"/>
          </w:tcPr>
          <w:p w:rsidR="009B6D6D" w:rsidRPr="0038463D" w:rsidRDefault="009B6D6D" w:rsidP="009B6D6D">
            <w:pPr>
              <w:spacing w:after="0"/>
              <w:jc w:val="center"/>
              <w:rPr>
                <w:rFonts w:asciiTheme="minorHAnsi" w:hAnsiTheme="minorHAnsi"/>
                <w:sz w:val="20"/>
                <w:szCs w:val="20"/>
                <w:lang w:val="en-AU"/>
              </w:rPr>
            </w:pPr>
            <w:r w:rsidRPr="0038463D">
              <w:rPr>
                <w:rFonts w:asciiTheme="minorHAnsi" w:hAnsiTheme="minorHAnsi"/>
                <w:sz w:val="20"/>
                <w:szCs w:val="20"/>
                <w:lang w:val="en-AU"/>
              </w:rPr>
              <w:t>Neutral</w:t>
            </w:r>
          </w:p>
        </w:tc>
        <w:tc>
          <w:tcPr>
            <w:tcW w:w="4941" w:type="dxa"/>
            <w:tcBorders>
              <w:right w:val="single" w:sz="12" w:space="0" w:color="auto"/>
            </w:tcBorders>
            <w:vAlign w:val="center"/>
          </w:tcPr>
          <w:p w:rsidR="009B6D6D" w:rsidRPr="0038463D" w:rsidRDefault="009B6D6D" w:rsidP="009B6D6D">
            <w:pPr>
              <w:spacing w:after="0"/>
              <w:rPr>
                <w:rFonts w:asciiTheme="minorHAnsi" w:hAnsiTheme="minorHAnsi"/>
                <w:sz w:val="20"/>
                <w:szCs w:val="20"/>
                <w:lang w:val="en-AU"/>
              </w:rPr>
            </w:pPr>
            <w:r w:rsidRPr="0038463D">
              <w:rPr>
                <w:rFonts w:asciiTheme="minorHAnsi" w:hAnsiTheme="minorHAnsi"/>
                <w:b/>
                <w:sz w:val="20"/>
                <w:szCs w:val="20"/>
                <w:lang w:val="en-AU"/>
              </w:rPr>
              <w:t>Comment:</w:t>
            </w:r>
            <w:r w:rsidRPr="0038463D">
              <w:rPr>
                <w:rFonts w:asciiTheme="minorHAnsi" w:hAnsiTheme="minorHAnsi"/>
                <w:sz w:val="20"/>
                <w:szCs w:val="20"/>
                <w:lang w:val="en-AU"/>
              </w:rPr>
              <w:t xml:space="preserve"> The strong increase in the education share of district budgets in 2011 was reversed in 2012, with the education share dropping just over 1% from 36.7%.</w:t>
            </w:r>
          </w:p>
          <w:p w:rsidR="009B6D6D" w:rsidRPr="0038463D" w:rsidRDefault="009B6D6D" w:rsidP="009B6D6D">
            <w:pPr>
              <w:spacing w:after="0"/>
              <w:rPr>
                <w:rFonts w:asciiTheme="minorHAnsi" w:hAnsiTheme="minorHAnsi"/>
                <w:sz w:val="20"/>
                <w:szCs w:val="20"/>
                <w:lang w:val="en-AU"/>
              </w:rPr>
            </w:pPr>
            <w:r w:rsidRPr="0038463D">
              <w:rPr>
                <w:rFonts w:asciiTheme="minorHAnsi" w:hAnsiTheme="minorHAnsi"/>
                <w:b/>
                <w:sz w:val="20"/>
                <w:szCs w:val="20"/>
                <w:lang w:val="en-AU"/>
              </w:rPr>
              <w:t>Implications</w:t>
            </w:r>
            <w:r w:rsidRPr="0038463D">
              <w:rPr>
                <w:rFonts w:asciiTheme="minorHAnsi" w:hAnsiTheme="minorHAnsi"/>
                <w:sz w:val="20"/>
                <w:szCs w:val="20"/>
                <w:lang w:val="en-AU"/>
              </w:rPr>
              <w:t xml:space="preserve">: Some districts showing negative growth </w:t>
            </w:r>
            <w:r w:rsidRPr="0038463D">
              <w:rPr>
                <w:rFonts w:asciiTheme="minorHAnsi" w:hAnsiTheme="minorHAnsi"/>
                <w:sz w:val="20"/>
                <w:szCs w:val="20"/>
                <w:lang w:val="en-AU"/>
              </w:rPr>
              <w:lastRenderedPageBreak/>
              <w:t>should be monitored</w:t>
            </w:r>
          </w:p>
        </w:tc>
      </w:tr>
      <w:tr w:rsidR="009B6D6D" w:rsidRPr="0038463D" w:rsidTr="009B6D6D">
        <w:trPr>
          <w:jc w:val="center"/>
        </w:trPr>
        <w:tc>
          <w:tcPr>
            <w:tcW w:w="2280" w:type="dxa"/>
            <w:tcBorders>
              <w:left w:val="single" w:sz="12" w:space="0" w:color="auto"/>
            </w:tcBorders>
            <w:vAlign w:val="center"/>
          </w:tcPr>
          <w:p w:rsidR="009B6D6D" w:rsidRPr="0038463D" w:rsidRDefault="009B6D6D" w:rsidP="009B6D6D">
            <w:pPr>
              <w:spacing w:after="0"/>
              <w:rPr>
                <w:rFonts w:asciiTheme="minorHAnsi" w:hAnsiTheme="minorHAnsi"/>
                <w:sz w:val="20"/>
                <w:szCs w:val="20"/>
                <w:lang w:val="en-AU"/>
              </w:rPr>
            </w:pPr>
            <w:r w:rsidRPr="0038463D">
              <w:rPr>
                <w:rFonts w:asciiTheme="minorHAnsi" w:hAnsiTheme="minorHAnsi"/>
                <w:sz w:val="20"/>
                <w:szCs w:val="20"/>
                <w:lang w:val="en-AU"/>
              </w:rPr>
              <w:lastRenderedPageBreak/>
              <w:t xml:space="preserve">KPI 7 </w:t>
            </w:r>
          </w:p>
          <w:p w:rsidR="009B6D6D" w:rsidRPr="0038463D" w:rsidRDefault="009B6D6D" w:rsidP="009B6D6D">
            <w:pPr>
              <w:spacing w:after="0"/>
              <w:rPr>
                <w:rFonts w:asciiTheme="minorHAnsi" w:hAnsiTheme="minorHAnsi"/>
                <w:sz w:val="20"/>
                <w:szCs w:val="20"/>
                <w:lang w:val="en-AU"/>
              </w:rPr>
            </w:pPr>
            <w:r w:rsidRPr="0038463D">
              <w:rPr>
                <w:rFonts w:asciiTheme="minorHAnsi" w:hAnsiTheme="minorHAnsi"/>
                <w:sz w:val="20"/>
                <w:szCs w:val="20"/>
                <w:lang w:val="en-AU"/>
              </w:rPr>
              <w:t>Annual growth in spending in the poorest districts</w:t>
            </w:r>
          </w:p>
        </w:tc>
        <w:tc>
          <w:tcPr>
            <w:tcW w:w="3088" w:type="dxa"/>
            <w:vAlign w:val="center"/>
          </w:tcPr>
          <w:p w:rsidR="009B6D6D" w:rsidRPr="0038463D" w:rsidRDefault="009B6D6D" w:rsidP="009B6D6D">
            <w:pPr>
              <w:spacing w:after="0"/>
              <w:rPr>
                <w:rFonts w:asciiTheme="minorHAnsi" w:hAnsiTheme="minorHAnsi"/>
                <w:sz w:val="20"/>
                <w:szCs w:val="20"/>
                <w:lang w:val="en-AU"/>
              </w:rPr>
            </w:pPr>
            <w:r w:rsidRPr="0038463D">
              <w:rPr>
                <w:rFonts w:asciiTheme="minorHAnsi" w:hAnsiTheme="minorHAnsi"/>
                <w:sz w:val="20"/>
                <w:szCs w:val="20"/>
                <w:lang w:val="en-AU"/>
              </w:rPr>
              <w:t>Annual % change in public expenditures for education in lowest quintile districts compared to national % change in public expenditure for education</w:t>
            </w:r>
          </w:p>
        </w:tc>
        <w:tc>
          <w:tcPr>
            <w:tcW w:w="1081" w:type="dxa"/>
            <w:vAlign w:val="center"/>
          </w:tcPr>
          <w:p w:rsidR="009B6D6D" w:rsidRPr="0038463D" w:rsidRDefault="009B6D6D" w:rsidP="009B6D6D">
            <w:pPr>
              <w:spacing w:after="0"/>
              <w:jc w:val="center"/>
              <w:rPr>
                <w:rFonts w:asciiTheme="minorHAnsi" w:hAnsiTheme="minorHAnsi"/>
                <w:sz w:val="20"/>
                <w:szCs w:val="20"/>
                <w:lang w:val="en-AU"/>
              </w:rPr>
            </w:pPr>
            <w:r w:rsidRPr="0038463D">
              <w:rPr>
                <w:rFonts w:asciiTheme="minorHAnsi" w:hAnsiTheme="minorHAnsi"/>
                <w:sz w:val="20"/>
                <w:szCs w:val="20"/>
                <w:lang w:val="en-AU"/>
              </w:rPr>
              <w:t>District</w:t>
            </w:r>
          </w:p>
          <w:p w:rsidR="009B6D6D" w:rsidRPr="0038463D" w:rsidRDefault="009B6D6D" w:rsidP="009B6D6D">
            <w:pPr>
              <w:spacing w:after="0"/>
              <w:jc w:val="center"/>
              <w:rPr>
                <w:rFonts w:asciiTheme="minorHAnsi" w:hAnsiTheme="minorHAnsi"/>
                <w:sz w:val="20"/>
                <w:szCs w:val="20"/>
                <w:lang w:val="en-AU"/>
              </w:rPr>
            </w:pPr>
          </w:p>
        </w:tc>
        <w:tc>
          <w:tcPr>
            <w:tcW w:w="1698" w:type="dxa"/>
            <w:vAlign w:val="center"/>
          </w:tcPr>
          <w:p w:rsidR="009B6D6D" w:rsidRPr="0038463D" w:rsidRDefault="009B6D6D" w:rsidP="009B6D6D">
            <w:pPr>
              <w:spacing w:after="0"/>
              <w:jc w:val="center"/>
              <w:rPr>
                <w:rFonts w:asciiTheme="minorHAnsi" w:hAnsiTheme="minorHAnsi"/>
                <w:sz w:val="20"/>
                <w:szCs w:val="20"/>
                <w:lang w:val="en-AU"/>
              </w:rPr>
            </w:pPr>
            <w:r w:rsidRPr="0038463D">
              <w:rPr>
                <w:rFonts w:asciiTheme="minorHAnsi" w:hAnsiTheme="minorHAnsi"/>
                <w:sz w:val="20"/>
                <w:szCs w:val="20"/>
                <w:lang w:val="en-AU"/>
              </w:rPr>
              <w:t>Equity/access</w:t>
            </w:r>
          </w:p>
        </w:tc>
        <w:tc>
          <w:tcPr>
            <w:tcW w:w="1082" w:type="dxa"/>
            <w:shd w:val="clear" w:color="auto" w:fill="FF0000"/>
            <w:vAlign w:val="center"/>
          </w:tcPr>
          <w:p w:rsidR="009B6D6D" w:rsidRPr="0038463D" w:rsidRDefault="009B6D6D" w:rsidP="009B6D6D">
            <w:pPr>
              <w:spacing w:after="0"/>
              <w:jc w:val="center"/>
              <w:rPr>
                <w:rFonts w:asciiTheme="minorHAnsi" w:hAnsiTheme="minorHAnsi"/>
                <w:sz w:val="20"/>
                <w:szCs w:val="20"/>
                <w:lang w:val="en-AU"/>
              </w:rPr>
            </w:pPr>
            <w:r w:rsidRPr="0038463D">
              <w:rPr>
                <w:rFonts w:asciiTheme="minorHAnsi" w:hAnsiTheme="minorHAnsi"/>
                <w:sz w:val="20"/>
                <w:szCs w:val="20"/>
                <w:lang w:val="en-AU"/>
              </w:rPr>
              <w:t>Negative</w:t>
            </w:r>
          </w:p>
        </w:tc>
        <w:tc>
          <w:tcPr>
            <w:tcW w:w="4941" w:type="dxa"/>
            <w:tcBorders>
              <w:right w:val="single" w:sz="12" w:space="0" w:color="auto"/>
            </w:tcBorders>
            <w:vAlign w:val="center"/>
          </w:tcPr>
          <w:p w:rsidR="009B6D6D" w:rsidRPr="0038463D" w:rsidRDefault="009B6D6D" w:rsidP="009B6D6D">
            <w:pPr>
              <w:spacing w:after="0"/>
              <w:rPr>
                <w:rFonts w:asciiTheme="minorHAnsi" w:hAnsiTheme="minorHAnsi"/>
                <w:sz w:val="20"/>
                <w:szCs w:val="20"/>
                <w:lang w:val="en-AU"/>
              </w:rPr>
            </w:pPr>
            <w:r w:rsidRPr="0038463D">
              <w:rPr>
                <w:rFonts w:asciiTheme="minorHAnsi" w:hAnsiTheme="minorHAnsi"/>
                <w:b/>
                <w:sz w:val="20"/>
                <w:szCs w:val="20"/>
                <w:lang w:val="en-AU"/>
              </w:rPr>
              <w:t>Comment:</w:t>
            </w:r>
            <w:r w:rsidRPr="0038463D">
              <w:rPr>
                <w:rFonts w:asciiTheme="minorHAnsi" w:hAnsiTheme="minorHAnsi"/>
                <w:sz w:val="20"/>
                <w:szCs w:val="20"/>
                <w:lang w:val="en-AU"/>
              </w:rPr>
              <w:t xml:space="preserve"> In 2012, 31 of the poorest districts experienced a contraction in their nominal education expenditure (before accounting for inflation).</w:t>
            </w:r>
          </w:p>
          <w:p w:rsidR="009B6D6D" w:rsidRPr="0038463D" w:rsidRDefault="009B6D6D" w:rsidP="009B6D6D">
            <w:pPr>
              <w:spacing w:after="0"/>
              <w:rPr>
                <w:rFonts w:asciiTheme="minorHAnsi" w:hAnsiTheme="minorHAnsi"/>
                <w:sz w:val="20"/>
                <w:szCs w:val="20"/>
                <w:lang w:val="en-AU"/>
              </w:rPr>
            </w:pPr>
            <w:r w:rsidRPr="0038463D">
              <w:rPr>
                <w:rFonts w:asciiTheme="minorHAnsi" w:hAnsiTheme="minorHAnsi"/>
                <w:b/>
                <w:sz w:val="20"/>
                <w:szCs w:val="20"/>
                <w:lang w:val="en-AU"/>
              </w:rPr>
              <w:t xml:space="preserve">Implications: </w:t>
            </w:r>
            <w:r w:rsidRPr="0038463D">
              <w:rPr>
                <w:rFonts w:asciiTheme="minorHAnsi" w:hAnsiTheme="minorHAnsi"/>
                <w:sz w:val="20"/>
                <w:szCs w:val="20"/>
                <w:lang w:val="en-AU"/>
              </w:rPr>
              <w:t>Nearly one third of poorest quintile districts (100) reduced their annual budget allocation for education in 2012</w:t>
            </w:r>
          </w:p>
          <w:p w:rsidR="009B6D6D" w:rsidRPr="0038463D" w:rsidRDefault="009B6D6D" w:rsidP="009B6D6D">
            <w:pPr>
              <w:spacing w:after="0"/>
              <w:rPr>
                <w:rFonts w:asciiTheme="minorHAnsi" w:hAnsiTheme="minorHAnsi"/>
                <w:sz w:val="20"/>
                <w:szCs w:val="20"/>
                <w:lang w:val="en-AU"/>
              </w:rPr>
            </w:pPr>
          </w:p>
        </w:tc>
      </w:tr>
      <w:tr w:rsidR="009B6D6D" w:rsidRPr="0038463D" w:rsidTr="009B6D6D">
        <w:trPr>
          <w:jc w:val="center"/>
        </w:trPr>
        <w:tc>
          <w:tcPr>
            <w:tcW w:w="2280" w:type="dxa"/>
            <w:tcBorders>
              <w:left w:val="single" w:sz="12" w:space="0" w:color="auto"/>
            </w:tcBorders>
            <w:vAlign w:val="center"/>
          </w:tcPr>
          <w:p w:rsidR="009B6D6D" w:rsidRPr="0038463D" w:rsidRDefault="009B6D6D" w:rsidP="009B6D6D">
            <w:pPr>
              <w:spacing w:after="0"/>
              <w:rPr>
                <w:rFonts w:asciiTheme="minorHAnsi" w:hAnsiTheme="minorHAnsi"/>
                <w:sz w:val="20"/>
                <w:szCs w:val="20"/>
                <w:lang w:val="en-AU"/>
              </w:rPr>
            </w:pPr>
            <w:r w:rsidRPr="0038463D">
              <w:rPr>
                <w:rFonts w:asciiTheme="minorHAnsi" w:hAnsiTheme="minorHAnsi"/>
                <w:sz w:val="20"/>
                <w:szCs w:val="20"/>
                <w:lang w:val="en-AU"/>
              </w:rPr>
              <w:t xml:space="preserve">KPI 8 </w:t>
            </w:r>
          </w:p>
          <w:p w:rsidR="009B6D6D" w:rsidRPr="0038463D" w:rsidRDefault="009B6D6D" w:rsidP="009B6D6D">
            <w:pPr>
              <w:spacing w:after="0"/>
              <w:rPr>
                <w:rFonts w:asciiTheme="minorHAnsi" w:hAnsiTheme="minorHAnsi"/>
                <w:sz w:val="20"/>
                <w:szCs w:val="20"/>
                <w:lang w:val="en-AU"/>
              </w:rPr>
            </w:pPr>
            <w:r w:rsidRPr="0038463D">
              <w:rPr>
                <w:rFonts w:asciiTheme="minorHAnsi" w:hAnsiTheme="minorHAnsi"/>
                <w:sz w:val="20"/>
                <w:szCs w:val="20"/>
                <w:lang w:val="en-AU"/>
              </w:rPr>
              <w:t xml:space="preserve">Average district expenditure per student </w:t>
            </w:r>
          </w:p>
        </w:tc>
        <w:tc>
          <w:tcPr>
            <w:tcW w:w="3088" w:type="dxa"/>
            <w:vAlign w:val="center"/>
          </w:tcPr>
          <w:p w:rsidR="009B6D6D" w:rsidRPr="0038463D" w:rsidRDefault="009B6D6D" w:rsidP="009B6D6D">
            <w:pPr>
              <w:spacing w:after="0"/>
              <w:rPr>
                <w:rFonts w:asciiTheme="minorHAnsi" w:hAnsiTheme="minorHAnsi"/>
                <w:sz w:val="20"/>
                <w:szCs w:val="20"/>
                <w:lang w:val="en-AU"/>
              </w:rPr>
            </w:pPr>
            <w:r w:rsidRPr="0038463D">
              <w:rPr>
                <w:rFonts w:asciiTheme="minorHAnsi" w:hAnsiTheme="minorHAnsi"/>
                <w:sz w:val="20"/>
                <w:szCs w:val="20"/>
                <w:lang w:val="en-AU"/>
              </w:rPr>
              <w:t>Public expenditure from APBD divided by total number of school students</w:t>
            </w:r>
          </w:p>
        </w:tc>
        <w:tc>
          <w:tcPr>
            <w:tcW w:w="1081" w:type="dxa"/>
            <w:vAlign w:val="center"/>
          </w:tcPr>
          <w:p w:rsidR="009B6D6D" w:rsidRPr="0038463D" w:rsidRDefault="009B6D6D" w:rsidP="009B6D6D">
            <w:pPr>
              <w:spacing w:after="0"/>
              <w:jc w:val="center"/>
              <w:rPr>
                <w:rFonts w:asciiTheme="minorHAnsi" w:hAnsiTheme="minorHAnsi"/>
                <w:sz w:val="20"/>
                <w:szCs w:val="20"/>
                <w:lang w:val="en-AU"/>
              </w:rPr>
            </w:pPr>
            <w:r w:rsidRPr="0038463D">
              <w:rPr>
                <w:rFonts w:asciiTheme="minorHAnsi" w:hAnsiTheme="minorHAnsi"/>
                <w:sz w:val="20"/>
                <w:szCs w:val="20"/>
                <w:lang w:val="en-AU"/>
              </w:rPr>
              <w:t>District</w:t>
            </w:r>
          </w:p>
        </w:tc>
        <w:tc>
          <w:tcPr>
            <w:tcW w:w="1698" w:type="dxa"/>
            <w:vAlign w:val="center"/>
          </w:tcPr>
          <w:p w:rsidR="009B6D6D" w:rsidRPr="0038463D" w:rsidRDefault="009B6D6D" w:rsidP="009B6D6D">
            <w:pPr>
              <w:spacing w:after="0"/>
              <w:jc w:val="center"/>
              <w:rPr>
                <w:rFonts w:asciiTheme="minorHAnsi" w:hAnsiTheme="minorHAnsi"/>
                <w:sz w:val="20"/>
                <w:szCs w:val="20"/>
                <w:lang w:val="en-AU"/>
              </w:rPr>
            </w:pPr>
            <w:r w:rsidRPr="0038463D">
              <w:rPr>
                <w:rFonts w:asciiTheme="minorHAnsi" w:hAnsiTheme="minorHAnsi"/>
                <w:sz w:val="20"/>
                <w:szCs w:val="20"/>
                <w:lang w:val="en-AU"/>
              </w:rPr>
              <w:t>Government commitment</w:t>
            </w:r>
          </w:p>
          <w:p w:rsidR="009B6D6D" w:rsidRPr="0038463D" w:rsidRDefault="009B6D6D" w:rsidP="009B6D6D">
            <w:pPr>
              <w:spacing w:after="0"/>
              <w:jc w:val="center"/>
              <w:rPr>
                <w:rFonts w:asciiTheme="minorHAnsi" w:hAnsiTheme="minorHAnsi"/>
                <w:sz w:val="20"/>
                <w:szCs w:val="20"/>
                <w:lang w:val="en-AU"/>
              </w:rPr>
            </w:pPr>
            <w:r w:rsidRPr="0038463D">
              <w:rPr>
                <w:rFonts w:asciiTheme="minorHAnsi" w:hAnsiTheme="minorHAnsi"/>
                <w:sz w:val="20"/>
                <w:szCs w:val="20"/>
                <w:lang w:val="en-AU"/>
              </w:rPr>
              <w:t>Quality</w:t>
            </w:r>
          </w:p>
        </w:tc>
        <w:tc>
          <w:tcPr>
            <w:tcW w:w="1082" w:type="dxa"/>
            <w:shd w:val="clear" w:color="auto" w:fill="92D050"/>
            <w:vAlign w:val="center"/>
          </w:tcPr>
          <w:p w:rsidR="009B6D6D" w:rsidRPr="0038463D" w:rsidRDefault="009B6D6D" w:rsidP="009B6D6D">
            <w:pPr>
              <w:spacing w:after="0"/>
              <w:jc w:val="center"/>
              <w:rPr>
                <w:rFonts w:asciiTheme="minorHAnsi" w:hAnsiTheme="minorHAnsi"/>
                <w:sz w:val="20"/>
                <w:szCs w:val="20"/>
                <w:lang w:val="en-AU"/>
              </w:rPr>
            </w:pPr>
            <w:r w:rsidRPr="0038463D">
              <w:rPr>
                <w:rFonts w:asciiTheme="minorHAnsi" w:hAnsiTheme="minorHAnsi"/>
                <w:sz w:val="20"/>
                <w:szCs w:val="20"/>
                <w:lang w:val="en-AU"/>
              </w:rPr>
              <w:t>Positive</w:t>
            </w:r>
          </w:p>
        </w:tc>
        <w:tc>
          <w:tcPr>
            <w:tcW w:w="4941" w:type="dxa"/>
            <w:tcBorders>
              <w:right w:val="single" w:sz="12" w:space="0" w:color="auto"/>
            </w:tcBorders>
            <w:vAlign w:val="center"/>
          </w:tcPr>
          <w:p w:rsidR="009B6D6D" w:rsidRPr="0038463D" w:rsidRDefault="009B6D6D" w:rsidP="009B6D6D">
            <w:pPr>
              <w:spacing w:after="0"/>
              <w:rPr>
                <w:rFonts w:asciiTheme="minorHAnsi" w:hAnsiTheme="minorHAnsi"/>
                <w:sz w:val="20"/>
                <w:szCs w:val="20"/>
                <w:lang w:val="en-AU"/>
              </w:rPr>
            </w:pPr>
            <w:r w:rsidRPr="0038463D">
              <w:rPr>
                <w:rFonts w:asciiTheme="minorHAnsi" w:hAnsiTheme="minorHAnsi"/>
                <w:b/>
                <w:sz w:val="20"/>
                <w:szCs w:val="20"/>
                <w:lang w:val="en-AU"/>
              </w:rPr>
              <w:t>Comment:</w:t>
            </w:r>
            <w:r w:rsidRPr="0038463D">
              <w:rPr>
                <w:rFonts w:asciiTheme="minorHAnsi" w:hAnsiTheme="minorHAnsi"/>
                <w:sz w:val="20"/>
                <w:szCs w:val="20"/>
                <w:lang w:val="en-AU"/>
              </w:rPr>
              <w:t xml:space="preserve"> Average expenditure per student across the country grew in 2012 but not as strongly as for 2011. </w:t>
            </w:r>
          </w:p>
          <w:p w:rsidR="009B6D6D" w:rsidRPr="0038463D" w:rsidRDefault="009B6D6D" w:rsidP="009B6D6D">
            <w:pPr>
              <w:spacing w:after="0"/>
              <w:rPr>
                <w:rFonts w:asciiTheme="minorHAnsi" w:hAnsiTheme="minorHAnsi"/>
                <w:sz w:val="20"/>
                <w:szCs w:val="20"/>
                <w:lang w:val="en-AU"/>
              </w:rPr>
            </w:pPr>
            <w:r w:rsidRPr="0038463D">
              <w:rPr>
                <w:rFonts w:asciiTheme="minorHAnsi" w:hAnsiTheme="minorHAnsi"/>
                <w:b/>
                <w:sz w:val="20"/>
                <w:szCs w:val="20"/>
                <w:lang w:val="en-AU"/>
              </w:rPr>
              <w:t>Implications</w:t>
            </w:r>
            <w:r w:rsidRPr="0038463D">
              <w:rPr>
                <w:rFonts w:asciiTheme="minorHAnsi" w:hAnsiTheme="minorHAnsi"/>
                <w:sz w:val="20"/>
                <w:szCs w:val="20"/>
                <w:lang w:val="en-AU"/>
              </w:rPr>
              <w:t>: Some districts showing negative growth should be monitored</w:t>
            </w:r>
          </w:p>
        </w:tc>
      </w:tr>
      <w:tr w:rsidR="009B6D6D" w:rsidRPr="0038463D" w:rsidTr="009B6D6D">
        <w:trPr>
          <w:jc w:val="center"/>
        </w:trPr>
        <w:tc>
          <w:tcPr>
            <w:tcW w:w="2280" w:type="dxa"/>
            <w:tcBorders>
              <w:left w:val="single" w:sz="12" w:space="0" w:color="auto"/>
            </w:tcBorders>
            <w:vAlign w:val="center"/>
          </w:tcPr>
          <w:p w:rsidR="009B6D6D" w:rsidRPr="0038463D" w:rsidRDefault="009B6D6D" w:rsidP="009B6D6D">
            <w:pPr>
              <w:spacing w:after="0"/>
              <w:rPr>
                <w:rFonts w:asciiTheme="minorHAnsi" w:hAnsiTheme="minorHAnsi"/>
                <w:sz w:val="20"/>
                <w:szCs w:val="20"/>
                <w:lang w:val="en-AU"/>
              </w:rPr>
            </w:pPr>
            <w:r w:rsidRPr="0038463D">
              <w:rPr>
                <w:rFonts w:asciiTheme="minorHAnsi" w:hAnsiTheme="minorHAnsi"/>
                <w:sz w:val="20"/>
                <w:szCs w:val="20"/>
                <w:lang w:val="en-AU"/>
              </w:rPr>
              <w:t xml:space="preserve">KPI 9 </w:t>
            </w:r>
          </w:p>
          <w:p w:rsidR="009B6D6D" w:rsidRPr="0038463D" w:rsidRDefault="009B6D6D" w:rsidP="009B6D6D">
            <w:pPr>
              <w:spacing w:after="0"/>
              <w:rPr>
                <w:rFonts w:asciiTheme="minorHAnsi" w:hAnsiTheme="minorHAnsi"/>
                <w:sz w:val="20"/>
                <w:szCs w:val="20"/>
                <w:lang w:val="en-AU"/>
              </w:rPr>
            </w:pPr>
            <w:r w:rsidRPr="0038463D">
              <w:rPr>
                <w:rFonts w:asciiTheme="minorHAnsi" w:hAnsiTheme="minorHAnsi"/>
                <w:sz w:val="20"/>
                <w:szCs w:val="20"/>
                <w:lang w:val="en-AU"/>
              </w:rPr>
              <w:t>Actual education expenditure as % of planned expenditure</w:t>
            </w:r>
          </w:p>
        </w:tc>
        <w:tc>
          <w:tcPr>
            <w:tcW w:w="3088" w:type="dxa"/>
            <w:vAlign w:val="center"/>
          </w:tcPr>
          <w:p w:rsidR="009B6D6D" w:rsidRPr="0038463D" w:rsidRDefault="009B6D6D" w:rsidP="009B6D6D">
            <w:pPr>
              <w:spacing w:after="0"/>
              <w:rPr>
                <w:rFonts w:asciiTheme="minorHAnsi" w:hAnsiTheme="minorHAnsi"/>
                <w:sz w:val="20"/>
                <w:szCs w:val="20"/>
                <w:lang w:val="en-AU"/>
              </w:rPr>
            </w:pPr>
            <w:r w:rsidRPr="0038463D">
              <w:rPr>
                <w:rFonts w:asciiTheme="minorHAnsi" w:hAnsiTheme="minorHAnsi"/>
                <w:sz w:val="20"/>
                <w:szCs w:val="20"/>
                <w:lang w:val="en-AU"/>
              </w:rPr>
              <w:t>Realised APBD for education as % of planned APBD for education</w:t>
            </w:r>
          </w:p>
        </w:tc>
        <w:tc>
          <w:tcPr>
            <w:tcW w:w="1081" w:type="dxa"/>
            <w:vAlign w:val="center"/>
          </w:tcPr>
          <w:p w:rsidR="009B6D6D" w:rsidRPr="0038463D" w:rsidRDefault="009B6D6D" w:rsidP="009B6D6D">
            <w:pPr>
              <w:spacing w:after="0"/>
              <w:jc w:val="center"/>
              <w:rPr>
                <w:rFonts w:asciiTheme="minorHAnsi" w:hAnsiTheme="minorHAnsi"/>
                <w:sz w:val="20"/>
                <w:szCs w:val="20"/>
                <w:lang w:val="en-AU"/>
              </w:rPr>
            </w:pPr>
            <w:r w:rsidRPr="0038463D">
              <w:rPr>
                <w:rFonts w:asciiTheme="minorHAnsi" w:hAnsiTheme="minorHAnsi"/>
                <w:sz w:val="20"/>
                <w:szCs w:val="20"/>
                <w:lang w:val="en-AU"/>
              </w:rPr>
              <w:t>District</w:t>
            </w:r>
          </w:p>
        </w:tc>
        <w:tc>
          <w:tcPr>
            <w:tcW w:w="1698" w:type="dxa"/>
            <w:vAlign w:val="center"/>
          </w:tcPr>
          <w:p w:rsidR="009B6D6D" w:rsidRPr="0038463D" w:rsidRDefault="009B6D6D" w:rsidP="009B6D6D">
            <w:pPr>
              <w:spacing w:after="0"/>
              <w:jc w:val="center"/>
              <w:rPr>
                <w:rFonts w:asciiTheme="minorHAnsi" w:hAnsiTheme="minorHAnsi"/>
                <w:sz w:val="20"/>
                <w:szCs w:val="20"/>
                <w:lang w:val="en-AU"/>
              </w:rPr>
            </w:pPr>
            <w:r w:rsidRPr="0038463D">
              <w:rPr>
                <w:rFonts w:asciiTheme="minorHAnsi" w:hAnsiTheme="minorHAnsi"/>
                <w:sz w:val="20"/>
                <w:szCs w:val="20"/>
                <w:lang w:val="en-AU"/>
              </w:rPr>
              <w:t>Government commitment</w:t>
            </w:r>
          </w:p>
        </w:tc>
        <w:tc>
          <w:tcPr>
            <w:tcW w:w="1082" w:type="dxa"/>
            <w:shd w:val="clear" w:color="auto" w:fill="92D050"/>
            <w:vAlign w:val="center"/>
          </w:tcPr>
          <w:p w:rsidR="009B6D6D" w:rsidRPr="0038463D" w:rsidRDefault="009B6D6D" w:rsidP="009B6D6D">
            <w:pPr>
              <w:spacing w:after="0"/>
              <w:jc w:val="center"/>
              <w:rPr>
                <w:rFonts w:asciiTheme="minorHAnsi" w:hAnsiTheme="minorHAnsi"/>
                <w:sz w:val="20"/>
                <w:szCs w:val="20"/>
                <w:lang w:val="en-AU"/>
              </w:rPr>
            </w:pPr>
            <w:r w:rsidRPr="0038463D">
              <w:rPr>
                <w:rFonts w:asciiTheme="minorHAnsi" w:hAnsiTheme="minorHAnsi"/>
                <w:sz w:val="20"/>
                <w:szCs w:val="20"/>
                <w:lang w:val="en-AU"/>
              </w:rPr>
              <w:t>Positive</w:t>
            </w:r>
          </w:p>
        </w:tc>
        <w:tc>
          <w:tcPr>
            <w:tcW w:w="4941" w:type="dxa"/>
            <w:tcBorders>
              <w:right w:val="single" w:sz="12" w:space="0" w:color="auto"/>
            </w:tcBorders>
            <w:vAlign w:val="center"/>
          </w:tcPr>
          <w:p w:rsidR="009B6D6D" w:rsidRPr="0038463D" w:rsidRDefault="009B6D6D" w:rsidP="009B6D6D">
            <w:pPr>
              <w:tabs>
                <w:tab w:val="right" w:pos="5171"/>
              </w:tabs>
              <w:spacing w:after="0"/>
              <w:rPr>
                <w:rFonts w:asciiTheme="minorHAnsi" w:hAnsiTheme="minorHAnsi"/>
                <w:sz w:val="20"/>
                <w:szCs w:val="20"/>
                <w:lang w:val="en-AU"/>
              </w:rPr>
            </w:pPr>
            <w:r w:rsidRPr="0038463D">
              <w:rPr>
                <w:rFonts w:asciiTheme="minorHAnsi" w:hAnsiTheme="minorHAnsi"/>
                <w:b/>
                <w:sz w:val="20"/>
                <w:szCs w:val="20"/>
                <w:lang w:val="en-AU"/>
              </w:rPr>
              <w:t>Comment:</w:t>
            </w:r>
            <w:r w:rsidRPr="0038463D">
              <w:rPr>
                <w:rFonts w:asciiTheme="minorHAnsi" w:hAnsiTheme="minorHAnsi"/>
                <w:sz w:val="20"/>
                <w:szCs w:val="20"/>
                <w:lang w:val="en-AU"/>
              </w:rPr>
              <w:t xml:space="preserve"> Districts in 2007 (the last year for which verified data are available) managed to spend nearly 100% of their planned budget. This was a significant improvement on 2006 where only 91% of funds were spent nationally.</w:t>
            </w:r>
          </w:p>
          <w:p w:rsidR="009B6D6D" w:rsidRPr="0038463D" w:rsidRDefault="009B6D6D" w:rsidP="009B6D6D">
            <w:pPr>
              <w:tabs>
                <w:tab w:val="right" w:pos="5171"/>
              </w:tabs>
              <w:spacing w:after="0"/>
              <w:rPr>
                <w:rFonts w:asciiTheme="minorHAnsi" w:hAnsiTheme="minorHAnsi"/>
                <w:sz w:val="20"/>
                <w:szCs w:val="20"/>
                <w:lang w:val="en-AU"/>
              </w:rPr>
            </w:pPr>
            <w:r w:rsidRPr="0038463D">
              <w:rPr>
                <w:rFonts w:asciiTheme="minorHAnsi" w:hAnsiTheme="minorHAnsi"/>
                <w:b/>
                <w:sz w:val="20"/>
                <w:szCs w:val="20"/>
                <w:lang w:val="en-AU"/>
              </w:rPr>
              <w:t>Implications</w:t>
            </w:r>
            <w:r w:rsidRPr="0038463D">
              <w:rPr>
                <w:rFonts w:asciiTheme="minorHAnsi" w:hAnsiTheme="minorHAnsi"/>
                <w:sz w:val="20"/>
                <w:szCs w:val="20"/>
                <w:lang w:val="en-AU"/>
              </w:rPr>
              <w:t>: Updated data are required to reach conclusions about possible changes in expenditure patterns</w:t>
            </w:r>
          </w:p>
        </w:tc>
      </w:tr>
      <w:tr w:rsidR="009B6D6D" w:rsidRPr="0038463D" w:rsidTr="009B6D6D">
        <w:trPr>
          <w:jc w:val="center"/>
        </w:trPr>
        <w:tc>
          <w:tcPr>
            <w:tcW w:w="2280" w:type="dxa"/>
            <w:tcBorders>
              <w:left w:val="single" w:sz="12" w:space="0" w:color="auto"/>
              <w:bottom w:val="single" w:sz="12" w:space="0" w:color="auto"/>
            </w:tcBorders>
            <w:vAlign w:val="center"/>
          </w:tcPr>
          <w:p w:rsidR="009B6D6D" w:rsidRPr="0038463D" w:rsidRDefault="009B6D6D" w:rsidP="009B6D6D">
            <w:pPr>
              <w:spacing w:after="0"/>
              <w:rPr>
                <w:rFonts w:asciiTheme="minorHAnsi" w:hAnsiTheme="minorHAnsi"/>
                <w:sz w:val="20"/>
                <w:szCs w:val="20"/>
                <w:lang w:val="en-AU"/>
              </w:rPr>
            </w:pPr>
            <w:r w:rsidRPr="0038463D">
              <w:rPr>
                <w:rFonts w:asciiTheme="minorHAnsi" w:hAnsiTheme="minorHAnsi"/>
                <w:sz w:val="20"/>
                <w:szCs w:val="20"/>
                <w:lang w:val="en-AU"/>
              </w:rPr>
              <w:t xml:space="preserve">SPI 1 </w:t>
            </w:r>
          </w:p>
          <w:p w:rsidR="009B6D6D" w:rsidRPr="0038463D" w:rsidRDefault="009B6D6D" w:rsidP="009B6D6D">
            <w:pPr>
              <w:spacing w:after="0"/>
              <w:rPr>
                <w:rFonts w:asciiTheme="minorHAnsi" w:hAnsiTheme="minorHAnsi"/>
                <w:sz w:val="20"/>
                <w:szCs w:val="20"/>
                <w:lang w:val="en-AU"/>
              </w:rPr>
            </w:pPr>
            <w:r w:rsidRPr="0038463D">
              <w:rPr>
                <w:rFonts w:asciiTheme="minorHAnsi" w:hAnsiTheme="minorHAnsi"/>
                <w:sz w:val="20"/>
                <w:szCs w:val="20"/>
                <w:lang w:val="en-AU"/>
              </w:rPr>
              <w:t>Discretionary school funds as % of total district</w:t>
            </w:r>
            <w:r>
              <w:rPr>
                <w:rFonts w:asciiTheme="minorHAnsi" w:hAnsiTheme="minorHAnsi"/>
                <w:sz w:val="20"/>
                <w:szCs w:val="20"/>
                <w:lang w:val="en-AU"/>
              </w:rPr>
              <w:t xml:space="preserve"> </w:t>
            </w:r>
            <w:r w:rsidRPr="0038463D">
              <w:rPr>
                <w:rFonts w:asciiTheme="minorHAnsi" w:hAnsiTheme="minorHAnsi"/>
                <w:sz w:val="20"/>
                <w:szCs w:val="20"/>
                <w:lang w:val="en-AU"/>
              </w:rPr>
              <w:t>school expenditure</w:t>
            </w:r>
          </w:p>
        </w:tc>
        <w:tc>
          <w:tcPr>
            <w:tcW w:w="3088" w:type="dxa"/>
            <w:tcBorders>
              <w:bottom w:val="single" w:sz="12" w:space="0" w:color="auto"/>
            </w:tcBorders>
            <w:vAlign w:val="center"/>
          </w:tcPr>
          <w:p w:rsidR="009B6D6D" w:rsidRPr="0038463D" w:rsidRDefault="009B6D6D" w:rsidP="009B6D6D">
            <w:pPr>
              <w:spacing w:after="0"/>
              <w:rPr>
                <w:rFonts w:asciiTheme="minorHAnsi" w:hAnsiTheme="minorHAnsi"/>
                <w:sz w:val="20"/>
                <w:szCs w:val="20"/>
                <w:lang w:val="en-AU"/>
              </w:rPr>
            </w:pPr>
            <w:r w:rsidRPr="0038463D">
              <w:rPr>
                <w:rFonts w:asciiTheme="minorHAnsi" w:hAnsiTheme="minorHAnsi"/>
                <w:sz w:val="20"/>
                <w:szCs w:val="20"/>
                <w:lang w:val="en-AU"/>
              </w:rPr>
              <w:t>Estimated BOS expenditure as % of total school expenditure</w:t>
            </w:r>
          </w:p>
        </w:tc>
        <w:tc>
          <w:tcPr>
            <w:tcW w:w="1081" w:type="dxa"/>
            <w:tcBorders>
              <w:bottom w:val="single" w:sz="12" w:space="0" w:color="auto"/>
            </w:tcBorders>
            <w:vAlign w:val="center"/>
          </w:tcPr>
          <w:p w:rsidR="009B6D6D" w:rsidRPr="0038463D" w:rsidRDefault="009B6D6D" w:rsidP="009B6D6D">
            <w:pPr>
              <w:spacing w:after="0"/>
              <w:jc w:val="center"/>
              <w:rPr>
                <w:rFonts w:asciiTheme="minorHAnsi" w:hAnsiTheme="minorHAnsi"/>
                <w:sz w:val="20"/>
                <w:szCs w:val="20"/>
                <w:lang w:val="en-AU"/>
              </w:rPr>
            </w:pPr>
            <w:r w:rsidRPr="0038463D">
              <w:rPr>
                <w:rFonts w:asciiTheme="minorHAnsi" w:hAnsiTheme="minorHAnsi"/>
                <w:sz w:val="20"/>
                <w:szCs w:val="20"/>
                <w:lang w:val="en-AU"/>
              </w:rPr>
              <w:t>District</w:t>
            </w:r>
          </w:p>
        </w:tc>
        <w:tc>
          <w:tcPr>
            <w:tcW w:w="1698" w:type="dxa"/>
            <w:tcBorders>
              <w:bottom w:val="single" w:sz="12" w:space="0" w:color="auto"/>
            </w:tcBorders>
            <w:vAlign w:val="center"/>
          </w:tcPr>
          <w:p w:rsidR="009B6D6D" w:rsidRPr="0038463D" w:rsidRDefault="009B6D6D" w:rsidP="009B6D6D">
            <w:pPr>
              <w:spacing w:after="0"/>
              <w:jc w:val="center"/>
              <w:rPr>
                <w:rFonts w:asciiTheme="minorHAnsi" w:hAnsiTheme="minorHAnsi"/>
                <w:sz w:val="20"/>
                <w:szCs w:val="20"/>
                <w:lang w:val="en-AU"/>
              </w:rPr>
            </w:pPr>
            <w:r w:rsidRPr="0038463D">
              <w:rPr>
                <w:rFonts w:asciiTheme="minorHAnsi" w:hAnsiTheme="minorHAnsi"/>
                <w:sz w:val="20"/>
                <w:szCs w:val="20"/>
                <w:lang w:val="en-AU"/>
              </w:rPr>
              <w:t>Quality</w:t>
            </w:r>
          </w:p>
        </w:tc>
        <w:tc>
          <w:tcPr>
            <w:tcW w:w="1082" w:type="dxa"/>
            <w:tcBorders>
              <w:bottom w:val="single" w:sz="12" w:space="0" w:color="auto"/>
            </w:tcBorders>
            <w:shd w:val="clear" w:color="auto" w:fill="92D050"/>
            <w:vAlign w:val="center"/>
          </w:tcPr>
          <w:p w:rsidR="009B6D6D" w:rsidRPr="0038463D" w:rsidRDefault="009B6D6D" w:rsidP="009B6D6D">
            <w:pPr>
              <w:spacing w:after="0"/>
              <w:jc w:val="center"/>
              <w:rPr>
                <w:rFonts w:asciiTheme="minorHAnsi" w:hAnsiTheme="minorHAnsi"/>
                <w:sz w:val="20"/>
                <w:szCs w:val="20"/>
                <w:lang w:val="en-AU"/>
              </w:rPr>
            </w:pPr>
            <w:r w:rsidRPr="0038463D">
              <w:rPr>
                <w:rFonts w:asciiTheme="minorHAnsi" w:hAnsiTheme="minorHAnsi"/>
                <w:sz w:val="20"/>
                <w:szCs w:val="20"/>
                <w:lang w:val="en-AU"/>
              </w:rPr>
              <w:t>Positive</w:t>
            </w:r>
          </w:p>
        </w:tc>
        <w:tc>
          <w:tcPr>
            <w:tcW w:w="4941" w:type="dxa"/>
            <w:tcBorders>
              <w:bottom w:val="single" w:sz="12" w:space="0" w:color="auto"/>
              <w:right w:val="single" w:sz="12" w:space="0" w:color="auto"/>
            </w:tcBorders>
            <w:vAlign w:val="center"/>
          </w:tcPr>
          <w:p w:rsidR="009B6D6D" w:rsidRPr="0038463D" w:rsidRDefault="009B6D6D" w:rsidP="009B6D6D">
            <w:pPr>
              <w:tabs>
                <w:tab w:val="right" w:pos="5171"/>
              </w:tabs>
              <w:spacing w:after="0"/>
              <w:rPr>
                <w:rFonts w:asciiTheme="minorHAnsi" w:hAnsiTheme="minorHAnsi"/>
                <w:sz w:val="20"/>
                <w:szCs w:val="20"/>
                <w:lang w:val="en-AU"/>
              </w:rPr>
            </w:pPr>
            <w:r w:rsidRPr="0038463D">
              <w:rPr>
                <w:rFonts w:asciiTheme="minorHAnsi" w:hAnsiTheme="minorHAnsi"/>
                <w:b/>
                <w:sz w:val="20"/>
                <w:szCs w:val="20"/>
                <w:lang w:val="en-AU"/>
              </w:rPr>
              <w:t>Comment:</w:t>
            </w:r>
            <w:r w:rsidRPr="0038463D">
              <w:rPr>
                <w:rFonts w:asciiTheme="minorHAnsi" w:hAnsiTheme="minorHAnsi"/>
                <w:sz w:val="20"/>
                <w:szCs w:val="20"/>
                <w:lang w:val="en-AU"/>
              </w:rPr>
              <w:t xml:space="preserve"> In 2012, the BOS grants increased as a proportion of the district education budget as a result of slower growth in the district education budget, and an increase in the value of the BOS grants themselves. </w:t>
            </w:r>
          </w:p>
          <w:p w:rsidR="009B6D6D" w:rsidRPr="0038463D" w:rsidRDefault="009B6D6D" w:rsidP="009B6D6D">
            <w:pPr>
              <w:tabs>
                <w:tab w:val="right" w:pos="5171"/>
              </w:tabs>
              <w:spacing w:after="0"/>
              <w:rPr>
                <w:rFonts w:asciiTheme="minorHAnsi" w:hAnsiTheme="minorHAnsi"/>
                <w:sz w:val="20"/>
                <w:szCs w:val="20"/>
                <w:lang w:val="en-AU"/>
              </w:rPr>
            </w:pPr>
            <w:r w:rsidRPr="0038463D">
              <w:rPr>
                <w:rFonts w:asciiTheme="minorHAnsi" w:hAnsiTheme="minorHAnsi"/>
                <w:b/>
                <w:sz w:val="20"/>
                <w:szCs w:val="20"/>
                <w:lang w:val="en-AU"/>
              </w:rPr>
              <w:t xml:space="preserve">Implications: </w:t>
            </w:r>
            <w:r w:rsidRPr="0038463D">
              <w:rPr>
                <w:rFonts w:asciiTheme="minorHAnsi" w:hAnsiTheme="minorHAnsi"/>
                <w:sz w:val="20"/>
                <w:szCs w:val="20"/>
                <w:lang w:val="en-AU"/>
              </w:rPr>
              <w:t>Principals and school committees have greater than ever funds for discretionary spending at school level</w:t>
            </w:r>
            <w:r w:rsidRPr="0038463D">
              <w:rPr>
                <w:rFonts w:asciiTheme="minorHAnsi" w:hAnsiTheme="minorHAnsi"/>
                <w:b/>
                <w:sz w:val="20"/>
                <w:szCs w:val="20"/>
                <w:lang w:val="en-AU"/>
              </w:rPr>
              <w:t xml:space="preserve"> </w:t>
            </w:r>
          </w:p>
        </w:tc>
      </w:tr>
    </w:tbl>
    <w:p w:rsidR="00461F4F" w:rsidRDefault="00461F4F" w:rsidP="009D32EE">
      <w:pPr>
        <w:pStyle w:val="Heading2"/>
        <w:spacing w:before="120"/>
        <w:ind w:left="357" w:hanging="357"/>
        <w:sectPr w:rsidR="00461F4F" w:rsidSect="004971BD">
          <w:headerReference w:type="default" r:id="rId96"/>
          <w:footerReference w:type="default" r:id="rId97"/>
          <w:footnotePr>
            <w:numRestart w:val="eachSect"/>
          </w:footnotePr>
          <w:pgSz w:w="16834" w:h="11909" w:orient="landscape" w:code="9"/>
          <w:pgMar w:top="1440" w:right="1440" w:bottom="1440" w:left="1440" w:header="431" w:footer="425" w:gutter="0"/>
          <w:cols w:space="720"/>
          <w:noEndnote/>
          <w:docGrid w:linePitch="360"/>
        </w:sectPr>
      </w:pPr>
    </w:p>
    <w:p w:rsidR="00461F4F" w:rsidRPr="00790BC1" w:rsidRDefault="00461F4F" w:rsidP="00790BC1">
      <w:pPr>
        <w:pStyle w:val="Heading2"/>
        <w:spacing w:before="120" w:after="240"/>
        <w:ind w:left="567" w:hanging="567"/>
        <w:rPr>
          <w:rFonts w:asciiTheme="minorHAnsi" w:hAnsiTheme="minorHAnsi"/>
          <w:b/>
          <w:sz w:val="32"/>
          <w:szCs w:val="22"/>
        </w:rPr>
      </w:pPr>
      <w:r w:rsidRPr="00790BC1">
        <w:rPr>
          <w:rFonts w:asciiTheme="minorHAnsi" w:hAnsiTheme="minorHAnsi"/>
          <w:b/>
          <w:sz w:val="32"/>
          <w:szCs w:val="22"/>
        </w:rPr>
        <w:lastRenderedPageBreak/>
        <w:t>What do the trends in sector financing mean for the Education Partnership?</w:t>
      </w:r>
    </w:p>
    <w:p w:rsidR="00245A84" w:rsidRPr="000F0754" w:rsidRDefault="00245A84" w:rsidP="00DB55DD">
      <w:pPr>
        <w:pStyle w:val="Heading3"/>
      </w:pPr>
      <w:bookmarkStart w:id="126" w:name="_Toc372401524"/>
      <w:bookmarkEnd w:id="124"/>
      <w:r w:rsidRPr="000F0754">
        <w:t xml:space="preserve">Possible </w:t>
      </w:r>
      <w:r w:rsidR="00790BC1" w:rsidRPr="000F0754">
        <w:t xml:space="preserve">Impacts on the Sustainability of Benefits </w:t>
      </w:r>
      <w:r w:rsidR="00790BC1" w:rsidRPr="00245A84">
        <w:t>Stemming</w:t>
      </w:r>
      <w:r w:rsidR="00790BC1" w:rsidRPr="000F0754">
        <w:t xml:space="preserve"> from </w:t>
      </w:r>
      <w:r w:rsidRPr="000F0754">
        <w:t xml:space="preserve">EP </w:t>
      </w:r>
      <w:r w:rsidR="00790BC1" w:rsidRPr="000F0754">
        <w:t>Investments</w:t>
      </w:r>
      <w:bookmarkEnd w:id="126"/>
    </w:p>
    <w:p w:rsidR="001A093B" w:rsidRDefault="001A093B" w:rsidP="00790BC1">
      <w:pPr>
        <w:pStyle w:val="ListParagraph"/>
        <w:numPr>
          <w:ilvl w:val="0"/>
          <w:numId w:val="42"/>
        </w:numPr>
        <w:spacing w:after="120"/>
        <w:ind w:left="357" w:hanging="357"/>
        <w:contextualSpacing w:val="0"/>
        <w:jc w:val="both"/>
      </w:pPr>
      <w:bookmarkStart w:id="127" w:name="_Toc372401525"/>
      <w:r>
        <w:t xml:space="preserve">At a macro level, there is solid evidence to suggest that the GoI will continue to invest heavily in education. This should flow through in its support for district budgets. National funding for the education sector is expected to remain strong. </w:t>
      </w:r>
      <w:r w:rsidRPr="004D04C5">
        <w:t>Adherence to a proportional budget allocation for education enhance</w:t>
      </w:r>
      <w:r>
        <w:t>s</w:t>
      </w:r>
      <w:r w:rsidRPr="004D04C5">
        <w:t xml:space="preserve"> the ability of the education sector to anticipate future allocations and plan accordingly by creating a more stable financing framework. The proportional allocation approach toward education financing enhance</w:t>
      </w:r>
      <w:r>
        <w:t>s</w:t>
      </w:r>
      <w:r w:rsidRPr="004D04C5">
        <w:t xml:space="preserve"> predictability and steady growth of the education budget</w:t>
      </w:r>
      <w:r>
        <w:t xml:space="preserve"> in a growing economy</w:t>
      </w:r>
      <w:r w:rsidRPr="004D04C5">
        <w:t xml:space="preserve">. </w:t>
      </w:r>
    </w:p>
    <w:p w:rsidR="001A093B" w:rsidRDefault="001A093B" w:rsidP="00790BC1">
      <w:pPr>
        <w:pStyle w:val="ListParagraph"/>
        <w:numPr>
          <w:ilvl w:val="0"/>
          <w:numId w:val="42"/>
        </w:numPr>
        <w:spacing w:after="120"/>
        <w:ind w:left="357" w:hanging="357"/>
        <w:contextualSpacing w:val="0"/>
        <w:jc w:val="both"/>
      </w:pPr>
      <w:r w:rsidRPr="00E72A42">
        <w:t xml:space="preserve">School systems require a substantial share of non-salary related expenditures to (i) provide a full range of resources (apart from teachers) to schools, and (ii) maintain buildings and provide for additional capital and equipment needs. </w:t>
      </w:r>
      <w:r>
        <w:t xml:space="preserve">Most recent data show </w:t>
      </w:r>
      <w:r w:rsidRPr="00E72A42">
        <w:t xml:space="preserve">the </w:t>
      </w:r>
      <w:r>
        <w:t xml:space="preserve">average </w:t>
      </w:r>
      <w:r w:rsidRPr="00E72A42">
        <w:t xml:space="preserve">salary share of expenditures </w:t>
      </w:r>
      <w:r>
        <w:t xml:space="preserve">in districts </w:t>
      </w:r>
      <w:r w:rsidRPr="00E72A42">
        <w:t xml:space="preserve">had come down to 75% of total district level expenditures. In the context of the additional salary costs associated with the teacher certification process, this is a very positive achievement. </w:t>
      </w:r>
      <w:r>
        <w:t>However, some districts spend well in excess of this on salaries, leaving these districts with very little to spend on PD or maintenance of school buildings.</w:t>
      </w:r>
    </w:p>
    <w:p w:rsidR="001A093B" w:rsidRDefault="001A093B" w:rsidP="00790BC1">
      <w:pPr>
        <w:pStyle w:val="ListParagraph"/>
        <w:numPr>
          <w:ilvl w:val="0"/>
          <w:numId w:val="42"/>
        </w:numPr>
        <w:spacing w:after="120"/>
        <w:ind w:left="357" w:hanging="357"/>
        <w:contextualSpacing w:val="0"/>
        <w:jc w:val="both"/>
        <w:rPr>
          <w:noProof/>
        </w:rPr>
      </w:pPr>
      <w:r>
        <w:rPr>
          <w:noProof/>
        </w:rPr>
        <w:t>There are 18 EP districts that contributed less than the 20% national target for education, which is considerably lower than the national average of 35% for education in 2012. This low share of funding for education in specific districts may threaten the sustainability of EP investments in the future.</w:t>
      </w:r>
    </w:p>
    <w:p w:rsidR="001A093B" w:rsidRPr="005D782A" w:rsidRDefault="001A093B" w:rsidP="00790BC1">
      <w:pPr>
        <w:pStyle w:val="ListParagraph"/>
        <w:numPr>
          <w:ilvl w:val="0"/>
          <w:numId w:val="42"/>
        </w:numPr>
        <w:spacing w:after="120"/>
        <w:ind w:left="357" w:hanging="357"/>
        <w:contextualSpacing w:val="0"/>
        <w:jc w:val="both"/>
      </w:pPr>
      <w:r>
        <w:t>One</w:t>
      </w:r>
      <w:r w:rsidRPr="005D782A">
        <w:t xml:space="preserve"> recurring concern is that some districts with the highest poverty rates are persistently allocating a significantly smaller share (less than 15%) of resources for education than the national average</w:t>
      </w:r>
      <w:r>
        <w:t xml:space="preserve"> (35%)</w:t>
      </w:r>
      <w:r w:rsidRPr="005D782A">
        <w:t xml:space="preserve">. </w:t>
      </w:r>
      <w:r>
        <w:t xml:space="preserve">This low commitment from some of the poorest districts makes it harder for them to catch up on educational development. It also indicates which districts may have further scope to grow their education budget and cover the cost associated with PD and the maintenance of new school buildings as might be funded under the EP. </w:t>
      </w:r>
    </w:p>
    <w:p w:rsidR="001A093B" w:rsidRDefault="001A093B" w:rsidP="00790BC1">
      <w:pPr>
        <w:pStyle w:val="ListParagraph"/>
        <w:numPr>
          <w:ilvl w:val="0"/>
          <w:numId w:val="42"/>
        </w:numPr>
        <w:spacing w:after="120"/>
        <w:ind w:left="357" w:hanging="357"/>
        <w:contextualSpacing w:val="0"/>
        <w:jc w:val="both"/>
      </w:pPr>
      <w:r w:rsidRPr="005D782A">
        <w:t>Papua and Maluku stand out as two provinces that spend the least for education as a proportion of total district funds</w:t>
      </w:r>
      <w:r>
        <w:t>. Papua in particular stands out because on average it experienced a decline in expenditure per student in 2012 compared to 2011. There is scope to increase education funding in these areas to cover the additional but modest recurrent costs associated with the EP investments.</w:t>
      </w:r>
    </w:p>
    <w:p w:rsidR="001A093B" w:rsidRDefault="001A093B" w:rsidP="00790BC1">
      <w:pPr>
        <w:pStyle w:val="ListParagraph"/>
        <w:numPr>
          <w:ilvl w:val="0"/>
          <w:numId w:val="42"/>
        </w:numPr>
        <w:spacing w:after="120"/>
        <w:ind w:left="357" w:hanging="357"/>
        <w:contextualSpacing w:val="0"/>
        <w:jc w:val="both"/>
      </w:pPr>
      <w:r w:rsidRPr="00066E98">
        <w:t>Most EP districts are showing growth in per student allocations for education</w:t>
      </w:r>
      <w:r>
        <w:t xml:space="preserve">. </w:t>
      </w:r>
      <w:r w:rsidR="00790BC1">
        <w:t xml:space="preserve">This </w:t>
      </w:r>
      <w:r w:rsidR="00790BC1" w:rsidRPr="00066E98">
        <w:t>provides</w:t>
      </w:r>
      <w:r w:rsidRPr="00066E98">
        <w:t xml:space="preserve"> a good financial base for further improvements. However </w:t>
      </w:r>
      <w:r>
        <w:t>i</w:t>
      </w:r>
      <w:r w:rsidRPr="001B0B60">
        <w:t>n 2012</w:t>
      </w:r>
      <w:r>
        <w:t>,</w:t>
      </w:r>
      <w:r w:rsidRPr="001B0B60">
        <w:t xml:space="preserve"> nearly 100 districts (of which 59 were EP districts) contracted their education budget compared to the previous year.</w:t>
      </w:r>
      <w:r w:rsidR="004971BD">
        <w:t xml:space="preserve"> </w:t>
      </w:r>
      <w:r>
        <w:t xml:space="preserve">There will be good and sound reasons for this in many cases, but where it reflects a shifting priority away from education it may </w:t>
      </w:r>
      <w:r w:rsidR="00945A9C">
        <w:t>jeopardize</w:t>
      </w:r>
      <w:r>
        <w:t xml:space="preserve"> the ability of districts to meet future financial commitments to PD and building maintenance.</w:t>
      </w:r>
    </w:p>
    <w:p w:rsidR="00790BC1" w:rsidRDefault="001A093B" w:rsidP="00790BC1">
      <w:pPr>
        <w:pStyle w:val="ListParagraph"/>
        <w:numPr>
          <w:ilvl w:val="0"/>
          <w:numId w:val="42"/>
        </w:numPr>
        <w:spacing w:after="120"/>
        <w:ind w:left="357" w:hanging="357"/>
        <w:contextualSpacing w:val="0"/>
        <w:jc w:val="both"/>
      </w:pPr>
      <w:r w:rsidRPr="00233537">
        <w:lastRenderedPageBreak/>
        <w:t>Growing BOS funds provide much needed discretionary funds to schools. The challenge for government will be to put in place the appropriate training, monitoring and support to enable the effective use of these funds as well as identifying the inevitable instances where</w:t>
      </w:r>
      <w:r>
        <w:t xml:space="preserve"> </w:t>
      </w:r>
      <w:r w:rsidRPr="00233537">
        <w:t>these funds are not properly expended or adequately reported</w:t>
      </w:r>
      <w:r>
        <w:t>.</w:t>
      </w:r>
    </w:p>
    <w:p w:rsidR="00245A84" w:rsidRPr="007B3F69" w:rsidRDefault="00245A84" w:rsidP="00DB55DD">
      <w:pPr>
        <w:pStyle w:val="Heading3"/>
      </w:pPr>
      <w:r>
        <w:t xml:space="preserve">Implications for the EP Management: </w:t>
      </w:r>
      <w:r w:rsidR="00790BC1">
        <w:t xml:space="preserve">Risks </w:t>
      </w:r>
      <w:r>
        <w:t xml:space="preserve">and </w:t>
      </w:r>
      <w:r w:rsidR="00790BC1" w:rsidRPr="00245A84">
        <w:t>Opportunities</w:t>
      </w:r>
      <w:bookmarkEnd w:id="127"/>
    </w:p>
    <w:p w:rsidR="00245A84" w:rsidRDefault="00245A84" w:rsidP="00945A9C">
      <w:pPr>
        <w:spacing w:before="120" w:after="360" w:line="276" w:lineRule="auto"/>
        <w:jc w:val="both"/>
      </w:pPr>
      <w:r>
        <w:t xml:space="preserve">As the previous section would suggest, the evolving context poses several risks to the aspirations of </w:t>
      </w:r>
      <w:r w:rsidR="00F15371">
        <w:t>the EP. The four</w:t>
      </w:r>
      <w:r w:rsidRPr="006A4604">
        <w:t xml:space="preserve"> most significant and realistic risks are captured in Table </w:t>
      </w:r>
      <w:r w:rsidR="00942347">
        <w:t>xx, below.</w:t>
      </w:r>
    </w:p>
    <w:p w:rsidR="00245A84" w:rsidRPr="00962BFF" w:rsidRDefault="00245A84" w:rsidP="00962BFF">
      <w:pPr>
        <w:pStyle w:val="Caption"/>
        <w:rPr>
          <w:rStyle w:val="Strong"/>
        </w:rPr>
      </w:pPr>
      <w:bookmarkStart w:id="128" w:name="_Toc381604833"/>
      <w:r w:rsidRPr="00962BFF">
        <w:rPr>
          <w:rStyle w:val="Strong"/>
          <w:b/>
          <w:bCs w:val="0"/>
        </w:rPr>
        <w:t xml:space="preserve">Table </w:t>
      </w:r>
      <w:r w:rsidR="00962BFF" w:rsidRPr="00962BFF">
        <w:rPr>
          <w:rStyle w:val="Strong"/>
          <w:b/>
          <w:bCs w:val="0"/>
        </w:rPr>
        <w:t>3</w:t>
      </w:r>
      <w:r w:rsidR="00E87A20" w:rsidRPr="00962BFF">
        <w:rPr>
          <w:rStyle w:val="Strong"/>
          <w:b/>
          <w:bCs w:val="0"/>
        </w:rPr>
        <w:t xml:space="preserve">: Possible Risks Affecting </w:t>
      </w:r>
      <w:r w:rsidR="00EC2E73">
        <w:rPr>
          <w:rStyle w:val="Strong"/>
          <w:b/>
          <w:bCs w:val="0"/>
        </w:rPr>
        <w:t xml:space="preserve">the </w:t>
      </w:r>
      <w:r w:rsidR="00E87A20" w:rsidRPr="00962BFF">
        <w:rPr>
          <w:rStyle w:val="Strong"/>
          <w:b/>
          <w:bCs w:val="0"/>
        </w:rPr>
        <w:t>EP</w:t>
      </w:r>
      <w:bookmarkEnd w:id="128"/>
      <w:r w:rsidR="00E87A20" w:rsidRPr="00962BFF">
        <w:rPr>
          <w:rStyle w:val="Strong"/>
          <w:b/>
          <w:bCs w:val="0"/>
        </w:rPr>
        <w:t xml:space="preserve"> </w:t>
      </w:r>
    </w:p>
    <w:p w:rsidR="00245A84" w:rsidRDefault="00245A84" w:rsidP="00245A84">
      <w:pPr>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550"/>
        <w:gridCol w:w="3635"/>
        <w:gridCol w:w="5060"/>
      </w:tblGrid>
      <w:tr w:rsidR="00EC2E73" w:rsidRPr="0038463D" w:rsidTr="0008475E">
        <w:trPr>
          <w:jc w:val="center"/>
        </w:trPr>
        <w:tc>
          <w:tcPr>
            <w:tcW w:w="674" w:type="dxa"/>
            <w:tcBorders>
              <w:top w:val="single" w:sz="12" w:space="0" w:color="auto"/>
              <w:left w:val="single" w:sz="12" w:space="0" w:color="auto"/>
              <w:bottom w:val="single" w:sz="4" w:space="0" w:color="auto"/>
              <w:right w:val="single" w:sz="4" w:space="0" w:color="FFFFFF" w:themeColor="background1"/>
            </w:tcBorders>
            <w:shd w:val="clear" w:color="auto" w:fill="003880"/>
            <w:vAlign w:val="center"/>
          </w:tcPr>
          <w:p w:rsidR="00EC2E73" w:rsidRPr="0038463D" w:rsidRDefault="00EC2E73" w:rsidP="0008475E">
            <w:pPr>
              <w:spacing w:after="0"/>
              <w:jc w:val="center"/>
              <w:rPr>
                <w:rFonts w:asciiTheme="minorHAnsi" w:hAnsiTheme="minorHAnsi" w:cstheme="minorHAnsi"/>
                <w:b/>
                <w:sz w:val="20"/>
                <w:szCs w:val="20"/>
              </w:rPr>
            </w:pPr>
            <w:r w:rsidRPr="0038463D">
              <w:rPr>
                <w:rFonts w:asciiTheme="minorHAnsi" w:hAnsiTheme="minorHAnsi" w:cstheme="minorHAnsi"/>
                <w:b/>
                <w:sz w:val="20"/>
                <w:szCs w:val="20"/>
              </w:rPr>
              <w:t>#</w:t>
            </w:r>
          </w:p>
        </w:tc>
        <w:tc>
          <w:tcPr>
            <w:tcW w:w="4963" w:type="dxa"/>
            <w:tcBorders>
              <w:top w:val="single" w:sz="12" w:space="0" w:color="auto"/>
              <w:left w:val="single" w:sz="4" w:space="0" w:color="FFFFFF" w:themeColor="background1"/>
              <w:bottom w:val="single" w:sz="4" w:space="0" w:color="auto"/>
              <w:right w:val="single" w:sz="4" w:space="0" w:color="FFFFFF" w:themeColor="background1"/>
            </w:tcBorders>
            <w:shd w:val="clear" w:color="auto" w:fill="003880"/>
            <w:vAlign w:val="center"/>
          </w:tcPr>
          <w:p w:rsidR="00EC2E73" w:rsidRPr="0038463D" w:rsidRDefault="00EC2E73" w:rsidP="0008475E">
            <w:pPr>
              <w:spacing w:after="0"/>
              <w:jc w:val="center"/>
              <w:rPr>
                <w:rFonts w:asciiTheme="minorHAnsi" w:hAnsiTheme="minorHAnsi" w:cstheme="minorHAnsi"/>
                <w:b/>
                <w:sz w:val="20"/>
                <w:szCs w:val="20"/>
              </w:rPr>
            </w:pPr>
            <w:r w:rsidRPr="0038463D">
              <w:rPr>
                <w:rFonts w:asciiTheme="minorHAnsi" w:hAnsiTheme="minorHAnsi" w:cstheme="minorHAnsi"/>
                <w:b/>
                <w:sz w:val="20"/>
                <w:szCs w:val="20"/>
              </w:rPr>
              <w:t>FINDING</w:t>
            </w:r>
          </w:p>
        </w:tc>
        <w:tc>
          <w:tcPr>
            <w:tcW w:w="6945" w:type="dxa"/>
            <w:tcBorders>
              <w:top w:val="single" w:sz="12" w:space="0" w:color="auto"/>
              <w:left w:val="single" w:sz="4" w:space="0" w:color="FFFFFF" w:themeColor="background1"/>
              <w:bottom w:val="single" w:sz="4" w:space="0" w:color="auto"/>
              <w:right w:val="single" w:sz="12" w:space="0" w:color="auto"/>
            </w:tcBorders>
            <w:shd w:val="clear" w:color="auto" w:fill="003880"/>
            <w:vAlign w:val="center"/>
          </w:tcPr>
          <w:p w:rsidR="00EC2E73" w:rsidRPr="0038463D" w:rsidRDefault="00EC2E73" w:rsidP="0008475E">
            <w:pPr>
              <w:spacing w:after="0"/>
              <w:jc w:val="center"/>
              <w:rPr>
                <w:rFonts w:asciiTheme="minorHAnsi" w:hAnsiTheme="minorHAnsi" w:cstheme="minorHAnsi"/>
                <w:b/>
                <w:sz w:val="20"/>
                <w:szCs w:val="20"/>
              </w:rPr>
            </w:pPr>
            <w:r w:rsidRPr="0038463D">
              <w:rPr>
                <w:rFonts w:asciiTheme="minorHAnsi" w:hAnsiTheme="minorHAnsi" w:cstheme="minorHAnsi"/>
                <w:b/>
                <w:sz w:val="20"/>
                <w:szCs w:val="20"/>
              </w:rPr>
              <w:t>POSSIBLE CONSEQUENCES FOR THE EP</w:t>
            </w:r>
          </w:p>
        </w:tc>
      </w:tr>
      <w:tr w:rsidR="00EC2E73" w:rsidRPr="0038463D" w:rsidTr="0008475E">
        <w:trPr>
          <w:jc w:val="center"/>
        </w:trPr>
        <w:tc>
          <w:tcPr>
            <w:tcW w:w="674" w:type="dxa"/>
            <w:tcBorders>
              <w:left w:val="single" w:sz="12" w:space="0" w:color="auto"/>
            </w:tcBorders>
            <w:shd w:val="clear" w:color="auto" w:fill="auto"/>
            <w:vAlign w:val="center"/>
          </w:tcPr>
          <w:p w:rsidR="00EC2E73" w:rsidRPr="0038463D" w:rsidRDefault="00EC2E73" w:rsidP="0008475E">
            <w:pPr>
              <w:spacing w:after="0"/>
              <w:jc w:val="center"/>
              <w:rPr>
                <w:rFonts w:asciiTheme="minorHAnsi" w:hAnsiTheme="minorHAnsi"/>
                <w:sz w:val="20"/>
                <w:szCs w:val="20"/>
                <w:lang w:val="en-AU"/>
              </w:rPr>
            </w:pPr>
            <w:r w:rsidRPr="0038463D">
              <w:rPr>
                <w:rFonts w:asciiTheme="minorHAnsi" w:hAnsiTheme="minorHAnsi"/>
                <w:sz w:val="20"/>
                <w:szCs w:val="20"/>
                <w:lang w:val="en-AU"/>
              </w:rPr>
              <w:t>RA1</w:t>
            </w:r>
          </w:p>
        </w:tc>
        <w:tc>
          <w:tcPr>
            <w:tcW w:w="4963" w:type="dxa"/>
            <w:shd w:val="clear" w:color="auto" w:fill="auto"/>
            <w:vAlign w:val="center"/>
          </w:tcPr>
          <w:p w:rsidR="00EC2E73" w:rsidRPr="0038463D" w:rsidRDefault="00EC2E73" w:rsidP="0008475E">
            <w:pPr>
              <w:spacing w:after="0"/>
              <w:rPr>
                <w:rFonts w:asciiTheme="minorHAnsi" w:hAnsiTheme="minorHAnsi"/>
                <w:b/>
                <w:sz w:val="20"/>
                <w:szCs w:val="20"/>
                <w:lang w:val="en-AU"/>
              </w:rPr>
            </w:pPr>
            <w:r w:rsidRPr="0038463D">
              <w:rPr>
                <w:sz w:val="20"/>
                <w:szCs w:val="20"/>
                <w:lang w:val="en-AU"/>
              </w:rPr>
              <w:t>Some EP districts (including some with the highest poverty rates) are persistently allocating a very low share of their resources to education.</w:t>
            </w:r>
          </w:p>
        </w:tc>
        <w:tc>
          <w:tcPr>
            <w:tcW w:w="6945" w:type="dxa"/>
            <w:tcBorders>
              <w:right w:val="single" w:sz="12" w:space="0" w:color="auto"/>
            </w:tcBorders>
            <w:shd w:val="clear" w:color="auto" w:fill="auto"/>
            <w:vAlign w:val="center"/>
          </w:tcPr>
          <w:p w:rsidR="00EC2E73" w:rsidRPr="0038463D" w:rsidRDefault="00EC2E73" w:rsidP="0008475E">
            <w:pPr>
              <w:spacing w:after="0"/>
              <w:rPr>
                <w:rFonts w:asciiTheme="minorHAnsi" w:hAnsiTheme="minorHAnsi"/>
                <w:sz w:val="20"/>
                <w:szCs w:val="20"/>
                <w:lang w:val="en-AU"/>
              </w:rPr>
            </w:pPr>
            <w:r w:rsidRPr="0038463D">
              <w:rPr>
                <w:sz w:val="20"/>
                <w:szCs w:val="20"/>
                <w:lang w:val="en-AU"/>
              </w:rPr>
              <w:t>This low commitment may threaten districts’ ability to sustain recurrent expenditures associated with EP investments.</w:t>
            </w:r>
          </w:p>
        </w:tc>
      </w:tr>
      <w:tr w:rsidR="00EC2E73" w:rsidRPr="0038463D" w:rsidTr="0008475E">
        <w:trPr>
          <w:jc w:val="center"/>
        </w:trPr>
        <w:tc>
          <w:tcPr>
            <w:tcW w:w="674" w:type="dxa"/>
            <w:tcBorders>
              <w:left w:val="single" w:sz="12" w:space="0" w:color="auto"/>
            </w:tcBorders>
            <w:shd w:val="clear" w:color="auto" w:fill="auto"/>
            <w:vAlign w:val="center"/>
          </w:tcPr>
          <w:p w:rsidR="00EC2E73" w:rsidRPr="0038463D" w:rsidRDefault="00EC2E73" w:rsidP="0008475E">
            <w:pPr>
              <w:spacing w:after="0"/>
              <w:jc w:val="center"/>
              <w:rPr>
                <w:rFonts w:asciiTheme="minorHAnsi" w:hAnsiTheme="minorHAnsi"/>
                <w:sz w:val="20"/>
                <w:szCs w:val="20"/>
                <w:lang w:val="en-AU"/>
              </w:rPr>
            </w:pPr>
            <w:r w:rsidRPr="0038463D">
              <w:rPr>
                <w:rFonts w:asciiTheme="minorHAnsi" w:hAnsiTheme="minorHAnsi"/>
                <w:sz w:val="20"/>
                <w:szCs w:val="20"/>
                <w:lang w:val="en-AU"/>
              </w:rPr>
              <w:t>RA2</w:t>
            </w:r>
          </w:p>
        </w:tc>
        <w:tc>
          <w:tcPr>
            <w:tcW w:w="4963" w:type="dxa"/>
            <w:shd w:val="clear" w:color="auto" w:fill="auto"/>
            <w:vAlign w:val="center"/>
          </w:tcPr>
          <w:p w:rsidR="00EC2E73" w:rsidRPr="0038463D" w:rsidRDefault="00EC2E73" w:rsidP="0008475E">
            <w:pPr>
              <w:spacing w:after="0"/>
              <w:rPr>
                <w:sz w:val="20"/>
                <w:szCs w:val="20"/>
                <w:lang w:val="en-AU"/>
              </w:rPr>
            </w:pPr>
            <w:r w:rsidRPr="0038463D">
              <w:rPr>
                <w:sz w:val="20"/>
                <w:szCs w:val="20"/>
                <w:lang w:val="en-AU"/>
              </w:rPr>
              <w:t>Papua (and to a lesser extent Maluku) have many districts performing badly on numerous financing indicators.</w:t>
            </w:r>
          </w:p>
        </w:tc>
        <w:tc>
          <w:tcPr>
            <w:tcW w:w="6945" w:type="dxa"/>
            <w:tcBorders>
              <w:right w:val="single" w:sz="12" w:space="0" w:color="auto"/>
            </w:tcBorders>
            <w:shd w:val="clear" w:color="auto" w:fill="auto"/>
            <w:vAlign w:val="center"/>
          </w:tcPr>
          <w:p w:rsidR="00EC2E73" w:rsidRPr="0038463D" w:rsidRDefault="00EC2E73" w:rsidP="0008475E">
            <w:pPr>
              <w:spacing w:after="0"/>
              <w:rPr>
                <w:rFonts w:asciiTheme="minorHAnsi" w:hAnsiTheme="minorHAnsi"/>
                <w:sz w:val="20"/>
                <w:szCs w:val="20"/>
                <w:lang w:val="en-AU"/>
              </w:rPr>
            </w:pPr>
            <w:r w:rsidRPr="0038463D">
              <w:rPr>
                <w:sz w:val="20"/>
                <w:szCs w:val="20"/>
                <w:lang w:val="en-AU"/>
              </w:rPr>
              <w:t>EP investments in these two provinces run the risk of losing effectiveness if they are not supported by district financial commitment.</w:t>
            </w:r>
          </w:p>
        </w:tc>
      </w:tr>
      <w:tr w:rsidR="00EC2E73" w:rsidRPr="0038463D" w:rsidTr="0008475E">
        <w:trPr>
          <w:jc w:val="center"/>
        </w:trPr>
        <w:tc>
          <w:tcPr>
            <w:tcW w:w="674" w:type="dxa"/>
            <w:tcBorders>
              <w:left w:val="single" w:sz="12" w:space="0" w:color="auto"/>
              <w:bottom w:val="single" w:sz="12" w:space="0" w:color="auto"/>
            </w:tcBorders>
            <w:shd w:val="clear" w:color="auto" w:fill="auto"/>
            <w:vAlign w:val="center"/>
          </w:tcPr>
          <w:p w:rsidR="00EC2E73" w:rsidRPr="0038463D" w:rsidRDefault="00EC2E73" w:rsidP="0008475E">
            <w:pPr>
              <w:spacing w:after="0"/>
              <w:jc w:val="center"/>
              <w:rPr>
                <w:rFonts w:asciiTheme="minorHAnsi" w:hAnsiTheme="minorHAnsi"/>
                <w:sz w:val="20"/>
                <w:szCs w:val="20"/>
                <w:lang w:val="en-AU"/>
              </w:rPr>
            </w:pPr>
            <w:r w:rsidRPr="0038463D">
              <w:rPr>
                <w:rFonts w:asciiTheme="minorHAnsi" w:hAnsiTheme="minorHAnsi"/>
                <w:sz w:val="20"/>
                <w:szCs w:val="20"/>
                <w:lang w:val="en-AU"/>
              </w:rPr>
              <w:t>RA3</w:t>
            </w:r>
          </w:p>
        </w:tc>
        <w:tc>
          <w:tcPr>
            <w:tcW w:w="4963" w:type="dxa"/>
            <w:tcBorders>
              <w:bottom w:val="single" w:sz="12" w:space="0" w:color="auto"/>
            </w:tcBorders>
            <w:shd w:val="clear" w:color="auto" w:fill="auto"/>
            <w:vAlign w:val="center"/>
          </w:tcPr>
          <w:p w:rsidR="00EC2E73" w:rsidRPr="0038463D" w:rsidRDefault="00EC2E73" w:rsidP="0008475E">
            <w:pPr>
              <w:spacing w:after="0"/>
              <w:rPr>
                <w:sz w:val="20"/>
                <w:szCs w:val="20"/>
                <w:lang w:val="en-AU"/>
              </w:rPr>
            </w:pPr>
            <w:r w:rsidRPr="0038463D">
              <w:rPr>
                <w:sz w:val="20"/>
                <w:szCs w:val="20"/>
                <w:lang w:val="en-AU"/>
              </w:rPr>
              <w:t>In 2012, 59 EP districts contracted their education budget compared to the previous year.</w:t>
            </w:r>
            <w:r>
              <w:rPr>
                <w:sz w:val="20"/>
                <w:szCs w:val="20"/>
                <w:lang w:val="en-AU"/>
              </w:rPr>
              <w:t xml:space="preserve"> </w:t>
            </w:r>
            <w:r w:rsidRPr="0038463D">
              <w:rPr>
                <w:sz w:val="20"/>
                <w:szCs w:val="20"/>
                <w:lang w:val="en-AU"/>
              </w:rPr>
              <w:t>This may continue into the future.</w:t>
            </w:r>
          </w:p>
        </w:tc>
        <w:tc>
          <w:tcPr>
            <w:tcW w:w="6945" w:type="dxa"/>
            <w:tcBorders>
              <w:bottom w:val="single" w:sz="12" w:space="0" w:color="auto"/>
              <w:right w:val="single" w:sz="12" w:space="0" w:color="auto"/>
            </w:tcBorders>
            <w:shd w:val="clear" w:color="auto" w:fill="auto"/>
            <w:vAlign w:val="center"/>
          </w:tcPr>
          <w:p w:rsidR="00EC2E73" w:rsidRPr="0038463D" w:rsidRDefault="00EC2E73" w:rsidP="0008475E">
            <w:pPr>
              <w:spacing w:after="0"/>
              <w:rPr>
                <w:rFonts w:asciiTheme="minorHAnsi" w:hAnsiTheme="minorHAnsi"/>
                <w:sz w:val="20"/>
                <w:szCs w:val="20"/>
                <w:lang w:val="en-AU"/>
              </w:rPr>
            </w:pPr>
            <w:r w:rsidRPr="0038463D">
              <w:rPr>
                <w:sz w:val="20"/>
                <w:szCs w:val="20"/>
                <w:lang w:val="en-AU"/>
              </w:rPr>
              <w:t xml:space="preserve">Where this reflects a shifting priority away from education it may jeopardise the ability of districts to meet future financial commitments to </w:t>
            </w:r>
            <w:r>
              <w:rPr>
                <w:sz w:val="20"/>
                <w:szCs w:val="20"/>
                <w:lang w:val="en-AU"/>
              </w:rPr>
              <w:t>professional development</w:t>
            </w:r>
            <w:r w:rsidRPr="0038463D">
              <w:rPr>
                <w:sz w:val="20"/>
                <w:szCs w:val="20"/>
                <w:lang w:val="en-AU"/>
              </w:rPr>
              <w:t xml:space="preserve"> and building maintenance.</w:t>
            </w:r>
          </w:p>
        </w:tc>
      </w:tr>
    </w:tbl>
    <w:p w:rsidR="001409A2" w:rsidRDefault="001409A2" w:rsidP="00245A84">
      <w:pPr>
        <w:rPr>
          <w:rFonts w:asciiTheme="minorHAnsi" w:hAnsiTheme="minorHAnsi" w:cstheme="minorHAnsi"/>
        </w:rPr>
        <w:sectPr w:rsidR="001409A2" w:rsidSect="004B7458">
          <w:footnotePr>
            <w:numRestart w:val="eachSect"/>
          </w:footnotePr>
          <w:endnotePr>
            <w:numRestart w:val="eachSect"/>
          </w:endnotePr>
          <w:pgSz w:w="11909" w:h="16834" w:code="9"/>
          <w:pgMar w:top="1440" w:right="1440" w:bottom="1440" w:left="1440" w:header="431" w:footer="720" w:gutter="0"/>
          <w:cols w:space="720"/>
          <w:noEndnote/>
          <w:docGrid w:linePitch="360"/>
        </w:sectPr>
      </w:pPr>
    </w:p>
    <w:p w:rsidR="00222EFB" w:rsidRPr="00946D3F" w:rsidRDefault="00461F4F" w:rsidP="004B7458">
      <w:pPr>
        <w:tabs>
          <w:tab w:val="left" w:pos="2977"/>
        </w:tabs>
        <w:spacing w:before="6960"/>
        <w:ind w:right="1701"/>
        <w:jc w:val="right"/>
        <w:rPr>
          <w:b/>
          <w:i/>
          <w:color w:val="FFFFFF" w:themeColor="background1"/>
          <w:sz w:val="32"/>
          <w:szCs w:val="32"/>
        </w:rPr>
      </w:pPr>
      <w:r>
        <w:rPr>
          <w:b/>
          <w:color w:val="FFFFFF" w:themeColor="background1"/>
          <w:sz w:val="36"/>
          <w:szCs w:val="36"/>
        </w:rPr>
        <w:lastRenderedPageBreak/>
        <w:t>N</w:t>
      </w:r>
      <w:r w:rsidR="002B0481">
        <w:rPr>
          <w:b/>
          <w:color w:val="FFFFFF" w:themeColor="background1"/>
          <w:sz w:val="36"/>
          <w:szCs w:val="36"/>
        </w:rPr>
        <w:t>ext steps</w:t>
      </w:r>
    </w:p>
    <w:p w:rsidR="00222EFB" w:rsidRDefault="00222EFB" w:rsidP="00222EFB">
      <w:pPr>
        <w:sectPr w:rsidR="00222EFB" w:rsidSect="004B7458">
          <w:headerReference w:type="first" r:id="rId98"/>
          <w:footerReference w:type="first" r:id="rId99"/>
          <w:footnotePr>
            <w:numRestart w:val="eachSect"/>
          </w:footnotePr>
          <w:endnotePr>
            <w:numRestart w:val="eachSect"/>
          </w:endnotePr>
          <w:pgSz w:w="11909" w:h="16834" w:code="9"/>
          <w:pgMar w:top="357" w:right="1440" w:bottom="1304" w:left="1440" w:header="431" w:footer="425" w:gutter="0"/>
          <w:cols w:space="720"/>
          <w:titlePg/>
          <w:docGrid w:linePitch="360"/>
        </w:sectPr>
      </w:pPr>
    </w:p>
    <w:p w:rsidR="00222EFB" w:rsidRPr="004B7458" w:rsidRDefault="004B7458" w:rsidP="004B7458">
      <w:pPr>
        <w:pStyle w:val="Heading1"/>
        <w:spacing w:after="1320"/>
        <w:ind w:left="357" w:hanging="357"/>
        <w:rPr>
          <w:color w:val="68BAD6"/>
        </w:rPr>
      </w:pPr>
      <w:bookmarkStart w:id="129" w:name="_Toc385504518"/>
      <w:r w:rsidRPr="004B7458">
        <w:rPr>
          <w:color w:val="68BAD6"/>
        </w:rPr>
        <w:lastRenderedPageBreak/>
        <w:t>NEXT STEPS</w:t>
      </w:r>
      <w:bookmarkEnd w:id="129"/>
    </w:p>
    <w:tbl>
      <w:tblPr>
        <w:tblStyle w:val="TableGrid3"/>
        <w:tblW w:w="5000" w:type="pct"/>
        <w:jc w:val="center"/>
        <w:tblCellMar>
          <w:top w:w="57" w:type="dxa"/>
          <w:bottom w:w="57" w:type="dxa"/>
        </w:tblCellMar>
        <w:tblLook w:val="04A0" w:firstRow="1" w:lastRow="0" w:firstColumn="1" w:lastColumn="0" w:noHBand="0" w:noVBand="1"/>
      </w:tblPr>
      <w:tblGrid>
        <w:gridCol w:w="6015"/>
        <w:gridCol w:w="3230"/>
      </w:tblGrid>
      <w:tr w:rsidR="00EC2E73" w:rsidRPr="0038463D" w:rsidTr="0008475E">
        <w:trPr>
          <w:tblHeader/>
          <w:jc w:val="center"/>
        </w:trPr>
        <w:tc>
          <w:tcPr>
            <w:tcW w:w="3253" w:type="pct"/>
            <w:tcBorders>
              <w:top w:val="single" w:sz="12" w:space="0" w:color="auto"/>
              <w:left w:val="single" w:sz="12" w:space="0" w:color="auto"/>
              <w:bottom w:val="single" w:sz="4" w:space="0" w:color="auto"/>
              <w:right w:val="single" w:sz="4" w:space="0" w:color="FFFFFF" w:themeColor="background1"/>
            </w:tcBorders>
            <w:shd w:val="clear" w:color="auto" w:fill="003880"/>
            <w:vAlign w:val="center"/>
          </w:tcPr>
          <w:p w:rsidR="00EC2E73" w:rsidRPr="0038463D" w:rsidRDefault="00EC2E73" w:rsidP="00837A39">
            <w:pPr>
              <w:spacing w:after="0"/>
              <w:jc w:val="center"/>
              <w:rPr>
                <w:rFonts w:asciiTheme="minorHAnsi" w:hAnsiTheme="minorHAnsi" w:cstheme="minorHAnsi"/>
                <w:b/>
                <w:color w:val="FFFFFF" w:themeColor="background1"/>
                <w:sz w:val="20"/>
                <w:szCs w:val="19"/>
                <w:lang w:val="en-US"/>
              </w:rPr>
            </w:pPr>
            <w:r>
              <w:rPr>
                <w:rFonts w:asciiTheme="minorHAnsi" w:hAnsiTheme="minorHAnsi" w:cstheme="minorHAnsi"/>
                <w:b/>
                <w:color w:val="FFFFFF" w:themeColor="background1"/>
                <w:sz w:val="20"/>
                <w:szCs w:val="19"/>
                <w:lang w:val="en-US"/>
              </w:rPr>
              <w:t>SUG</w:t>
            </w:r>
            <w:r w:rsidR="00837A39">
              <w:rPr>
                <w:rFonts w:asciiTheme="minorHAnsi" w:hAnsiTheme="minorHAnsi" w:cstheme="minorHAnsi"/>
                <w:b/>
                <w:color w:val="FFFFFF" w:themeColor="background1"/>
                <w:sz w:val="20"/>
                <w:szCs w:val="19"/>
                <w:lang w:val="en-US"/>
              </w:rPr>
              <w:t>GES</w:t>
            </w:r>
            <w:r>
              <w:rPr>
                <w:rFonts w:asciiTheme="minorHAnsi" w:hAnsiTheme="minorHAnsi" w:cstheme="minorHAnsi"/>
                <w:b/>
                <w:color w:val="FFFFFF" w:themeColor="background1"/>
                <w:sz w:val="20"/>
                <w:szCs w:val="19"/>
                <w:lang w:val="en-US"/>
              </w:rPr>
              <w:t xml:space="preserve">TED </w:t>
            </w:r>
            <w:r w:rsidRPr="0038463D">
              <w:rPr>
                <w:rFonts w:asciiTheme="minorHAnsi" w:hAnsiTheme="minorHAnsi" w:cstheme="minorHAnsi"/>
                <w:b/>
                <w:color w:val="FFFFFF" w:themeColor="background1"/>
                <w:sz w:val="20"/>
                <w:szCs w:val="19"/>
                <w:lang w:val="en-US"/>
              </w:rPr>
              <w:t>NEXT STEPS (AND LEVEL OF URGENCY)</w:t>
            </w:r>
          </w:p>
        </w:tc>
        <w:tc>
          <w:tcPr>
            <w:tcW w:w="1747" w:type="pct"/>
            <w:tcBorders>
              <w:top w:val="single" w:sz="12" w:space="0" w:color="auto"/>
              <w:left w:val="single" w:sz="4" w:space="0" w:color="FFFFFF" w:themeColor="background1"/>
              <w:bottom w:val="single" w:sz="4" w:space="0" w:color="auto"/>
              <w:right w:val="single" w:sz="12" w:space="0" w:color="auto"/>
            </w:tcBorders>
            <w:shd w:val="clear" w:color="auto" w:fill="003880"/>
            <w:vAlign w:val="center"/>
          </w:tcPr>
          <w:p w:rsidR="00EC2E73" w:rsidRPr="0038463D" w:rsidRDefault="00EC2E73" w:rsidP="0008475E">
            <w:pPr>
              <w:spacing w:after="0"/>
              <w:jc w:val="center"/>
              <w:rPr>
                <w:rFonts w:asciiTheme="minorHAnsi" w:hAnsiTheme="minorHAnsi" w:cstheme="minorHAnsi"/>
                <w:b/>
                <w:color w:val="FFFFFF" w:themeColor="background1"/>
                <w:sz w:val="20"/>
                <w:szCs w:val="19"/>
                <w:lang w:val="en-US"/>
              </w:rPr>
            </w:pPr>
            <w:r w:rsidRPr="0038463D">
              <w:rPr>
                <w:rFonts w:asciiTheme="minorHAnsi" w:hAnsiTheme="minorHAnsi" w:cstheme="minorHAnsi"/>
                <w:b/>
                <w:color w:val="FFFFFF" w:themeColor="background1"/>
                <w:sz w:val="20"/>
                <w:szCs w:val="19"/>
                <w:lang w:val="en-US"/>
              </w:rPr>
              <w:t>PRIME RESPONSIBILITY</w:t>
            </w:r>
          </w:p>
        </w:tc>
      </w:tr>
      <w:tr w:rsidR="00EC2E73" w:rsidRPr="0038463D" w:rsidTr="0008475E">
        <w:trPr>
          <w:jc w:val="center"/>
        </w:trPr>
        <w:tc>
          <w:tcPr>
            <w:tcW w:w="3253" w:type="pct"/>
            <w:tcBorders>
              <w:left w:val="single" w:sz="12" w:space="0" w:color="auto"/>
            </w:tcBorders>
            <w:shd w:val="clear" w:color="auto" w:fill="FFC000"/>
            <w:vAlign w:val="center"/>
          </w:tcPr>
          <w:p w:rsidR="00EC2E73" w:rsidRPr="0038463D" w:rsidRDefault="00EC2E73" w:rsidP="0008475E">
            <w:pPr>
              <w:spacing w:after="0"/>
              <w:rPr>
                <w:rFonts w:eastAsia="Times New Roman" w:cs="Calibri"/>
                <w:sz w:val="20"/>
                <w:szCs w:val="19"/>
                <w:lang w:val="en-AU"/>
              </w:rPr>
            </w:pPr>
            <w:r w:rsidRPr="0038463D">
              <w:rPr>
                <w:sz w:val="20"/>
                <w:szCs w:val="19"/>
                <w:lang w:val="en-AU"/>
              </w:rPr>
              <w:t>NS1: EP districts which have very small share of total district budget allocated for education should be monitored and engaged in a dialogue to understand current allocations and future plans</w:t>
            </w:r>
            <w:r w:rsidR="00E3583E">
              <w:rPr>
                <w:sz w:val="20"/>
                <w:szCs w:val="19"/>
                <w:lang w:val="en-AU"/>
              </w:rPr>
              <w:t xml:space="preserve"> (**)</w:t>
            </w:r>
            <w:r w:rsidRPr="0038463D">
              <w:rPr>
                <w:sz w:val="20"/>
                <w:szCs w:val="19"/>
                <w:lang w:val="en-AU"/>
              </w:rPr>
              <w:t>.</w:t>
            </w:r>
          </w:p>
        </w:tc>
        <w:tc>
          <w:tcPr>
            <w:tcW w:w="1747" w:type="pct"/>
            <w:tcBorders>
              <w:right w:val="single" w:sz="12" w:space="0" w:color="auto"/>
            </w:tcBorders>
            <w:vAlign w:val="center"/>
          </w:tcPr>
          <w:p w:rsidR="00EC2E73" w:rsidRPr="0038463D" w:rsidRDefault="00EC2E73" w:rsidP="0008475E">
            <w:pPr>
              <w:spacing w:after="0"/>
              <w:jc w:val="center"/>
              <w:rPr>
                <w:sz w:val="20"/>
                <w:szCs w:val="19"/>
                <w:lang w:val="en-AU"/>
              </w:rPr>
            </w:pPr>
            <w:r w:rsidRPr="0038463D">
              <w:rPr>
                <w:sz w:val="20"/>
                <w:szCs w:val="19"/>
                <w:lang w:val="en-AU"/>
              </w:rPr>
              <w:t>POM, with DFAT’s approval</w:t>
            </w:r>
          </w:p>
        </w:tc>
      </w:tr>
      <w:tr w:rsidR="00EC2E73" w:rsidRPr="0038463D" w:rsidTr="0008475E">
        <w:trPr>
          <w:jc w:val="center"/>
        </w:trPr>
        <w:tc>
          <w:tcPr>
            <w:tcW w:w="3253" w:type="pct"/>
            <w:tcBorders>
              <w:left w:val="single" w:sz="12" w:space="0" w:color="auto"/>
              <w:bottom w:val="single" w:sz="4" w:space="0" w:color="auto"/>
            </w:tcBorders>
            <w:shd w:val="clear" w:color="auto" w:fill="FFC000"/>
            <w:vAlign w:val="center"/>
          </w:tcPr>
          <w:p w:rsidR="00EC2E73" w:rsidRPr="0038463D" w:rsidRDefault="00EC2E73" w:rsidP="0008475E">
            <w:pPr>
              <w:spacing w:after="0"/>
              <w:rPr>
                <w:sz w:val="20"/>
                <w:szCs w:val="19"/>
                <w:lang w:val="en-AU"/>
              </w:rPr>
            </w:pPr>
            <w:r w:rsidRPr="0038463D">
              <w:rPr>
                <w:sz w:val="20"/>
                <w:szCs w:val="19"/>
                <w:lang w:val="en-AU"/>
              </w:rPr>
              <w:t>NS2: Focus diagnostic and policy response efforts on the Papua and Maluku island groups to understand the factors driving (i) low education share of district budgets, (ii) the average decline in budget allocations in 2012 compared to 2011</w:t>
            </w:r>
            <w:r w:rsidR="00E3583E">
              <w:rPr>
                <w:sz w:val="20"/>
                <w:szCs w:val="19"/>
                <w:lang w:val="en-AU"/>
              </w:rPr>
              <w:t xml:space="preserve"> (**)</w:t>
            </w:r>
            <w:r w:rsidRPr="0038463D">
              <w:rPr>
                <w:sz w:val="20"/>
                <w:szCs w:val="19"/>
                <w:lang w:val="en-AU"/>
              </w:rPr>
              <w:t>.</w:t>
            </w:r>
          </w:p>
        </w:tc>
        <w:tc>
          <w:tcPr>
            <w:tcW w:w="1747" w:type="pct"/>
            <w:tcBorders>
              <w:right w:val="single" w:sz="12" w:space="0" w:color="auto"/>
            </w:tcBorders>
            <w:vAlign w:val="center"/>
          </w:tcPr>
          <w:p w:rsidR="00EC2E73" w:rsidRPr="0038463D" w:rsidRDefault="00EC2E73" w:rsidP="0008475E">
            <w:pPr>
              <w:spacing w:after="0"/>
              <w:jc w:val="center"/>
              <w:rPr>
                <w:rFonts w:ascii="Gill Sans MT" w:eastAsia="Times New Roman" w:hAnsi="Gill Sans MT" w:cs="Calibri"/>
                <w:sz w:val="20"/>
                <w:szCs w:val="19"/>
                <w:lang w:val="en-AU"/>
              </w:rPr>
            </w:pPr>
            <w:r w:rsidRPr="0038463D">
              <w:rPr>
                <w:sz w:val="20"/>
                <w:szCs w:val="19"/>
                <w:lang w:val="en-AU"/>
              </w:rPr>
              <w:t>DFAT (with POM, where appropriate)</w:t>
            </w:r>
          </w:p>
        </w:tc>
      </w:tr>
      <w:tr w:rsidR="00EC2E73" w:rsidRPr="0038463D" w:rsidTr="0008475E">
        <w:trPr>
          <w:jc w:val="center"/>
        </w:trPr>
        <w:tc>
          <w:tcPr>
            <w:tcW w:w="3253" w:type="pct"/>
            <w:tcBorders>
              <w:left w:val="single" w:sz="12" w:space="0" w:color="auto"/>
              <w:bottom w:val="single" w:sz="4" w:space="0" w:color="auto"/>
            </w:tcBorders>
            <w:shd w:val="clear" w:color="auto" w:fill="FFC000"/>
            <w:vAlign w:val="center"/>
          </w:tcPr>
          <w:p w:rsidR="00EC2E73" w:rsidRPr="0038463D" w:rsidRDefault="00EC2E73" w:rsidP="0008475E">
            <w:pPr>
              <w:spacing w:after="0"/>
              <w:rPr>
                <w:rFonts w:ascii="Gill Sans MT" w:eastAsia="Times New Roman" w:hAnsi="Gill Sans MT" w:cs="Calibri"/>
                <w:sz w:val="20"/>
                <w:szCs w:val="19"/>
                <w:lang w:val="en-AU"/>
              </w:rPr>
            </w:pPr>
            <w:r w:rsidRPr="0038463D">
              <w:rPr>
                <w:sz w:val="20"/>
                <w:szCs w:val="19"/>
                <w:lang w:val="en-AU"/>
              </w:rPr>
              <w:t>NS3: Engage in dialogue with a sample of EP districts that reduced their 2012 education budget allocations compared to 2011. Detailed diagnostics on (i) poorest EP districts that had an annual reduction in their 2012 Budget, and (ii) districts with annual drop greater than 10%. Diagnoses to understand reasons for drop and monitor change in allocations in 2013 and 2014 district budgets</w:t>
            </w:r>
            <w:r w:rsidR="00E3583E">
              <w:rPr>
                <w:sz w:val="20"/>
                <w:szCs w:val="19"/>
                <w:lang w:val="en-AU"/>
              </w:rPr>
              <w:t xml:space="preserve"> (**)</w:t>
            </w:r>
            <w:r w:rsidRPr="0038463D">
              <w:rPr>
                <w:sz w:val="20"/>
                <w:szCs w:val="19"/>
                <w:lang w:val="en-AU"/>
              </w:rPr>
              <w:t>.</w:t>
            </w:r>
          </w:p>
        </w:tc>
        <w:tc>
          <w:tcPr>
            <w:tcW w:w="1747" w:type="pct"/>
            <w:tcBorders>
              <w:right w:val="single" w:sz="12" w:space="0" w:color="auto"/>
            </w:tcBorders>
            <w:vAlign w:val="center"/>
          </w:tcPr>
          <w:p w:rsidR="00EC2E73" w:rsidRPr="0038463D" w:rsidRDefault="00EC2E73" w:rsidP="0008475E">
            <w:pPr>
              <w:spacing w:after="0"/>
              <w:jc w:val="center"/>
              <w:rPr>
                <w:sz w:val="20"/>
                <w:szCs w:val="19"/>
                <w:lang w:val="en-AU"/>
              </w:rPr>
            </w:pPr>
            <w:r w:rsidRPr="0038463D">
              <w:rPr>
                <w:sz w:val="20"/>
                <w:szCs w:val="19"/>
                <w:lang w:val="en-AU"/>
              </w:rPr>
              <w:t>MOEC and POM (with DFAT’s approval)</w:t>
            </w:r>
          </w:p>
        </w:tc>
      </w:tr>
      <w:tr w:rsidR="00EC2E73" w:rsidRPr="0038463D" w:rsidTr="0008475E">
        <w:trPr>
          <w:jc w:val="center"/>
        </w:trPr>
        <w:tc>
          <w:tcPr>
            <w:tcW w:w="3253" w:type="pct"/>
            <w:tcBorders>
              <w:left w:val="single" w:sz="12" w:space="0" w:color="auto"/>
              <w:bottom w:val="single" w:sz="12" w:space="0" w:color="auto"/>
            </w:tcBorders>
            <w:shd w:val="clear" w:color="auto" w:fill="92D050"/>
            <w:vAlign w:val="center"/>
          </w:tcPr>
          <w:p w:rsidR="00EC2E73" w:rsidRPr="0038463D" w:rsidRDefault="00EC2E73" w:rsidP="0008475E">
            <w:pPr>
              <w:spacing w:after="0"/>
              <w:rPr>
                <w:rFonts w:ascii="Gill Sans MT" w:eastAsia="Times New Roman" w:hAnsi="Gill Sans MT" w:cs="Calibri"/>
                <w:sz w:val="20"/>
                <w:szCs w:val="24"/>
                <w:lang w:val="en-US"/>
              </w:rPr>
            </w:pPr>
            <w:r>
              <w:rPr>
                <w:sz w:val="20"/>
                <w:szCs w:val="19"/>
                <w:lang w:val="en-AU"/>
              </w:rPr>
              <w:t>NS4</w:t>
            </w:r>
            <w:r w:rsidRPr="0038463D">
              <w:rPr>
                <w:sz w:val="20"/>
                <w:szCs w:val="19"/>
                <w:lang w:val="en-AU"/>
              </w:rPr>
              <w:t>: Liaise with MoEC and other central agencies so as promote the introduction of district report cards on education. These report cards should be produced on annual basis and include key educational development and financial indicators</w:t>
            </w:r>
            <w:r w:rsidR="00E3583E">
              <w:rPr>
                <w:sz w:val="20"/>
                <w:szCs w:val="19"/>
                <w:lang w:val="en-AU"/>
              </w:rPr>
              <w:t xml:space="preserve"> (*)</w:t>
            </w:r>
            <w:r w:rsidRPr="0038463D">
              <w:rPr>
                <w:sz w:val="20"/>
                <w:szCs w:val="19"/>
                <w:lang w:val="en-AU"/>
              </w:rPr>
              <w:t>.</w:t>
            </w:r>
          </w:p>
        </w:tc>
        <w:tc>
          <w:tcPr>
            <w:tcW w:w="1747" w:type="pct"/>
            <w:tcBorders>
              <w:bottom w:val="single" w:sz="12" w:space="0" w:color="auto"/>
              <w:right w:val="single" w:sz="12" w:space="0" w:color="auto"/>
            </w:tcBorders>
            <w:vAlign w:val="center"/>
          </w:tcPr>
          <w:p w:rsidR="00EC2E73" w:rsidRPr="0038463D" w:rsidRDefault="00EC2E73" w:rsidP="0008475E">
            <w:pPr>
              <w:spacing w:after="0"/>
              <w:jc w:val="center"/>
              <w:rPr>
                <w:sz w:val="20"/>
                <w:szCs w:val="19"/>
                <w:lang w:val="en-AU"/>
              </w:rPr>
            </w:pPr>
            <w:r>
              <w:rPr>
                <w:sz w:val="20"/>
                <w:szCs w:val="19"/>
                <w:lang w:val="en-AU"/>
              </w:rPr>
              <w:t>DFAT</w:t>
            </w:r>
          </w:p>
        </w:tc>
      </w:tr>
    </w:tbl>
    <w:p w:rsidR="00EC2E73" w:rsidRDefault="00EC2E73" w:rsidP="004B7458">
      <w:pPr>
        <w:spacing w:before="120"/>
        <w:rPr>
          <w:i/>
          <w:sz w:val="18"/>
          <w:lang w:val="en-AU"/>
        </w:rPr>
      </w:pPr>
    </w:p>
    <w:p w:rsidR="00222EFB" w:rsidRPr="00A2598F" w:rsidRDefault="00222EFB" w:rsidP="004B7458">
      <w:pPr>
        <w:spacing w:before="120"/>
        <w:rPr>
          <w:rFonts w:asciiTheme="minorHAnsi" w:hAnsiTheme="minorHAnsi" w:cstheme="minorHAnsi"/>
        </w:rPr>
        <w:sectPr w:rsidR="00222EFB" w:rsidRPr="00A2598F" w:rsidSect="004B7458">
          <w:headerReference w:type="first" r:id="rId100"/>
          <w:footerReference w:type="first" r:id="rId101"/>
          <w:pgSz w:w="11909" w:h="16834" w:code="9"/>
          <w:pgMar w:top="357" w:right="1440" w:bottom="1304" w:left="1440" w:header="431" w:footer="425" w:gutter="0"/>
          <w:cols w:space="720"/>
          <w:titlePg/>
          <w:docGrid w:linePitch="360"/>
        </w:sectPr>
      </w:pPr>
      <w:r w:rsidRPr="00BF536E">
        <w:rPr>
          <w:i/>
          <w:sz w:val="18"/>
          <w:lang w:val="en-AU"/>
        </w:rPr>
        <w:t xml:space="preserve">NB: Red - high </w:t>
      </w:r>
      <w:r>
        <w:rPr>
          <w:i/>
          <w:sz w:val="18"/>
          <w:lang w:val="en-AU"/>
        </w:rPr>
        <w:t>urgency</w:t>
      </w:r>
      <w:r w:rsidRPr="00BF536E">
        <w:rPr>
          <w:i/>
          <w:sz w:val="18"/>
          <w:lang w:val="en-AU"/>
        </w:rPr>
        <w:t xml:space="preserve">; orange - medium </w:t>
      </w:r>
      <w:r>
        <w:rPr>
          <w:i/>
          <w:sz w:val="18"/>
          <w:lang w:val="en-AU"/>
        </w:rPr>
        <w:t>urgency</w:t>
      </w:r>
      <w:r w:rsidR="00E3583E">
        <w:rPr>
          <w:i/>
          <w:sz w:val="18"/>
          <w:lang w:val="en-AU"/>
        </w:rPr>
        <w:t xml:space="preserve"> (**)</w:t>
      </w:r>
      <w:r w:rsidRPr="00BF536E">
        <w:rPr>
          <w:i/>
          <w:sz w:val="18"/>
          <w:lang w:val="en-AU"/>
        </w:rPr>
        <w:t xml:space="preserve">; green </w:t>
      </w:r>
      <w:r>
        <w:rPr>
          <w:i/>
          <w:sz w:val="18"/>
          <w:lang w:val="en-AU"/>
        </w:rPr>
        <w:t>–</w:t>
      </w:r>
      <w:r w:rsidRPr="00BF536E">
        <w:rPr>
          <w:i/>
          <w:sz w:val="18"/>
          <w:lang w:val="en-AU"/>
        </w:rPr>
        <w:t xml:space="preserve"> low</w:t>
      </w:r>
      <w:r>
        <w:rPr>
          <w:i/>
          <w:sz w:val="18"/>
          <w:lang w:val="en-AU"/>
        </w:rPr>
        <w:t xml:space="preserve"> urgency</w:t>
      </w:r>
      <w:r w:rsidR="00E3583E">
        <w:rPr>
          <w:i/>
          <w:sz w:val="18"/>
          <w:lang w:val="en-AU"/>
        </w:rPr>
        <w:t xml:space="preserve"> (*)</w:t>
      </w:r>
      <w:r>
        <w:rPr>
          <w:i/>
          <w:sz w:val="18"/>
          <w:lang w:val="en-AU"/>
        </w:rPr>
        <w:t xml:space="preserve"> </w:t>
      </w:r>
    </w:p>
    <w:p w:rsidR="00B450D8" w:rsidRPr="004B7458" w:rsidRDefault="00B450D8" w:rsidP="009B6D6D">
      <w:pPr>
        <w:pStyle w:val="Heading1"/>
        <w:numPr>
          <w:ilvl w:val="0"/>
          <w:numId w:val="0"/>
        </w:numPr>
        <w:spacing w:after="600"/>
        <w:rPr>
          <w:color w:val="68BAD6"/>
        </w:rPr>
      </w:pPr>
      <w:bookmarkStart w:id="130" w:name="_Toc385504519"/>
      <w:r w:rsidRPr="004B7458">
        <w:rPr>
          <w:color w:val="68BAD6"/>
        </w:rPr>
        <w:lastRenderedPageBreak/>
        <w:t xml:space="preserve">Annex A - </w:t>
      </w:r>
      <w:r w:rsidR="000B523C" w:rsidRPr="004B7458">
        <w:rPr>
          <w:color w:val="68BAD6"/>
        </w:rPr>
        <w:t>EP LOGIC ARCHITECTURE</w:t>
      </w:r>
      <w:bookmarkEnd w:id="130"/>
    </w:p>
    <w:p w:rsidR="00B450D8" w:rsidRDefault="00514E63" w:rsidP="004B7458">
      <w:pPr>
        <w:spacing w:after="360"/>
        <w:jc w:val="center"/>
        <w:rPr>
          <w:rFonts w:asciiTheme="minorHAnsi" w:hAnsiTheme="minorHAnsi" w:cstheme="minorHAnsi"/>
          <w:bCs/>
          <w:color w:val="003880"/>
          <w:kern w:val="32"/>
          <w:sz w:val="32"/>
          <w:szCs w:val="72"/>
        </w:rPr>
      </w:pPr>
      <w:r>
        <w:rPr>
          <w:noProof/>
          <w:lang w:val="en-AU" w:eastAsia="en-AU"/>
        </w:rPr>
        <w:drawing>
          <wp:inline distT="0" distB="0" distL="0" distR="0" wp14:anchorId="1C69A24C" wp14:editId="1B83F13D">
            <wp:extent cx="7115175" cy="533655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114961" cy="5336398"/>
                    </a:xfrm>
                    <a:prstGeom prst="rect">
                      <a:avLst/>
                    </a:prstGeom>
                    <a:noFill/>
                  </pic:spPr>
                </pic:pic>
              </a:graphicData>
            </a:graphic>
          </wp:inline>
        </w:drawing>
      </w:r>
    </w:p>
    <w:p w:rsidR="00514E63" w:rsidRDefault="00514E63" w:rsidP="004B7458">
      <w:pPr>
        <w:spacing w:after="360"/>
        <w:sectPr w:rsidR="00514E63" w:rsidSect="004B7458">
          <w:headerReference w:type="default" r:id="rId103"/>
          <w:footerReference w:type="default" r:id="rId104"/>
          <w:footnotePr>
            <w:numRestart w:val="eachSect"/>
          </w:footnotePr>
          <w:endnotePr>
            <w:numRestart w:val="eachSect"/>
          </w:endnotePr>
          <w:type w:val="evenPage"/>
          <w:pgSz w:w="16834" w:h="11909" w:orient="landscape" w:code="9"/>
          <w:pgMar w:top="357" w:right="1440" w:bottom="1304" w:left="1440" w:header="431" w:footer="425" w:gutter="0"/>
          <w:cols w:space="720"/>
          <w:docGrid w:linePitch="360"/>
        </w:sectPr>
      </w:pPr>
    </w:p>
    <w:p w:rsidR="00854A82" w:rsidRPr="004B7458" w:rsidRDefault="00B450D8" w:rsidP="009B6D6D">
      <w:pPr>
        <w:pStyle w:val="Heading1"/>
        <w:numPr>
          <w:ilvl w:val="0"/>
          <w:numId w:val="0"/>
        </w:numPr>
        <w:spacing w:after="600"/>
        <w:rPr>
          <w:color w:val="68BAD6"/>
        </w:rPr>
      </w:pPr>
      <w:bookmarkStart w:id="131" w:name="_Toc385504520"/>
      <w:r w:rsidRPr="004B7458">
        <w:rPr>
          <w:color w:val="68BAD6"/>
        </w:rPr>
        <w:lastRenderedPageBreak/>
        <w:t xml:space="preserve">Annex B – Statistical Table Related </w:t>
      </w:r>
      <w:r w:rsidR="007168AC" w:rsidRPr="004B7458">
        <w:rPr>
          <w:color w:val="68BAD6"/>
        </w:rPr>
        <w:t>to EP</w:t>
      </w:r>
      <w:r w:rsidRPr="004B7458">
        <w:rPr>
          <w:color w:val="68BAD6"/>
        </w:rPr>
        <w:t xml:space="preserve"> Districts</w:t>
      </w:r>
      <w:bookmarkEnd w:id="131"/>
    </w:p>
    <w:tbl>
      <w:tblPr>
        <w:tblW w:w="525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651"/>
        <w:gridCol w:w="2300"/>
        <w:gridCol w:w="1439"/>
        <w:gridCol w:w="1439"/>
        <w:gridCol w:w="1439"/>
        <w:gridCol w:w="1439"/>
      </w:tblGrid>
      <w:tr w:rsidR="00B450D8" w:rsidRPr="004B7458" w:rsidTr="00FB1633">
        <w:trPr>
          <w:tblHeader/>
          <w:jc w:val="center"/>
        </w:trPr>
        <w:tc>
          <w:tcPr>
            <w:tcW w:w="9470" w:type="dxa"/>
            <w:gridSpan w:val="6"/>
            <w:shd w:val="clear" w:color="auto" w:fill="003880"/>
            <w:noWrap/>
            <w:vAlign w:val="center"/>
          </w:tcPr>
          <w:p w:rsidR="00B450D8" w:rsidRPr="004B7458" w:rsidRDefault="004B7458" w:rsidP="00E3583E">
            <w:pPr>
              <w:spacing w:after="0"/>
              <w:jc w:val="center"/>
              <w:rPr>
                <w:rFonts w:asciiTheme="minorHAnsi" w:hAnsiTheme="minorHAnsi" w:cs="Arial"/>
                <w:b/>
                <w:color w:val="FFFFFF" w:themeColor="background1"/>
                <w:sz w:val="20"/>
                <w:szCs w:val="20"/>
                <w:lang w:eastAsia="en-AU"/>
              </w:rPr>
            </w:pPr>
            <w:r w:rsidRPr="004B7458">
              <w:rPr>
                <w:rFonts w:asciiTheme="minorHAnsi" w:hAnsiTheme="minorHAnsi" w:cs="Arial"/>
                <w:b/>
                <w:color w:val="FFFFFF" w:themeColor="background1"/>
                <w:sz w:val="20"/>
                <w:szCs w:val="20"/>
                <w:lang w:eastAsia="en-AU"/>
              </w:rPr>
              <w:t>COMPONENT 1:  2012</w:t>
            </w:r>
          </w:p>
        </w:tc>
      </w:tr>
      <w:tr w:rsidR="004B7458" w:rsidRPr="004B7458" w:rsidTr="00FB1633">
        <w:trPr>
          <w:tblHeader/>
          <w:jc w:val="center"/>
        </w:trPr>
        <w:tc>
          <w:tcPr>
            <w:tcW w:w="1610" w:type="dxa"/>
            <w:shd w:val="clear" w:color="auto" w:fill="68BAD6"/>
            <w:noWrap/>
            <w:vAlign w:val="center"/>
            <w:hideMark/>
          </w:tcPr>
          <w:p w:rsidR="00B450D8" w:rsidRPr="004B7458" w:rsidRDefault="00B450D8" w:rsidP="009A51AD">
            <w:pPr>
              <w:spacing w:after="0"/>
              <w:jc w:val="center"/>
              <w:rPr>
                <w:rFonts w:asciiTheme="minorHAnsi" w:hAnsiTheme="minorHAnsi" w:cs="Arial"/>
                <w:b/>
                <w:sz w:val="20"/>
                <w:szCs w:val="20"/>
                <w:lang w:eastAsia="en-AU"/>
              </w:rPr>
            </w:pPr>
            <w:r w:rsidRPr="004B7458">
              <w:rPr>
                <w:rFonts w:asciiTheme="minorHAnsi" w:hAnsiTheme="minorHAnsi" w:cs="Arial"/>
                <w:b/>
                <w:sz w:val="20"/>
                <w:szCs w:val="20"/>
                <w:lang w:eastAsia="en-AU"/>
              </w:rPr>
              <w:t>Island</w:t>
            </w:r>
          </w:p>
        </w:tc>
        <w:tc>
          <w:tcPr>
            <w:tcW w:w="2244" w:type="dxa"/>
            <w:shd w:val="clear" w:color="auto" w:fill="68BAD6"/>
            <w:noWrap/>
            <w:vAlign w:val="center"/>
            <w:hideMark/>
          </w:tcPr>
          <w:p w:rsidR="00B450D8" w:rsidRPr="004B7458" w:rsidRDefault="00B450D8" w:rsidP="009A51AD">
            <w:pPr>
              <w:spacing w:after="0"/>
              <w:jc w:val="center"/>
              <w:rPr>
                <w:rFonts w:asciiTheme="minorHAnsi" w:hAnsiTheme="minorHAnsi" w:cs="Arial"/>
                <w:b/>
                <w:sz w:val="20"/>
                <w:szCs w:val="20"/>
                <w:lang w:eastAsia="en-AU"/>
              </w:rPr>
            </w:pPr>
            <w:r w:rsidRPr="004B7458">
              <w:rPr>
                <w:rFonts w:asciiTheme="minorHAnsi" w:hAnsiTheme="minorHAnsi" w:cs="Arial"/>
                <w:b/>
                <w:sz w:val="20"/>
                <w:szCs w:val="20"/>
                <w:lang w:eastAsia="en-AU"/>
              </w:rPr>
              <w:t>District</w:t>
            </w:r>
          </w:p>
        </w:tc>
        <w:tc>
          <w:tcPr>
            <w:tcW w:w="1404" w:type="dxa"/>
            <w:shd w:val="clear" w:color="auto" w:fill="68BAD6"/>
            <w:noWrap/>
            <w:vAlign w:val="center"/>
            <w:hideMark/>
          </w:tcPr>
          <w:p w:rsidR="00B450D8" w:rsidRPr="004B7458" w:rsidRDefault="00B450D8" w:rsidP="009A51AD">
            <w:pPr>
              <w:spacing w:after="0"/>
              <w:jc w:val="center"/>
              <w:rPr>
                <w:rFonts w:asciiTheme="minorHAnsi" w:hAnsiTheme="minorHAnsi" w:cs="Arial"/>
                <w:b/>
                <w:sz w:val="20"/>
                <w:szCs w:val="20"/>
                <w:lang w:eastAsia="en-AU"/>
              </w:rPr>
            </w:pPr>
            <w:r w:rsidRPr="004B7458">
              <w:rPr>
                <w:rFonts w:asciiTheme="minorHAnsi" w:hAnsiTheme="minorHAnsi" w:cs="Arial"/>
                <w:b/>
                <w:sz w:val="20"/>
                <w:szCs w:val="20"/>
                <w:lang w:eastAsia="en-AU"/>
              </w:rPr>
              <w:t>Education Expenditure per All Students</w:t>
            </w:r>
          </w:p>
          <w:p w:rsidR="00B450D8" w:rsidRPr="004B7458" w:rsidRDefault="00B450D8" w:rsidP="009A51AD">
            <w:pPr>
              <w:spacing w:after="0"/>
              <w:jc w:val="center"/>
              <w:rPr>
                <w:rFonts w:asciiTheme="minorHAnsi" w:hAnsiTheme="minorHAnsi" w:cs="Arial"/>
                <w:b/>
                <w:sz w:val="20"/>
                <w:szCs w:val="20"/>
                <w:lang w:eastAsia="en-AU"/>
              </w:rPr>
            </w:pPr>
            <w:r w:rsidRPr="004B7458">
              <w:rPr>
                <w:rFonts w:asciiTheme="minorHAnsi" w:hAnsiTheme="minorHAnsi" w:cs="Arial"/>
                <w:b/>
                <w:sz w:val="20"/>
                <w:szCs w:val="20"/>
                <w:lang w:eastAsia="en-AU"/>
              </w:rPr>
              <w:t>(Rp. Million)</w:t>
            </w:r>
          </w:p>
        </w:tc>
        <w:tc>
          <w:tcPr>
            <w:tcW w:w="1404" w:type="dxa"/>
            <w:shd w:val="clear" w:color="auto" w:fill="68BAD6"/>
            <w:noWrap/>
            <w:vAlign w:val="center"/>
            <w:hideMark/>
          </w:tcPr>
          <w:p w:rsidR="00B450D8" w:rsidRPr="004B7458" w:rsidRDefault="00B450D8" w:rsidP="009A51AD">
            <w:pPr>
              <w:spacing w:after="0"/>
              <w:jc w:val="center"/>
              <w:rPr>
                <w:rFonts w:asciiTheme="minorHAnsi" w:hAnsiTheme="minorHAnsi" w:cs="Arial"/>
                <w:b/>
                <w:sz w:val="20"/>
                <w:szCs w:val="20"/>
                <w:lang w:eastAsia="en-AU"/>
              </w:rPr>
            </w:pPr>
            <w:r w:rsidRPr="004B7458">
              <w:rPr>
                <w:rFonts w:asciiTheme="minorHAnsi" w:hAnsiTheme="minorHAnsi" w:cs="Arial"/>
                <w:b/>
                <w:sz w:val="20"/>
                <w:szCs w:val="20"/>
                <w:lang w:eastAsia="en-AU"/>
              </w:rPr>
              <w:t>Education Share of</w:t>
            </w:r>
            <w:r w:rsidR="004971BD">
              <w:rPr>
                <w:rFonts w:asciiTheme="minorHAnsi" w:hAnsiTheme="minorHAnsi" w:cs="Arial"/>
                <w:b/>
                <w:sz w:val="20"/>
                <w:szCs w:val="20"/>
                <w:lang w:eastAsia="en-AU"/>
              </w:rPr>
              <w:t xml:space="preserve"> </w:t>
            </w:r>
            <w:r w:rsidRPr="004B7458">
              <w:rPr>
                <w:rFonts w:asciiTheme="minorHAnsi" w:hAnsiTheme="minorHAnsi" w:cs="Arial"/>
                <w:b/>
                <w:sz w:val="20"/>
                <w:szCs w:val="20"/>
                <w:lang w:eastAsia="en-AU"/>
              </w:rPr>
              <w:t>District Budget</w:t>
            </w:r>
          </w:p>
        </w:tc>
        <w:tc>
          <w:tcPr>
            <w:tcW w:w="1404" w:type="dxa"/>
            <w:shd w:val="clear" w:color="auto" w:fill="68BAD6"/>
            <w:noWrap/>
            <w:vAlign w:val="center"/>
            <w:hideMark/>
          </w:tcPr>
          <w:p w:rsidR="00B450D8" w:rsidRPr="004B7458" w:rsidRDefault="00B450D8" w:rsidP="009A51AD">
            <w:pPr>
              <w:spacing w:after="0"/>
              <w:jc w:val="center"/>
              <w:rPr>
                <w:rFonts w:asciiTheme="minorHAnsi" w:hAnsiTheme="minorHAnsi" w:cs="Arial"/>
                <w:b/>
                <w:sz w:val="20"/>
                <w:szCs w:val="20"/>
                <w:lang w:eastAsia="en-AU"/>
              </w:rPr>
            </w:pPr>
            <w:r w:rsidRPr="004B7458">
              <w:rPr>
                <w:rFonts w:asciiTheme="minorHAnsi" w:hAnsiTheme="minorHAnsi" w:cs="Arial"/>
                <w:b/>
                <w:sz w:val="20"/>
                <w:szCs w:val="20"/>
                <w:lang w:eastAsia="en-AU"/>
              </w:rPr>
              <w:t>Education Budget Annual Growth</w:t>
            </w:r>
          </w:p>
        </w:tc>
        <w:tc>
          <w:tcPr>
            <w:tcW w:w="1404" w:type="dxa"/>
            <w:shd w:val="clear" w:color="auto" w:fill="68BAD6"/>
            <w:noWrap/>
            <w:vAlign w:val="center"/>
            <w:hideMark/>
          </w:tcPr>
          <w:p w:rsidR="00FB1633" w:rsidRDefault="00B450D8" w:rsidP="009A51AD">
            <w:pPr>
              <w:spacing w:after="0"/>
              <w:jc w:val="center"/>
              <w:rPr>
                <w:rFonts w:asciiTheme="minorHAnsi" w:hAnsiTheme="minorHAnsi" w:cs="Arial"/>
                <w:b/>
                <w:sz w:val="20"/>
                <w:szCs w:val="20"/>
                <w:lang w:eastAsia="en-AU"/>
              </w:rPr>
            </w:pPr>
            <w:r w:rsidRPr="004B7458">
              <w:rPr>
                <w:rFonts w:asciiTheme="minorHAnsi" w:hAnsiTheme="minorHAnsi" w:cs="Arial"/>
                <w:b/>
                <w:sz w:val="20"/>
                <w:szCs w:val="20"/>
                <w:lang w:eastAsia="en-AU"/>
              </w:rPr>
              <w:t xml:space="preserve">District Education Budget (APBD) </w:t>
            </w:r>
          </w:p>
          <w:p w:rsidR="00B450D8" w:rsidRPr="004B7458" w:rsidRDefault="00B450D8" w:rsidP="009A51AD">
            <w:pPr>
              <w:spacing w:after="0"/>
              <w:jc w:val="center"/>
              <w:rPr>
                <w:rFonts w:asciiTheme="minorHAnsi" w:hAnsiTheme="minorHAnsi" w:cs="Arial"/>
                <w:b/>
                <w:sz w:val="20"/>
                <w:szCs w:val="20"/>
                <w:lang w:eastAsia="en-AU"/>
              </w:rPr>
            </w:pPr>
            <w:r w:rsidRPr="004B7458">
              <w:rPr>
                <w:rFonts w:asciiTheme="minorHAnsi" w:hAnsiTheme="minorHAnsi" w:cs="Arial"/>
                <w:b/>
                <w:sz w:val="20"/>
                <w:szCs w:val="20"/>
                <w:lang w:eastAsia="en-AU"/>
              </w:rPr>
              <w:t>(Rp. Million)</w:t>
            </w:r>
          </w:p>
        </w:tc>
      </w:tr>
      <w:tr w:rsidR="009A51AD" w:rsidRPr="004B7458" w:rsidTr="00FB1633">
        <w:trPr>
          <w:jc w:val="center"/>
        </w:trPr>
        <w:tc>
          <w:tcPr>
            <w:tcW w:w="1610" w:type="dxa"/>
            <w:vMerge w:val="restart"/>
            <w:shd w:val="clear" w:color="auto" w:fill="auto"/>
            <w:noWrap/>
            <w:vAlign w:val="center"/>
            <w:hideMark/>
          </w:tcPr>
          <w:p w:rsidR="00B450D8" w:rsidRPr="004B7458" w:rsidRDefault="00B450D8" w:rsidP="009A51AD">
            <w:pPr>
              <w:spacing w:after="0"/>
              <w:jc w:val="center"/>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 xml:space="preserve">Bali </w:t>
            </w:r>
            <w:r w:rsidR="009A51AD" w:rsidRPr="004B7458">
              <w:rPr>
                <w:rFonts w:asciiTheme="minorHAnsi" w:hAnsiTheme="minorHAnsi" w:cs="Arial"/>
                <w:color w:val="000000"/>
                <w:sz w:val="20"/>
                <w:szCs w:val="20"/>
                <w:lang w:eastAsia="en-AU"/>
              </w:rPr>
              <w:t xml:space="preserve">dan </w:t>
            </w:r>
            <w:r w:rsidRPr="004B7458">
              <w:rPr>
                <w:rFonts w:asciiTheme="minorHAnsi" w:hAnsiTheme="minorHAnsi" w:cs="Arial"/>
                <w:color w:val="000000"/>
                <w:sz w:val="20"/>
                <w:szCs w:val="20"/>
                <w:lang w:eastAsia="en-AU"/>
              </w:rPr>
              <w:t>Nusa Tenggara</w:t>
            </w: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Belu</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3.06</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45%</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37%</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316,685</w:t>
            </w:r>
          </w:p>
        </w:tc>
      </w:tr>
      <w:tr w:rsidR="009A51AD" w:rsidRPr="004B7458" w:rsidTr="00FB1633">
        <w:trPr>
          <w:jc w:val="center"/>
        </w:trPr>
        <w:tc>
          <w:tcPr>
            <w:tcW w:w="1610" w:type="dxa"/>
            <w:vMerge/>
            <w:vAlign w:val="center"/>
            <w:hideMark/>
          </w:tcPr>
          <w:p w:rsidR="00B450D8" w:rsidRPr="004B7458" w:rsidRDefault="00B450D8" w:rsidP="009A51AD">
            <w:pPr>
              <w:spacing w:after="0"/>
              <w:jc w:val="center"/>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Flores Timur</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4.55</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44%</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24%</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277,521</w:t>
            </w:r>
          </w:p>
        </w:tc>
      </w:tr>
      <w:tr w:rsidR="009A51AD" w:rsidRPr="004B7458" w:rsidTr="00FB1633">
        <w:trPr>
          <w:jc w:val="center"/>
        </w:trPr>
        <w:tc>
          <w:tcPr>
            <w:tcW w:w="1610" w:type="dxa"/>
            <w:vMerge/>
            <w:vAlign w:val="center"/>
            <w:hideMark/>
          </w:tcPr>
          <w:p w:rsidR="00B450D8" w:rsidRPr="004B7458" w:rsidRDefault="00B450D8" w:rsidP="009A51AD">
            <w:pPr>
              <w:spacing w:after="0"/>
              <w:jc w:val="center"/>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Kupang</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4.00</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37%</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11%</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286,757</w:t>
            </w:r>
          </w:p>
        </w:tc>
      </w:tr>
      <w:tr w:rsidR="009A51AD" w:rsidRPr="004B7458" w:rsidTr="00FB1633">
        <w:trPr>
          <w:jc w:val="center"/>
        </w:trPr>
        <w:tc>
          <w:tcPr>
            <w:tcW w:w="1610" w:type="dxa"/>
            <w:vMerge/>
            <w:vAlign w:val="center"/>
            <w:hideMark/>
          </w:tcPr>
          <w:p w:rsidR="00B450D8" w:rsidRPr="004B7458" w:rsidRDefault="00B450D8" w:rsidP="009A51AD">
            <w:pPr>
              <w:spacing w:after="0"/>
              <w:jc w:val="center"/>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Lombok Tengah</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2.66</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51%</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0%</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505,807</w:t>
            </w:r>
          </w:p>
        </w:tc>
      </w:tr>
      <w:tr w:rsidR="009A51AD" w:rsidRPr="004B7458" w:rsidTr="00FB1633">
        <w:trPr>
          <w:jc w:val="center"/>
        </w:trPr>
        <w:tc>
          <w:tcPr>
            <w:tcW w:w="1610" w:type="dxa"/>
            <w:vMerge/>
            <w:vAlign w:val="center"/>
            <w:hideMark/>
          </w:tcPr>
          <w:p w:rsidR="00B450D8" w:rsidRPr="004B7458" w:rsidRDefault="00B450D8" w:rsidP="009A51AD">
            <w:pPr>
              <w:spacing w:after="0"/>
              <w:jc w:val="center"/>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Sabu Raijua</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6.30</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37%</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35%</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126,207</w:t>
            </w:r>
          </w:p>
        </w:tc>
      </w:tr>
      <w:tr w:rsidR="009A51AD" w:rsidRPr="004B7458" w:rsidTr="00FB1633">
        <w:trPr>
          <w:jc w:val="center"/>
        </w:trPr>
        <w:tc>
          <w:tcPr>
            <w:tcW w:w="1610" w:type="dxa"/>
            <w:vMerge/>
            <w:vAlign w:val="center"/>
            <w:hideMark/>
          </w:tcPr>
          <w:p w:rsidR="00B450D8" w:rsidRPr="004B7458" w:rsidRDefault="00B450D8" w:rsidP="009A51AD">
            <w:pPr>
              <w:spacing w:after="0"/>
              <w:jc w:val="center"/>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Sumba Barat</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1.16</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19%</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-43%</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43,353</w:t>
            </w:r>
          </w:p>
        </w:tc>
      </w:tr>
      <w:tr w:rsidR="009A51AD" w:rsidRPr="004B7458" w:rsidTr="00FB1633">
        <w:trPr>
          <w:jc w:val="center"/>
        </w:trPr>
        <w:tc>
          <w:tcPr>
            <w:tcW w:w="1610" w:type="dxa"/>
            <w:vMerge/>
            <w:vAlign w:val="center"/>
            <w:hideMark/>
          </w:tcPr>
          <w:p w:rsidR="00B450D8" w:rsidRPr="004B7458" w:rsidRDefault="00B450D8" w:rsidP="009A51AD">
            <w:pPr>
              <w:spacing w:after="0"/>
              <w:jc w:val="center"/>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Sumba Barat Daya</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1.75</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37%</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18%</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159,586</w:t>
            </w:r>
          </w:p>
        </w:tc>
      </w:tr>
      <w:tr w:rsidR="009A51AD" w:rsidRPr="004B7458" w:rsidTr="00FB1633">
        <w:trPr>
          <w:jc w:val="center"/>
        </w:trPr>
        <w:tc>
          <w:tcPr>
            <w:tcW w:w="1610" w:type="dxa"/>
            <w:vMerge/>
            <w:vAlign w:val="center"/>
            <w:hideMark/>
          </w:tcPr>
          <w:p w:rsidR="00B450D8" w:rsidRPr="004B7458" w:rsidRDefault="00B450D8" w:rsidP="009A51AD">
            <w:pPr>
              <w:spacing w:after="0"/>
              <w:jc w:val="center"/>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Sumba Timur</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3.00</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36%</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8%</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218,650</w:t>
            </w:r>
          </w:p>
        </w:tc>
      </w:tr>
      <w:tr w:rsidR="009A51AD" w:rsidRPr="004B7458" w:rsidTr="00FB1633">
        <w:trPr>
          <w:jc w:val="center"/>
        </w:trPr>
        <w:tc>
          <w:tcPr>
            <w:tcW w:w="1610" w:type="dxa"/>
            <w:vMerge/>
            <w:vAlign w:val="center"/>
            <w:hideMark/>
          </w:tcPr>
          <w:p w:rsidR="00B450D8" w:rsidRPr="004B7458" w:rsidRDefault="00B450D8" w:rsidP="009A51AD">
            <w:pPr>
              <w:spacing w:after="0"/>
              <w:jc w:val="center"/>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Sumbawa</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3.40</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39%</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314,925</w:t>
            </w:r>
          </w:p>
        </w:tc>
      </w:tr>
      <w:tr w:rsidR="009A51AD" w:rsidRPr="004B7458" w:rsidTr="00FB1633">
        <w:trPr>
          <w:jc w:val="center"/>
        </w:trPr>
        <w:tc>
          <w:tcPr>
            <w:tcW w:w="1610" w:type="dxa"/>
            <w:vMerge w:val="restart"/>
            <w:shd w:val="clear" w:color="auto" w:fill="auto"/>
            <w:noWrap/>
            <w:vAlign w:val="center"/>
            <w:hideMark/>
          </w:tcPr>
          <w:p w:rsidR="00B450D8" w:rsidRPr="004B7458" w:rsidRDefault="00B450D8" w:rsidP="009A51AD">
            <w:pPr>
              <w:spacing w:after="0"/>
              <w:jc w:val="center"/>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Jawa</w:t>
            </w: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Bandung</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2.10</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50%</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1,313,527</w:t>
            </w:r>
          </w:p>
        </w:tc>
      </w:tr>
      <w:tr w:rsidR="009A51AD" w:rsidRPr="004B7458" w:rsidTr="00FB1633">
        <w:trPr>
          <w:jc w:val="center"/>
        </w:trPr>
        <w:tc>
          <w:tcPr>
            <w:tcW w:w="1610" w:type="dxa"/>
            <w:vMerge/>
            <w:vAlign w:val="center"/>
            <w:hideMark/>
          </w:tcPr>
          <w:p w:rsidR="00B450D8" w:rsidRPr="004B7458" w:rsidRDefault="00B450D8" w:rsidP="009A51AD">
            <w:pPr>
              <w:spacing w:after="0"/>
              <w:jc w:val="center"/>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Bandung Barat</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1.86</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45%</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604,077</w:t>
            </w:r>
          </w:p>
        </w:tc>
      </w:tr>
      <w:tr w:rsidR="009A51AD" w:rsidRPr="004B7458" w:rsidTr="00FB1633">
        <w:trPr>
          <w:jc w:val="center"/>
        </w:trPr>
        <w:tc>
          <w:tcPr>
            <w:tcW w:w="1610" w:type="dxa"/>
            <w:vMerge/>
            <w:vAlign w:val="center"/>
            <w:hideMark/>
          </w:tcPr>
          <w:p w:rsidR="00B450D8" w:rsidRPr="004B7458" w:rsidRDefault="00B450D8" w:rsidP="009A51AD">
            <w:pPr>
              <w:spacing w:after="0"/>
              <w:jc w:val="center"/>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Bangkalan</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2.39</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42%</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-7%</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508,449</w:t>
            </w:r>
          </w:p>
        </w:tc>
      </w:tr>
      <w:tr w:rsidR="009A51AD" w:rsidRPr="004B7458" w:rsidTr="00FB1633">
        <w:trPr>
          <w:jc w:val="center"/>
        </w:trPr>
        <w:tc>
          <w:tcPr>
            <w:tcW w:w="1610" w:type="dxa"/>
            <w:vMerge/>
            <w:vAlign w:val="center"/>
            <w:hideMark/>
          </w:tcPr>
          <w:p w:rsidR="00B450D8" w:rsidRPr="004B7458" w:rsidRDefault="00B450D8" w:rsidP="009A51AD">
            <w:pPr>
              <w:spacing w:after="0"/>
              <w:jc w:val="center"/>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Batang</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3.64</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51%</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27%</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470,784</w:t>
            </w:r>
          </w:p>
        </w:tc>
      </w:tr>
      <w:tr w:rsidR="009A51AD" w:rsidRPr="004B7458" w:rsidTr="00FB1633">
        <w:trPr>
          <w:jc w:val="center"/>
        </w:trPr>
        <w:tc>
          <w:tcPr>
            <w:tcW w:w="1610" w:type="dxa"/>
            <w:vMerge/>
            <w:vAlign w:val="center"/>
            <w:hideMark/>
          </w:tcPr>
          <w:p w:rsidR="00B450D8" w:rsidRPr="004B7458" w:rsidRDefault="00B450D8" w:rsidP="009A51AD">
            <w:pPr>
              <w:spacing w:after="0"/>
              <w:jc w:val="center"/>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Bekasi</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1.53</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33%</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28%</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805,877</w:t>
            </w:r>
          </w:p>
        </w:tc>
      </w:tr>
      <w:tr w:rsidR="009A51AD" w:rsidRPr="004B7458" w:rsidTr="00FB1633">
        <w:trPr>
          <w:jc w:val="center"/>
        </w:trPr>
        <w:tc>
          <w:tcPr>
            <w:tcW w:w="1610" w:type="dxa"/>
            <w:vMerge/>
            <w:vAlign w:val="center"/>
            <w:hideMark/>
          </w:tcPr>
          <w:p w:rsidR="00B450D8" w:rsidRPr="004B7458" w:rsidRDefault="00B450D8" w:rsidP="009A51AD">
            <w:pPr>
              <w:spacing w:after="0"/>
              <w:jc w:val="center"/>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Cianjur</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1.66</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47%</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-10%</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795,934</w:t>
            </w:r>
          </w:p>
        </w:tc>
      </w:tr>
      <w:tr w:rsidR="009A51AD" w:rsidRPr="004B7458" w:rsidTr="00FB1633">
        <w:trPr>
          <w:jc w:val="center"/>
        </w:trPr>
        <w:tc>
          <w:tcPr>
            <w:tcW w:w="1610" w:type="dxa"/>
            <w:vMerge/>
            <w:vAlign w:val="center"/>
            <w:hideMark/>
          </w:tcPr>
          <w:p w:rsidR="00B450D8" w:rsidRPr="004B7458" w:rsidRDefault="00B450D8" w:rsidP="009A51AD">
            <w:pPr>
              <w:spacing w:after="0"/>
              <w:jc w:val="center"/>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Garut</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2.12</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53%</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7%</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1,221,553</w:t>
            </w:r>
          </w:p>
        </w:tc>
      </w:tr>
      <w:tr w:rsidR="009A51AD" w:rsidRPr="004B7458" w:rsidTr="00FB1633">
        <w:trPr>
          <w:jc w:val="center"/>
        </w:trPr>
        <w:tc>
          <w:tcPr>
            <w:tcW w:w="1610" w:type="dxa"/>
            <w:vMerge/>
            <w:vAlign w:val="center"/>
            <w:hideMark/>
          </w:tcPr>
          <w:p w:rsidR="00B450D8" w:rsidRPr="004B7458" w:rsidRDefault="00B450D8" w:rsidP="009A51AD">
            <w:pPr>
              <w:spacing w:after="0"/>
              <w:jc w:val="center"/>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Grobogan</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2.40</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50%</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635,214</w:t>
            </w:r>
          </w:p>
        </w:tc>
      </w:tr>
      <w:tr w:rsidR="009A51AD" w:rsidRPr="004B7458" w:rsidTr="00FB1633">
        <w:trPr>
          <w:jc w:val="center"/>
        </w:trPr>
        <w:tc>
          <w:tcPr>
            <w:tcW w:w="1610" w:type="dxa"/>
            <w:vMerge/>
            <w:vAlign w:val="center"/>
            <w:hideMark/>
          </w:tcPr>
          <w:p w:rsidR="00B450D8" w:rsidRPr="004B7458" w:rsidRDefault="00B450D8" w:rsidP="009A51AD">
            <w:pPr>
              <w:spacing w:after="0"/>
              <w:jc w:val="center"/>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Indramayu</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2.53</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51%</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9%</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877,127</w:t>
            </w:r>
          </w:p>
        </w:tc>
      </w:tr>
      <w:tr w:rsidR="009A51AD" w:rsidRPr="004B7458" w:rsidTr="00FB1633">
        <w:trPr>
          <w:jc w:val="center"/>
        </w:trPr>
        <w:tc>
          <w:tcPr>
            <w:tcW w:w="1610" w:type="dxa"/>
            <w:vMerge/>
            <w:vAlign w:val="center"/>
            <w:hideMark/>
          </w:tcPr>
          <w:p w:rsidR="00B450D8" w:rsidRPr="004B7458" w:rsidRDefault="00B450D8" w:rsidP="009A51AD">
            <w:pPr>
              <w:spacing w:after="0"/>
              <w:jc w:val="center"/>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Kebumen</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2.80</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52%</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723,605</w:t>
            </w:r>
          </w:p>
        </w:tc>
      </w:tr>
      <w:tr w:rsidR="009A51AD" w:rsidRPr="004B7458" w:rsidTr="00FB1633">
        <w:trPr>
          <w:jc w:val="center"/>
        </w:trPr>
        <w:tc>
          <w:tcPr>
            <w:tcW w:w="1610" w:type="dxa"/>
            <w:vMerge/>
            <w:vAlign w:val="center"/>
            <w:hideMark/>
          </w:tcPr>
          <w:p w:rsidR="00B450D8" w:rsidRPr="004B7458" w:rsidRDefault="00B450D8" w:rsidP="009A51AD">
            <w:pPr>
              <w:spacing w:after="0"/>
              <w:jc w:val="center"/>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Kediri</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3.08</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49%</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19%</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755,409</w:t>
            </w:r>
          </w:p>
        </w:tc>
      </w:tr>
      <w:tr w:rsidR="009A51AD" w:rsidRPr="004B7458" w:rsidTr="00FB1633">
        <w:trPr>
          <w:jc w:val="center"/>
        </w:trPr>
        <w:tc>
          <w:tcPr>
            <w:tcW w:w="1610" w:type="dxa"/>
            <w:vMerge/>
            <w:vAlign w:val="center"/>
            <w:hideMark/>
          </w:tcPr>
          <w:p w:rsidR="00B450D8" w:rsidRPr="004B7458" w:rsidRDefault="00B450D8" w:rsidP="009A51AD">
            <w:pPr>
              <w:spacing w:after="0"/>
              <w:jc w:val="center"/>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Lebak</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2.01</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49%</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595,738</w:t>
            </w:r>
          </w:p>
        </w:tc>
      </w:tr>
      <w:tr w:rsidR="009A51AD" w:rsidRPr="004B7458" w:rsidTr="00FB1633">
        <w:trPr>
          <w:jc w:val="center"/>
        </w:trPr>
        <w:tc>
          <w:tcPr>
            <w:tcW w:w="1610" w:type="dxa"/>
            <w:vMerge/>
            <w:vAlign w:val="center"/>
            <w:hideMark/>
          </w:tcPr>
          <w:p w:rsidR="00B450D8" w:rsidRPr="004B7458" w:rsidRDefault="00B450D8" w:rsidP="009A51AD">
            <w:pPr>
              <w:spacing w:after="0"/>
              <w:jc w:val="center"/>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Pasuruan</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2.60</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44%</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701,494</w:t>
            </w:r>
          </w:p>
        </w:tc>
      </w:tr>
      <w:tr w:rsidR="009A51AD" w:rsidRPr="004B7458" w:rsidTr="00FB1633">
        <w:trPr>
          <w:jc w:val="center"/>
        </w:trPr>
        <w:tc>
          <w:tcPr>
            <w:tcW w:w="1610" w:type="dxa"/>
            <w:vMerge/>
            <w:vAlign w:val="center"/>
            <w:hideMark/>
          </w:tcPr>
          <w:p w:rsidR="00B450D8" w:rsidRPr="004B7458" w:rsidRDefault="00B450D8" w:rsidP="009A51AD">
            <w:pPr>
              <w:spacing w:after="0"/>
              <w:jc w:val="center"/>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Ponorogo</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4.18</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50%</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620,269</w:t>
            </w:r>
          </w:p>
        </w:tc>
      </w:tr>
      <w:tr w:rsidR="009A51AD" w:rsidRPr="004B7458" w:rsidTr="00FB1633">
        <w:trPr>
          <w:jc w:val="center"/>
        </w:trPr>
        <w:tc>
          <w:tcPr>
            <w:tcW w:w="1610" w:type="dxa"/>
            <w:vMerge/>
            <w:vAlign w:val="center"/>
            <w:hideMark/>
          </w:tcPr>
          <w:p w:rsidR="00B450D8" w:rsidRPr="004B7458" w:rsidRDefault="00B450D8" w:rsidP="009A51AD">
            <w:pPr>
              <w:spacing w:after="0"/>
              <w:jc w:val="center"/>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Probolinggo</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2.70</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43%</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13%</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550,374</w:t>
            </w:r>
          </w:p>
        </w:tc>
      </w:tr>
      <w:tr w:rsidR="009A51AD" w:rsidRPr="004B7458" w:rsidTr="00FB1633">
        <w:trPr>
          <w:jc w:val="center"/>
        </w:trPr>
        <w:tc>
          <w:tcPr>
            <w:tcW w:w="1610" w:type="dxa"/>
            <w:vMerge/>
            <w:vAlign w:val="center"/>
            <w:hideMark/>
          </w:tcPr>
          <w:p w:rsidR="00B450D8" w:rsidRPr="004B7458" w:rsidRDefault="00B450D8" w:rsidP="009A51AD">
            <w:pPr>
              <w:spacing w:after="0"/>
              <w:jc w:val="center"/>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Purwakarta</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2.26</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39%</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-8%</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426,055</w:t>
            </w:r>
          </w:p>
        </w:tc>
      </w:tr>
      <w:tr w:rsidR="009A51AD" w:rsidRPr="004B7458" w:rsidTr="00FB1633">
        <w:trPr>
          <w:jc w:val="center"/>
        </w:trPr>
        <w:tc>
          <w:tcPr>
            <w:tcW w:w="1610" w:type="dxa"/>
            <w:vMerge/>
            <w:vAlign w:val="center"/>
            <w:hideMark/>
          </w:tcPr>
          <w:p w:rsidR="00B450D8" w:rsidRPr="004B7458" w:rsidRDefault="00B450D8" w:rsidP="009A51AD">
            <w:pPr>
              <w:spacing w:after="0"/>
              <w:jc w:val="center"/>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Situbondo</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3.82</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45%</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15%</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440,419</w:t>
            </w:r>
          </w:p>
        </w:tc>
      </w:tr>
      <w:tr w:rsidR="009A51AD" w:rsidRPr="004B7458" w:rsidTr="00FB1633">
        <w:trPr>
          <w:jc w:val="center"/>
        </w:trPr>
        <w:tc>
          <w:tcPr>
            <w:tcW w:w="1610" w:type="dxa"/>
            <w:vMerge/>
            <w:vAlign w:val="center"/>
            <w:hideMark/>
          </w:tcPr>
          <w:p w:rsidR="00B450D8" w:rsidRPr="004B7458" w:rsidRDefault="00B450D8" w:rsidP="009A51AD">
            <w:pPr>
              <w:spacing w:after="0"/>
              <w:jc w:val="center"/>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Tangerang</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1.19</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30%</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-6%</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732,582</w:t>
            </w:r>
          </w:p>
        </w:tc>
      </w:tr>
      <w:tr w:rsidR="009A51AD" w:rsidRPr="004B7458" w:rsidTr="00FB1633">
        <w:trPr>
          <w:jc w:val="center"/>
        </w:trPr>
        <w:tc>
          <w:tcPr>
            <w:tcW w:w="1610" w:type="dxa"/>
            <w:vMerge/>
            <w:vAlign w:val="center"/>
            <w:hideMark/>
          </w:tcPr>
          <w:p w:rsidR="00B450D8" w:rsidRPr="004B7458" w:rsidRDefault="00B450D8" w:rsidP="009A51AD">
            <w:pPr>
              <w:spacing w:after="0"/>
              <w:jc w:val="center"/>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Tuban</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3.17</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45%</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602,511</w:t>
            </w:r>
          </w:p>
        </w:tc>
      </w:tr>
      <w:tr w:rsidR="009A51AD" w:rsidRPr="004B7458" w:rsidTr="00FB1633">
        <w:trPr>
          <w:jc w:val="center"/>
        </w:trPr>
        <w:tc>
          <w:tcPr>
            <w:tcW w:w="1610" w:type="dxa"/>
            <w:vMerge w:val="restart"/>
            <w:shd w:val="clear" w:color="auto" w:fill="auto"/>
            <w:noWrap/>
            <w:vAlign w:val="center"/>
            <w:hideMark/>
          </w:tcPr>
          <w:p w:rsidR="00B450D8" w:rsidRPr="004B7458" w:rsidRDefault="00B450D8" w:rsidP="009A51AD">
            <w:pPr>
              <w:spacing w:after="0"/>
              <w:jc w:val="center"/>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Kalimantan</w:t>
            </w: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Balangan</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7.21</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29%</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12%</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181,665</w:t>
            </w:r>
          </w:p>
        </w:tc>
      </w:tr>
      <w:tr w:rsidR="009A51AD" w:rsidRPr="004B7458" w:rsidTr="00FB1633">
        <w:trPr>
          <w:jc w:val="center"/>
        </w:trPr>
        <w:tc>
          <w:tcPr>
            <w:tcW w:w="1610" w:type="dxa"/>
            <w:vMerge/>
            <w:vAlign w:val="center"/>
            <w:hideMark/>
          </w:tcPr>
          <w:p w:rsidR="00B450D8" w:rsidRPr="004B7458" w:rsidRDefault="00B450D8" w:rsidP="009A51AD">
            <w:pPr>
              <w:spacing w:after="0"/>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Barito Kuala</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p>
        </w:tc>
      </w:tr>
      <w:tr w:rsidR="009A51AD" w:rsidRPr="004B7458" w:rsidTr="00FB1633">
        <w:trPr>
          <w:jc w:val="center"/>
        </w:trPr>
        <w:tc>
          <w:tcPr>
            <w:tcW w:w="1610" w:type="dxa"/>
            <w:vMerge/>
            <w:vAlign w:val="center"/>
            <w:hideMark/>
          </w:tcPr>
          <w:p w:rsidR="00B450D8" w:rsidRPr="004B7458" w:rsidRDefault="00B450D8" w:rsidP="009A51AD">
            <w:pPr>
              <w:spacing w:after="0"/>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Barito Timur</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7.48</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29%</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22%</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160,630</w:t>
            </w:r>
          </w:p>
        </w:tc>
      </w:tr>
      <w:tr w:rsidR="009A51AD" w:rsidRPr="004B7458" w:rsidTr="00FB1633">
        <w:trPr>
          <w:jc w:val="center"/>
        </w:trPr>
        <w:tc>
          <w:tcPr>
            <w:tcW w:w="1610" w:type="dxa"/>
            <w:vMerge/>
            <w:vAlign w:val="center"/>
            <w:hideMark/>
          </w:tcPr>
          <w:p w:rsidR="00B450D8" w:rsidRPr="004B7458" w:rsidRDefault="00B450D8" w:rsidP="009A51AD">
            <w:pPr>
              <w:spacing w:after="0"/>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Bengkayang</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3.15</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32%</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-7%</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176,345</w:t>
            </w:r>
          </w:p>
        </w:tc>
      </w:tr>
      <w:tr w:rsidR="009A51AD" w:rsidRPr="004B7458" w:rsidTr="00FB1633">
        <w:trPr>
          <w:jc w:val="center"/>
        </w:trPr>
        <w:tc>
          <w:tcPr>
            <w:tcW w:w="1610" w:type="dxa"/>
            <w:vMerge/>
            <w:vAlign w:val="center"/>
            <w:hideMark/>
          </w:tcPr>
          <w:p w:rsidR="00B450D8" w:rsidRPr="004B7458" w:rsidRDefault="00B450D8" w:rsidP="009A51AD">
            <w:pPr>
              <w:spacing w:after="0"/>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Bulungan</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10.92</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20%</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16%</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308,660</w:t>
            </w:r>
          </w:p>
        </w:tc>
      </w:tr>
      <w:tr w:rsidR="009A51AD" w:rsidRPr="004B7458" w:rsidTr="00FB1633">
        <w:trPr>
          <w:jc w:val="center"/>
        </w:trPr>
        <w:tc>
          <w:tcPr>
            <w:tcW w:w="1610" w:type="dxa"/>
            <w:vMerge/>
            <w:vAlign w:val="center"/>
            <w:hideMark/>
          </w:tcPr>
          <w:p w:rsidR="00B450D8" w:rsidRPr="004B7458" w:rsidRDefault="00B450D8" w:rsidP="009A51AD">
            <w:pPr>
              <w:spacing w:after="0"/>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Kapuas Hulu</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4.78</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28%</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16%</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250,022</w:t>
            </w:r>
          </w:p>
        </w:tc>
      </w:tr>
      <w:tr w:rsidR="009A51AD" w:rsidRPr="004B7458" w:rsidTr="00FB1633">
        <w:trPr>
          <w:jc w:val="center"/>
        </w:trPr>
        <w:tc>
          <w:tcPr>
            <w:tcW w:w="1610" w:type="dxa"/>
            <w:vMerge/>
            <w:vAlign w:val="center"/>
            <w:hideMark/>
          </w:tcPr>
          <w:p w:rsidR="00B450D8" w:rsidRPr="004B7458" w:rsidRDefault="00B450D8" w:rsidP="009A51AD">
            <w:pPr>
              <w:spacing w:after="0"/>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Ketapang</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2.91</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28%</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-8%</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287,101</w:t>
            </w:r>
          </w:p>
        </w:tc>
      </w:tr>
      <w:tr w:rsidR="009A51AD" w:rsidRPr="004B7458" w:rsidTr="00FB1633">
        <w:trPr>
          <w:jc w:val="center"/>
        </w:trPr>
        <w:tc>
          <w:tcPr>
            <w:tcW w:w="1610" w:type="dxa"/>
            <w:vMerge/>
            <w:vAlign w:val="center"/>
            <w:hideMark/>
          </w:tcPr>
          <w:p w:rsidR="00B450D8" w:rsidRPr="004B7458" w:rsidRDefault="00B450D8" w:rsidP="009A51AD">
            <w:pPr>
              <w:spacing w:after="0"/>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Landak</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2.95</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38%</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13%</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271,312</w:t>
            </w:r>
          </w:p>
        </w:tc>
      </w:tr>
      <w:tr w:rsidR="009A51AD" w:rsidRPr="004B7458" w:rsidTr="00FB1633">
        <w:trPr>
          <w:jc w:val="center"/>
        </w:trPr>
        <w:tc>
          <w:tcPr>
            <w:tcW w:w="1610" w:type="dxa"/>
            <w:vMerge/>
            <w:vAlign w:val="center"/>
            <w:hideMark/>
          </w:tcPr>
          <w:p w:rsidR="00B450D8" w:rsidRPr="004B7458" w:rsidRDefault="00B450D8" w:rsidP="009A51AD">
            <w:pPr>
              <w:spacing w:after="0"/>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Malinau</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15.30</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14%</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42%</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269,389</w:t>
            </w:r>
          </w:p>
        </w:tc>
      </w:tr>
      <w:tr w:rsidR="009A51AD" w:rsidRPr="004B7458" w:rsidTr="00FB1633">
        <w:trPr>
          <w:jc w:val="center"/>
        </w:trPr>
        <w:tc>
          <w:tcPr>
            <w:tcW w:w="1610" w:type="dxa"/>
            <w:vMerge/>
            <w:vAlign w:val="center"/>
            <w:hideMark/>
          </w:tcPr>
          <w:p w:rsidR="00B450D8" w:rsidRPr="004B7458" w:rsidRDefault="00B450D8" w:rsidP="009A51AD">
            <w:pPr>
              <w:spacing w:after="0"/>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Sekadau</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4.22</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37%</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25%</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183,515</w:t>
            </w:r>
          </w:p>
        </w:tc>
      </w:tr>
      <w:tr w:rsidR="009A51AD" w:rsidRPr="004B7458" w:rsidTr="00FB1633">
        <w:trPr>
          <w:jc w:val="center"/>
        </w:trPr>
        <w:tc>
          <w:tcPr>
            <w:tcW w:w="1610" w:type="dxa"/>
            <w:vMerge/>
            <w:vAlign w:val="center"/>
            <w:hideMark/>
          </w:tcPr>
          <w:p w:rsidR="00B450D8" w:rsidRPr="004B7458" w:rsidRDefault="00B450D8" w:rsidP="009A51AD">
            <w:pPr>
              <w:spacing w:after="0"/>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Sukamara</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9.04</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21%</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22%</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94,661</w:t>
            </w:r>
          </w:p>
        </w:tc>
      </w:tr>
      <w:tr w:rsidR="009A51AD" w:rsidRPr="004B7458" w:rsidTr="00FB1633">
        <w:trPr>
          <w:jc w:val="center"/>
        </w:trPr>
        <w:tc>
          <w:tcPr>
            <w:tcW w:w="1610" w:type="dxa"/>
            <w:vMerge w:val="restart"/>
            <w:shd w:val="clear" w:color="auto" w:fill="auto"/>
            <w:noWrap/>
            <w:vAlign w:val="center"/>
            <w:hideMark/>
          </w:tcPr>
          <w:p w:rsidR="00B450D8" w:rsidRPr="004B7458" w:rsidRDefault="00B450D8" w:rsidP="009A51AD">
            <w:pPr>
              <w:spacing w:after="0"/>
              <w:jc w:val="center"/>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lastRenderedPageBreak/>
              <w:t>Maluku</w:t>
            </w: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Buru</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4.21</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31%</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-5%</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135,219</w:t>
            </w:r>
          </w:p>
        </w:tc>
      </w:tr>
      <w:tr w:rsidR="009A51AD" w:rsidRPr="004B7458" w:rsidTr="00FB1633">
        <w:trPr>
          <w:jc w:val="center"/>
        </w:trPr>
        <w:tc>
          <w:tcPr>
            <w:tcW w:w="1610" w:type="dxa"/>
            <w:vMerge/>
            <w:vAlign w:val="center"/>
            <w:hideMark/>
          </w:tcPr>
          <w:p w:rsidR="00B450D8" w:rsidRPr="004B7458" w:rsidRDefault="00B450D8" w:rsidP="009A51AD">
            <w:pPr>
              <w:spacing w:after="0"/>
              <w:jc w:val="center"/>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Buru Selatan</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3.90</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20%</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8%</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66,940</w:t>
            </w:r>
          </w:p>
        </w:tc>
      </w:tr>
      <w:tr w:rsidR="009A51AD" w:rsidRPr="004B7458" w:rsidTr="00FB1633">
        <w:trPr>
          <w:jc w:val="center"/>
        </w:trPr>
        <w:tc>
          <w:tcPr>
            <w:tcW w:w="1610" w:type="dxa"/>
            <w:vMerge/>
            <w:vAlign w:val="center"/>
            <w:hideMark/>
          </w:tcPr>
          <w:p w:rsidR="00B450D8" w:rsidRPr="004B7458" w:rsidRDefault="00B450D8" w:rsidP="009A51AD">
            <w:pPr>
              <w:spacing w:after="0"/>
              <w:jc w:val="center"/>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Maluku Tengah</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4.38</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52%</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5%</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466,427</w:t>
            </w:r>
          </w:p>
        </w:tc>
      </w:tr>
      <w:tr w:rsidR="009A51AD" w:rsidRPr="004B7458" w:rsidTr="00FB1633">
        <w:trPr>
          <w:jc w:val="center"/>
        </w:trPr>
        <w:tc>
          <w:tcPr>
            <w:tcW w:w="1610" w:type="dxa"/>
            <w:vMerge w:val="restart"/>
            <w:shd w:val="clear" w:color="auto" w:fill="auto"/>
            <w:noWrap/>
            <w:vAlign w:val="center"/>
            <w:hideMark/>
          </w:tcPr>
          <w:p w:rsidR="00B450D8" w:rsidRPr="004B7458" w:rsidRDefault="00B450D8" w:rsidP="009A51AD">
            <w:pPr>
              <w:spacing w:after="0"/>
              <w:jc w:val="center"/>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Sulawesi</w:t>
            </w: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Banggai</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3.60</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38%</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17%</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287,854</w:t>
            </w:r>
          </w:p>
        </w:tc>
      </w:tr>
      <w:tr w:rsidR="009A51AD" w:rsidRPr="004B7458" w:rsidTr="00FB1633">
        <w:trPr>
          <w:jc w:val="center"/>
        </w:trPr>
        <w:tc>
          <w:tcPr>
            <w:tcW w:w="1610" w:type="dxa"/>
            <w:vMerge/>
            <w:vAlign w:val="center"/>
            <w:hideMark/>
          </w:tcPr>
          <w:p w:rsidR="00B450D8" w:rsidRPr="004B7458" w:rsidRDefault="00B450D8" w:rsidP="009A51AD">
            <w:pPr>
              <w:spacing w:after="0"/>
              <w:jc w:val="center"/>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Banggai Kepulauan</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4.08</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35%</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34%</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192,422</w:t>
            </w:r>
          </w:p>
        </w:tc>
      </w:tr>
      <w:tr w:rsidR="009A51AD" w:rsidRPr="004B7458" w:rsidTr="00FB1633">
        <w:trPr>
          <w:jc w:val="center"/>
        </w:trPr>
        <w:tc>
          <w:tcPr>
            <w:tcW w:w="1610" w:type="dxa"/>
            <w:vMerge/>
            <w:vAlign w:val="center"/>
            <w:hideMark/>
          </w:tcPr>
          <w:p w:rsidR="00B450D8" w:rsidRPr="004B7458" w:rsidRDefault="00B450D8" w:rsidP="009A51AD">
            <w:pPr>
              <w:spacing w:after="0"/>
              <w:jc w:val="center"/>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Bolaang Mongondow</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3.81</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34%</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13%</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184,391</w:t>
            </w:r>
          </w:p>
        </w:tc>
      </w:tr>
      <w:tr w:rsidR="009A51AD" w:rsidRPr="004B7458" w:rsidTr="00FB1633">
        <w:trPr>
          <w:jc w:val="center"/>
        </w:trPr>
        <w:tc>
          <w:tcPr>
            <w:tcW w:w="1610" w:type="dxa"/>
            <w:vMerge/>
            <w:vAlign w:val="center"/>
            <w:hideMark/>
          </w:tcPr>
          <w:p w:rsidR="00B450D8" w:rsidRPr="004B7458" w:rsidRDefault="00B450D8" w:rsidP="009A51AD">
            <w:pPr>
              <w:spacing w:after="0"/>
              <w:jc w:val="center"/>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Bolaang Mongondow Selatan</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6.55</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26%</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33%</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84,224</w:t>
            </w:r>
          </w:p>
        </w:tc>
      </w:tr>
      <w:tr w:rsidR="009A51AD" w:rsidRPr="004B7458" w:rsidTr="00FB1633">
        <w:trPr>
          <w:jc w:val="center"/>
        </w:trPr>
        <w:tc>
          <w:tcPr>
            <w:tcW w:w="1610" w:type="dxa"/>
            <w:vMerge/>
            <w:vAlign w:val="center"/>
            <w:hideMark/>
          </w:tcPr>
          <w:p w:rsidR="00B450D8" w:rsidRPr="004B7458" w:rsidRDefault="00B450D8" w:rsidP="009A51AD">
            <w:pPr>
              <w:spacing w:after="0"/>
              <w:jc w:val="center"/>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Bolaang Mongondow Timur</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5.65</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23%</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-24%</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68,301</w:t>
            </w:r>
          </w:p>
        </w:tc>
      </w:tr>
      <w:tr w:rsidR="009A51AD" w:rsidRPr="004B7458" w:rsidTr="00FB1633">
        <w:trPr>
          <w:jc w:val="center"/>
        </w:trPr>
        <w:tc>
          <w:tcPr>
            <w:tcW w:w="1610" w:type="dxa"/>
            <w:vMerge/>
            <w:vAlign w:val="center"/>
            <w:hideMark/>
          </w:tcPr>
          <w:p w:rsidR="00B450D8" w:rsidRPr="004B7458" w:rsidRDefault="00B450D8" w:rsidP="009A51AD">
            <w:pPr>
              <w:spacing w:after="0"/>
              <w:jc w:val="center"/>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Bulukumba</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4.02</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50%</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5%</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361,992</w:t>
            </w:r>
          </w:p>
        </w:tc>
      </w:tr>
      <w:tr w:rsidR="009A51AD" w:rsidRPr="004B7458" w:rsidTr="00FB1633">
        <w:trPr>
          <w:jc w:val="center"/>
        </w:trPr>
        <w:tc>
          <w:tcPr>
            <w:tcW w:w="1610" w:type="dxa"/>
            <w:vMerge/>
            <w:vAlign w:val="center"/>
            <w:hideMark/>
          </w:tcPr>
          <w:p w:rsidR="00B450D8" w:rsidRPr="004B7458" w:rsidRDefault="00B450D8" w:rsidP="009A51AD">
            <w:pPr>
              <w:spacing w:after="0"/>
              <w:jc w:val="center"/>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Buton</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2.49</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38%</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0%</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203,226</w:t>
            </w:r>
          </w:p>
        </w:tc>
      </w:tr>
      <w:tr w:rsidR="009A51AD" w:rsidRPr="004B7458" w:rsidTr="00FB1633">
        <w:trPr>
          <w:jc w:val="center"/>
        </w:trPr>
        <w:tc>
          <w:tcPr>
            <w:tcW w:w="1610" w:type="dxa"/>
            <w:vMerge/>
            <w:vAlign w:val="center"/>
            <w:hideMark/>
          </w:tcPr>
          <w:p w:rsidR="00B450D8" w:rsidRPr="004B7458" w:rsidRDefault="00B450D8" w:rsidP="009A51AD">
            <w:pPr>
              <w:spacing w:after="0"/>
              <w:jc w:val="center"/>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Kepulauan Sangihe</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8.90</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40%</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31%</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224,250</w:t>
            </w:r>
          </w:p>
        </w:tc>
      </w:tr>
      <w:tr w:rsidR="009A51AD" w:rsidRPr="004B7458" w:rsidTr="00FB1633">
        <w:trPr>
          <w:jc w:val="center"/>
        </w:trPr>
        <w:tc>
          <w:tcPr>
            <w:tcW w:w="1610" w:type="dxa"/>
            <w:vMerge/>
            <w:vAlign w:val="center"/>
            <w:hideMark/>
          </w:tcPr>
          <w:p w:rsidR="00B450D8" w:rsidRPr="004B7458" w:rsidRDefault="00B450D8" w:rsidP="009A51AD">
            <w:pPr>
              <w:spacing w:after="0"/>
              <w:jc w:val="center"/>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Kota Bitung</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3.65</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30%</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13%</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156,191</w:t>
            </w:r>
          </w:p>
        </w:tc>
      </w:tr>
      <w:tr w:rsidR="009A51AD" w:rsidRPr="004B7458" w:rsidTr="00FB1633">
        <w:trPr>
          <w:jc w:val="center"/>
        </w:trPr>
        <w:tc>
          <w:tcPr>
            <w:tcW w:w="1610" w:type="dxa"/>
            <w:vMerge/>
            <w:vAlign w:val="center"/>
            <w:hideMark/>
          </w:tcPr>
          <w:p w:rsidR="00B450D8" w:rsidRPr="004B7458" w:rsidRDefault="00B450D8" w:rsidP="009A51AD">
            <w:pPr>
              <w:spacing w:after="0"/>
              <w:jc w:val="center"/>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Luwu</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2.68</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40%</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13%</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250,366</w:t>
            </w:r>
          </w:p>
        </w:tc>
      </w:tr>
      <w:tr w:rsidR="009A51AD" w:rsidRPr="004B7458" w:rsidTr="00FB1633">
        <w:trPr>
          <w:jc w:val="center"/>
        </w:trPr>
        <w:tc>
          <w:tcPr>
            <w:tcW w:w="1610" w:type="dxa"/>
            <w:vMerge/>
            <w:vAlign w:val="center"/>
            <w:hideMark/>
          </w:tcPr>
          <w:p w:rsidR="00B450D8" w:rsidRPr="004B7458" w:rsidRDefault="00B450D8" w:rsidP="009A51AD">
            <w:pPr>
              <w:spacing w:after="0"/>
              <w:jc w:val="center"/>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Luwu Utara</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3.34</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37%</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36%</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259,703</w:t>
            </w:r>
          </w:p>
        </w:tc>
      </w:tr>
      <w:tr w:rsidR="009A51AD" w:rsidRPr="004B7458" w:rsidTr="00FB1633">
        <w:trPr>
          <w:jc w:val="center"/>
        </w:trPr>
        <w:tc>
          <w:tcPr>
            <w:tcW w:w="1610" w:type="dxa"/>
            <w:vMerge/>
            <w:vAlign w:val="center"/>
            <w:hideMark/>
          </w:tcPr>
          <w:p w:rsidR="00B450D8" w:rsidRPr="004B7458" w:rsidRDefault="00B450D8" w:rsidP="009A51AD">
            <w:pPr>
              <w:spacing w:after="0"/>
              <w:jc w:val="center"/>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Mamasa</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5.85</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35%</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17%</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159,008</w:t>
            </w:r>
          </w:p>
        </w:tc>
      </w:tr>
      <w:tr w:rsidR="009A51AD" w:rsidRPr="004B7458" w:rsidTr="00FB1633">
        <w:trPr>
          <w:jc w:val="center"/>
        </w:trPr>
        <w:tc>
          <w:tcPr>
            <w:tcW w:w="1610" w:type="dxa"/>
            <w:vMerge/>
            <w:vAlign w:val="center"/>
            <w:hideMark/>
          </w:tcPr>
          <w:p w:rsidR="00B450D8" w:rsidRPr="004B7458" w:rsidRDefault="00B450D8" w:rsidP="009A51AD">
            <w:pPr>
              <w:spacing w:after="0"/>
              <w:jc w:val="center"/>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Mamuju Utara</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3.12</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16%</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8%</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71,030</w:t>
            </w:r>
          </w:p>
        </w:tc>
      </w:tr>
      <w:tr w:rsidR="009A51AD" w:rsidRPr="004B7458" w:rsidTr="00FB1633">
        <w:trPr>
          <w:jc w:val="center"/>
        </w:trPr>
        <w:tc>
          <w:tcPr>
            <w:tcW w:w="1610" w:type="dxa"/>
            <w:vMerge/>
            <w:vAlign w:val="center"/>
            <w:hideMark/>
          </w:tcPr>
          <w:p w:rsidR="00B450D8" w:rsidRPr="004B7458" w:rsidRDefault="00B450D8" w:rsidP="009A51AD">
            <w:pPr>
              <w:spacing w:after="0"/>
              <w:jc w:val="center"/>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Muna</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3.66</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41%</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-12%</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300,546</w:t>
            </w:r>
          </w:p>
        </w:tc>
      </w:tr>
      <w:tr w:rsidR="009A51AD" w:rsidRPr="004B7458" w:rsidTr="00FB1633">
        <w:trPr>
          <w:jc w:val="center"/>
        </w:trPr>
        <w:tc>
          <w:tcPr>
            <w:tcW w:w="1610" w:type="dxa"/>
            <w:vMerge/>
            <w:vAlign w:val="center"/>
            <w:hideMark/>
          </w:tcPr>
          <w:p w:rsidR="00B450D8" w:rsidRPr="004B7458" w:rsidRDefault="00B450D8" w:rsidP="009A51AD">
            <w:pPr>
              <w:spacing w:after="0"/>
              <w:jc w:val="center"/>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Pinrang</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3.52</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43%</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19%</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298,655</w:t>
            </w:r>
          </w:p>
        </w:tc>
      </w:tr>
      <w:tr w:rsidR="009A51AD" w:rsidRPr="004B7458" w:rsidTr="00FB1633">
        <w:trPr>
          <w:jc w:val="center"/>
        </w:trPr>
        <w:tc>
          <w:tcPr>
            <w:tcW w:w="1610" w:type="dxa"/>
            <w:vMerge/>
            <w:vAlign w:val="center"/>
            <w:hideMark/>
          </w:tcPr>
          <w:p w:rsidR="00B450D8" w:rsidRPr="004B7458" w:rsidRDefault="00B450D8" w:rsidP="009A51AD">
            <w:pPr>
              <w:spacing w:after="0"/>
              <w:jc w:val="center"/>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Poso</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6.58</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43%</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52%</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309,403</w:t>
            </w:r>
          </w:p>
        </w:tc>
      </w:tr>
      <w:tr w:rsidR="009A51AD" w:rsidRPr="004B7458" w:rsidTr="00FB1633">
        <w:trPr>
          <w:jc w:val="center"/>
        </w:trPr>
        <w:tc>
          <w:tcPr>
            <w:tcW w:w="1610" w:type="dxa"/>
            <w:vMerge w:val="restart"/>
            <w:shd w:val="clear" w:color="auto" w:fill="auto"/>
            <w:noWrap/>
            <w:vAlign w:val="center"/>
            <w:hideMark/>
          </w:tcPr>
          <w:p w:rsidR="00B450D8" w:rsidRPr="004B7458" w:rsidRDefault="00B450D8" w:rsidP="009A51AD">
            <w:pPr>
              <w:spacing w:after="0"/>
              <w:jc w:val="center"/>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Sumatera</w:t>
            </w:r>
          </w:p>
        </w:tc>
        <w:tc>
          <w:tcPr>
            <w:tcW w:w="2244" w:type="dxa"/>
            <w:shd w:val="clear" w:color="auto" w:fill="auto"/>
            <w:noWrap/>
            <w:vAlign w:val="center"/>
            <w:hideMark/>
          </w:tcPr>
          <w:p w:rsidR="00B450D8" w:rsidRPr="004B7458" w:rsidRDefault="009A51AD"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Batubara</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2.60</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38%</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10%</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249,587</w:t>
            </w:r>
          </w:p>
        </w:tc>
      </w:tr>
      <w:tr w:rsidR="009A51AD" w:rsidRPr="004B7458" w:rsidTr="00FB1633">
        <w:trPr>
          <w:jc w:val="center"/>
        </w:trPr>
        <w:tc>
          <w:tcPr>
            <w:tcW w:w="1610" w:type="dxa"/>
            <w:vMerge/>
            <w:vAlign w:val="center"/>
            <w:hideMark/>
          </w:tcPr>
          <w:p w:rsidR="00B450D8" w:rsidRPr="004B7458" w:rsidRDefault="00B450D8" w:rsidP="009A51AD">
            <w:pPr>
              <w:spacing w:after="0"/>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Bintan</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5.73</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21%</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15%</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171,999</w:t>
            </w:r>
          </w:p>
        </w:tc>
      </w:tr>
      <w:tr w:rsidR="009A51AD" w:rsidRPr="004B7458" w:rsidTr="00FB1633">
        <w:trPr>
          <w:jc w:val="center"/>
        </w:trPr>
        <w:tc>
          <w:tcPr>
            <w:tcW w:w="1610" w:type="dxa"/>
            <w:vMerge/>
            <w:vAlign w:val="center"/>
            <w:hideMark/>
          </w:tcPr>
          <w:p w:rsidR="00B450D8" w:rsidRPr="004B7458" w:rsidRDefault="00B450D8" w:rsidP="009A51AD">
            <w:pPr>
              <w:spacing w:after="0"/>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Dairi</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3.01</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42%</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19%</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250,172</w:t>
            </w:r>
          </w:p>
        </w:tc>
      </w:tr>
      <w:tr w:rsidR="009A51AD" w:rsidRPr="004B7458" w:rsidTr="00FB1633">
        <w:trPr>
          <w:jc w:val="center"/>
        </w:trPr>
        <w:tc>
          <w:tcPr>
            <w:tcW w:w="1610" w:type="dxa"/>
            <w:vMerge/>
            <w:vAlign w:val="center"/>
            <w:hideMark/>
          </w:tcPr>
          <w:p w:rsidR="00B450D8" w:rsidRPr="004B7458" w:rsidRDefault="00B450D8" w:rsidP="009A51AD">
            <w:pPr>
              <w:spacing w:after="0"/>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Empat Lawang</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2.28</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22%</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-7%</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119,268</w:t>
            </w:r>
          </w:p>
        </w:tc>
      </w:tr>
      <w:tr w:rsidR="009A51AD" w:rsidRPr="004B7458" w:rsidTr="00FB1633">
        <w:trPr>
          <w:jc w:val="center"/>
        </w:trPr>
        <w:tc>
          <w:tcPr>
            <w:tcW w:w="1610" w:type="dxa"/>
            <w:vMerge/>
            <w:vAlign w:val="center"/>
            <w:hideMark/>
          </w:tcPr>
          <w:p w:rsidR="00B450D8" w:rsidRPr="004B7458" w:rsidRDefault="00B450D8" w:rsidP="009A51AD">
            <w:pPr>
              <w:spacing w:after="0"/>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Humbang Hasundutan</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4.00</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42%</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14%</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222,765</w:t>
            </w:r>
          </w:p>
        </w:tc>
      </w:tr>
      <w:tr w:rsidR="009A51AD" w:rsidRPr="004B7458" w:rsidTr="00FB1633">
        <w:trPr>
          <w:jc w:val="center"/>
        </w:trPr>
        <w:tc>
          <w:tcPr>
            <w:tcW w:w="1610" w:type="dxa"/>
            <w:vMerge/>
            <w:vAlign w:val="center"/>
            <w:hideMark/>
          </w:tcPr>
          <w:p w:rsidR="00B450D8" w:rsidRPr="004B7458" w:rsidRDefault="00B450D8" w:rsidP="009A51AD">
            <w:pPr>
              <w:spacing w:after="0"/>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Indragiri Hulu</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3.62</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33%</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7%</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325,311</w:t>
            </w:r>
          </w:p>
        </w:tc>
      </w:tr>
      <w:tr w:rsidR="009A51AD" w:rsidRPr="004B7458" w:rsidTr="00FB1633">
        <w:trPr>
          <w:jc w:val="center"/>
        </w:trPr>
        <w:tc>
          <w:tcPr>
            <w:tcW w:w="1610" w:type="dxa"/>
            <w:vMerge/>
            <w:vAlign w:val="center"/>
            <w:hideMark/>
          </w:tcPr>
          <w:p w:rsidR="00B450D8" w:rsidRPr="004B7458" w:rsidRDefault="00B450D8" w:rsidP="009A51AD">
            <w:pPr>
              <w:spacing w:after="0"/>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Karo</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4.37</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45%</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369,862</w:t>
            </w:r>
          </w:p>
        </w:tc>
      </w:tr>
      <w:tr w:rsidR="009A51AD" w:rsidRPr="004B7458" w:rsidTr="00FB1633">
        <w:trPr>
          <w:jc w:val="center"/>
        </w:trPr>
        <w:tc>
          <w:tcPr>
            <w:tcW w:w="1610" w:type="dxa"/>
            <w:vMerge/>
            <w:vAlign w:val="center"/>
            <w:hideMark/>
          </w:tcPr>
          <w:p w:rsidR="00B450D8" w:rsidRPr="004B7458" w:rsidRDefault="00B450D8" w:rsidP="009A51AD">
            <w:pPr>
              <w:spacing w:after="0"/>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Kepahiang</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4.29</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29%</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6%</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122,821</w:t>
            </w:r>
          </w:p>
        </w:tc>
      </w:tr>
      <w:tr w:rsidR="009A51AD" w:rsidRPr="004B7458" w:rsidTr="00FB1633">
        <w:trPr>
          <w:jc w:val="center"/>
        </w:trPr>
        <w:tc>
          <w:tcPr>
            <w:tcW w:w="1610" w:type="dxa"/>
            <w:vMerge/>
            <w:vAlign w:val="center"/>
            <w:hideMark/>
          </w:tcPr>
          <w:p w:rsidR="00B450D8" w:rsidRPr="004B7458" w:rsidRDefault="00B450D8" w:rsidP="009A51AD">
            <w:pPr>
              <w:spacing w:after="0"/>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Kota Payakumbuh</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4.69</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35%</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28%</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169,677</w:t>
            </w:r>
          </w:p>
        </w:tc>
      </w:tr>
      <w:tr w:rsidR="009A51AD" w:rsidRPr="004B7458" w:rsidTr="00FB1633">
        <w:trPr>
          <w:jc w:val="center"/>
        </w:trPr>
        <w:tc>
          <w:tcPr>
            <w:tcW w:w="1610" w:type="dxa"/>
            <w:vMerge/>
            <w:vAlign w:val="center"/>
            <w:hideMark/>
          </w:tcPr>
          <w:p w:rsidR="00B450D8" w:rsidRPr="004B7458" w:rsidRDefault="00B450D8" w:rsidP="009A51AD">
            <w:pPr>
              <w:spacing w:after="0"/>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9A51AD"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Labuhanbatu</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1.85</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40%</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14%</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282,371</w:t>
            </w:r>
          </w:p>
        </w:tc>
      </w:tr>
      <w:tr w:rsidR="009A51AD" w:rsidRPr="004B7458" w:rsidTr="00FB1633">
        <w:trPr>
          <w:jc w:val="center"/>
        </w:trPr>
        <w:tc>
          <w:tcPr>
            <w:tcW w:w="1610" w:type="dxa"/>
            <w:vMerge/>
            <w:vAlign w:val="center"/>
            <w:hideMark/>
          </w:tcPr>
          <w:p w:rsidR="00B450D8" w:rsidRPr="004B7458" w:rsidRDefault="00B450D8" w:rsidP="009A51AD">
            <w:pPr>
              <w:spacing w:after="0"/>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Lampung Selatan</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2.56</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49%</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20%</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517,572</w:t>
            </w:r>
          </w:p>
        </w:tc>
      </w:tr>
      <w:tr w:rsidR="009A51AD" w:rsidRPr="004B7458" w:rsidTr="00FB1633">
        <w:trPr>
          <w:jc w:val="center"/>
        </w:trPr>
        <w:tc>
          <w:tcPr>
            <w:tcW w:w="1610" w:type="dxa"/>
            <w:vMerge/>
            <w:vAlign w:val="center"/>
            <w:hideMark/>
          </w:tcPr>
          <w:p w:rsidR="00B450D8" w:rsidRPr="004B7458" w:rsidRDefault="00B450D8" w:rsidP="009A51AD">
            <w:pPr>
              <w:spacing w:after="0"/>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Lampung Tengah</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3.25</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66%</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9%</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778,763</w:t>
            </w:r>
          </w:p>
        </w:tc>
      </w:tr>
      <w:tr w:rsidR="009A51AD" w:rsidRPr="004B7458" w:rsidTr="00FB1633">
        <w:trPr>
          <w:jc w:val="center"/>
        </w:trPr>
        <w:tc>
          <w:tcPr>
            <w:tcW w:w="1610" w:type="dxa"/>
            <w:vMerge/>
            <w:vAlign w:val="center"/>
            <w:hideMark/>
          </w:tcPr>
          <w:p w:rsidR="00B450D8" w:rsidRPr="004B7458" w:rsidRDefault="00B450D8" w:rsidP="009A51AD">
            <w:pPr>
              <w:spacing w:after="0"/>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Lampung Utara</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2.57</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61%</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-8%</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358,805</w:t>
            </w:r>
          </w:p>
        </w:tc>
      </w:tr>
      <w:tr w:rsidR="009A51AD" w:rsidRPr="004B7458" w:rsidTr="00FB1633">
        <w:trPr>
          <w:jc w:val="center"/>
        </w:trPr>
        <w:tc>
          <w:tcPr>
            <w:tcW w:w="1610" w:type="dxa"/>
            <w:vMerge/>
            <w:vAlign w:val="center"/>
            <w:hideMark/>
          </w:tcPr>
          <w:p w:rsidR="00B450D8" w:rsidRPr="004B7458" w:rsidRDefault="00B450D8" w:rsidP="009A51AD">
            <w:pPr>
              <w:spacing w:after="0"/>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Mandailing Natal</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2.61</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45%</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305,352</w:t>
            </w:r>
          </w:p>
        </w:tc>
      </w:tr>
      <w:tr w:rsidR="009A51AD" w:rsidRPr="004B7458" w:rsidTr="00FB1633">
        <w:trPr>
          <w:jc w:val="center"/>
        </w:trPr>
        <w:tc>
          <w:tcPr>
            <w:tcW w:w="1610" w:type="dxa"/>
            <w:vMerge/>
            <w:vAlign w:val="center"/>
            <w:hideMark/>
          </w:tcPr>
          <w:p w:rsidR="00B450D8" w:rsidRPr="004B7458" w:rsidRDefault="00B450D8" w:rsidP="009A51AD">
            <w:pPr>
              <w:spacing w:after="0"/>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Merangin</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3.33</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34%</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14%</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266,775</w:t>
            </w:r>
          </w:p>
        </w:tc>
      </w:tr>
      <w:tr w:rsidR="009A51AD" w:rsidRPr="004B7458" w:rsidTr="00FB1633">
        <w:trPr>
          <w:jc w:val="center"/>
        </w:trPr>
        <w:tc>
          <w:tcPr>
            <w:tcW w:w="1610" w:type="dxa"/>
            <w:vMerge/>
            <w:vAlign w:val="center"/>
            <w:hideMark/>
          </w:tcPr>
          <w:p w:rsidR="00B450D8" w:rsidRPr="004B7458" w:rsidRDefault="00B450D8" w:rsidP="009A51AD">
            <w:pPr>
              <w:spacing w:after="0"/>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Muara Enim</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2.92</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36%</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7%</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491,545</w:t>
            </w:r>
          </w:p>
        </w:tc>
      </w:tr>
      <w:tr w:rsidR="009A51AD" w:rsidRPr="004B7458" w:rsidTr="00FB1633">
        <w:trPr>
          <w:jc w:val="center"/>
        </w:trPr>
        <w:tc>
          <w:tcPr>
            <w:tcW w:w="1610" w:type="dxa"/>
            <w:vMerge/>
            <w:vAlign w:val="center"/>
            <w:hideMark/>
          </w:tcPr>
          <w:p w:rsidR="00B450D8" w:rsidRPr="004B7458" w:rsidRDefault="00B450D8" w:rsidP="009A51AD">
            <w:pPr>
              <w:spacing w:after="0"/>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Muaro Jambi</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3.77</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34%</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261,520</w:t>
            </w:r>
          </w:p>
        </w:tc>
      </w:tr>
      <w:tr w:rsidR="009A51AD" w:rsidRPr="004B7458" w:rsidTr="00FB1633">
        <w:trPr>
          <w:jc w:val="center"/>
        </w:trPr>
        <w:tc>
          <w:tcPr>
            <w:tcW w:w="1610" w:type="dxa"/>
            <w:vMerge/>
            <w:vAlign w:val="center"/>
            <w:hideMark/>
          </w:tcPr>
          <w:p w:rsidR="00B450D8" w:rsidRPr="004B7458" w:rsidRDefault="00B450D8" w:rsidP="009A51AD">
            <w:pPr>
              <w:spacing w:after="0"/>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Musi Banyuasin</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4.36</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23%</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6%</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565,038</w:t>
            </w:r>
          </w:p>
        </w:tc>
      </w:tr>
      <w:tr w:rsidR="009A51AD" w:rsidRPr="004B7458" w:rsidTr="00FB1633">
        <w:trPr>
          <w:jc w:val="center"/>
        </w:trPr>
        <w:tc>
          <w:tcPr>
            <w:tcW w:w="1610" w:type="dxa"/>
            <w:vMerge/>
            <w:vAlign w:val="center"/>
            <w:hideMark/>
          </w:tcPr>
          <w:p w:rsidR="00B450D8" w:rsidRPr="004B7458" w:rsidRDefault="00B450D8" w:rsidP="009A51AD">
            <w:pPr>
              <w:spacing w:after="0"/>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Nias Selatan</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2.35</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39%</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9%</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237,942</w:t>
            </w:r>
          </w:p>
        </w:tc>
      </w:tr>
      <w:tr w:rsidR="009A51AD" w:rsidRPr="004B7458" w:rsidTr="00FB1633">
        <w:trPr>
          <w:jc w:val="center"/>
        </w:trPr>
        <w:tc>
          <w:tcPr>
            <w:tcW w:w="1610" w:type="dxa"/>
            <w:vMerge/>
            <w:vAlign w:val="center"/>
            <w:hideMark/>
          </w:tcPr>
          <w:p w:rsidR="00B450D8" w:rsidRPr="004B7458" w:rsidRDefault="00B450D8" w:rsidP="009A51AD">
            <w:pPr>
              <w:spacing w:after="0"/>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Nias Utara</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2.03</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25%</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-32%</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81,266</w:t>
            </w:r>
          </w:p>
        </w:tc>
      </w:tr>
      <w:tr w:rsidR="009A51AD" w:rsidRPr="004B7458" w:rsidTr="00FB1633">
        <w:trPr>
          <w:jc w:val="center"/>
        </w:trPr>
        <w:tc>
          <w:tcPr>
            <w:tcW w:w="1610" w:type="dxa"/>
            <w:vMerge/>
            <w:vAlign w:val="center"/>
            <w:hideMark/>
          </w:tcPr>
          <w:p w:rsidR="00B450D8" w:rsidRPr="004B7458" w:rsidRDefault="00B450D8" w:rsidP="009A51AD">
            <w:pPr>
              <w:spacing w:after="0"/>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Ogan Komering Ilir</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2.97</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37%</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11%</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462,206</w:t>
            </w:r>
          </w:p>
        </w:tc>
      </w:tr>
      <w:tr w:rsidR="009A51AD" w:rsidRPr="004B7458" w:rsidTr="00FB1633">
        <w:trPr>
          <w:jc w:val="center"/>
        </w:trPr>
        <w:tc>
          <w:tcPr>
            <w:tcW w:w="1610" w:type="dxa"/>
            <w:vMerge/>
            <w:vAlign w:val="center"/>
            <w:hideMark/>
          </w:tcPr>
          <w:p w:rsidR="00B450D8" w:rsidRPr="004B7458" w:rsidRDefault="00B450D8" w:rsidP="009A51AD">
            <w:pPr>
              <w:spacing w:after="0"/>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OKU Selatan</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2.50</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28%</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175,903</w:t>
            </w:r>
          </w:p>
        </w:tc>
      </w:tr>
      <w:tr w:rsidR="009A51AD" w:rsidRPr="004B7458" w:rsidTr="00FB1633">
        <w:trPr>
          <w:jc w:val="center"/>
        </w:trPr>
        <w:tc>
          <w:tcPr>
            <w:tcW w:w="1610" w:type="dxa"/>
            <w:vMerge/>
            <w:vAlign w:val="center"/>
            <w:hideMark/>
          </w:tcPr>
          <w:p w:rsidR="00B450D8" w:rsidRPr="004B7458" w:rsidRDefault="00B450D8" w:rsidP="009A51AD">
            <w:pPr>
              <w:spacing w:after="0"/>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Pasaman Barat</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3.18</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43%</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18%</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295,775</w:t>
            </w:r>
          </w:p>
        </w:tc>
      </w:tr>
      <w:tr w:rsidR="009A51AD" w:rsidRPr="004B7458" w:rsidTr="00FB1633">
        <w:trPr>
          <w:jc w:val="center"/>
        </w:trPr>
        <w:tc>
          <w:tcPr>
            <w:tcW w:w="1610" w:type="dxa"/>
            <w:vMerge/>
            <w:vAlign w:val="center"/>
            <w:hideMark/>
          </w:tcPr>
          <w:p w:rsidR="00B450D8" w:rsidRPr="004B7458" w:rsidRDefault="00B450D8" w:rsidP="009A51AD">
            <w:pPr>
              <w:spacing w:after="0"/>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Sarolangun</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4.62</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32%</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23%</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282,089</w:t>
            </w:r>
          </w:p>
        </w:tc>
      </w:tr>
      <w:tr w:rsidR="009A51AD" w:rsidRPr="004B7458" w:rsidTr="00FB1633">
        <w:trPr>
          <w:jc w:val="center"/>
        </w:trPr>
        <w:tc>
          <w:tcPr>
            <w:tcW w:w="1610" w:type="dxa"/>
            <w:vMerge/>
            <w:vAlign w:val="center"/>
            <w:hideMark/>
          </w:tcPr>
          <w:p w:rsidR="00B450D8" w:rsidRPr="004B7458" w:rsidRDefault="00B450D8" w:rsidP="009A51AD">
            <w:pPr>
              <w:spacing w:after="0"/>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Seluma</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4.43</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37%</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8%</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179,084</w:t>
            </w:r>
          </w:p>
        </w:tc>
      </w:tr>
      <w:tr w:rsidR="009A51AD" w:rsidRPr="004B7458" w:rsidTr="00FB1633">
        <w:trPr>
          <w:jc w:val="center"/>
        </w:trPr>
        <w:tc>
          <w:tcPr>
            <w:tcW w:w="1610" w:type="dxa"/>
            <w:vMerge/>
            <w:vAlign w:val="center"/>
            <w:hideMark/>
          </w:tcPr>
          <w:p w:rsidR="00B450D8" w:rsidRPr="004B7458" w:rsidRDefault="00B450D8" w:rsidP="009A51AD">
            <w:pPr>
              <w:spacing w:after="0"/>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Simalungun</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3.65</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51%</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23%</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714,191</w:t>
            </w:r>
          </w:p>
        </w:tc>
      </w:tr>
      <w:tr w:rsidR="009A51AD" w:rsidRPr="004B7458" w:rsidTr="00FB1633">
        <w:trPr>
          <w:jc w:val="center"/>
        </w:trPr>
        <w:tc>
          <w:tcPr>
            <w:tcW w:w="1610" w:type="dxa"/>
            <w:vMerge/>
            <w:vAlign w:val="center"/>
            <w:hideMark/>
          </w:tcPr>
          <w:p w:rsidR="00B450D8" w:rsidRPr="004B7458" w:rsidRDefault="00B450D8" w:rsidP="009A51AD">
            <w:pPr>
              <w:spacing w:after="0"/>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Tanggamus</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3.03</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43%</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13%</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368,257</w:t>
            </w:r>
          </w:p>
        </w:tc>
      </w:tr>
      <w:tr w:rsidR="009A51AD" w:rsidRPr="004B7458" w:rsidTr="00FB1633">
        <w:trPr>
          <w:jc w:val="center"/>
        </w:trPr>
        <w:tc>
          <w:tcPr>
            <w:tcW w:w="1610" w:type="dxa"/>
            <w:vMerge/>
            <w:vAlign w:val="center"/>
            <w:hideMark/>
          </w:tcPr>
          <w:p w:rsidR="00B450D8" w:rsidRPr="004B7458" w:rsidRDefault="00B450D8" w:rsidP="009A51AD">
            <w:pPr>
              <w:spacing w:after="0"/>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Tanjung Jabung Barat</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3.67</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26%</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9%</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230,571</w:t>
            </w:r>
          </w:p>
        </w:tc>
      </w:tr>
      <w:tr w:rsidR="009A51AD" w:rsidRPr="004B7458" w:rsidTr="00FB1633">
        <w:trPr>
          <w:jc w:val="center"/>
        </w:trPr>
        <w:tc>
          <w:tcPr>
            <w:tcW w:w="1610" w:type="dxa"/>
            <w:vMerge/>
            <w:vAlign w:val="center"/>
            <w:hideMark/>
          </w:tcPr>
          <w:p w:rsidR="00B450D8" w:rsidRPr="004B7458" w:rsidRDefault="00B450D8" w:rsidP="009A51AD">
            <w:pPr>
              <w:spacing w:after="0"/>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Tapanuli Selatan</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3.37</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34%</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241,005</w:t>
            </w:r>
          </w:p>
        </w:tc>
      </w:tr>
      <w:tr w:rsidR="009A51AD" w:rsidRPr="004B7458" w:rsidTr="00FB1633">
        <w:trPr>
          <w:jc w:val="center"/>
        </w:trPr>
        <w:tc>
          <w:tcPr>
            <w:tcW w:w="1610" w:type="dxa"/>
            <w:vMerge/>
            <w:vAlign w:val="center"/>
            <w:hideMark/>
          </w:tcPr>
          <w:p w:rsidR="00B450D8" w:rsidRPr="004B7458" w:rsidRDefault="00B450D8" w:rsidP="009A51AD">
            <w:pPr>
              <w:spacing w:after="0"/>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Tapanuli Tengah</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2.85</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38%</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-9%</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240,214</w:t>
            </w:r>
          </w:p>
        </w:tc>
      </w:tr>
      <w:tr w:rsidR="009A51AD" w:rsidRPr="004B7458" w:rsidTr="00FB1633">
        <w:trPr>
          <w:jc w:val="center"/>
        </w:trPr>
        <w:tc>
          <w:tcPr>
            <w:tcW w:w="1610" w:type="dxa"/>
            <w:vMerge/>
            <w:vAlign w:val="center"/>
            <w:hideMark/>
          </w:tcPr>
          <w:p w:rsidR="00B450D8" w:rsidRPr="004B7458" w:rsidRDefault="00B450D8" w:rsidP="009A51AD">
            <w:pPr>
              <w:spacing w:after="0"/>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Toba Samosir</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4.63</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43%</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35%</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248,701</w:t>
            </w:r>
          </w:p>
        </w:tc>
      </w:tr>
      <w:tr w:rsidR="009A51AD" w:rsidRPr="004B7458" w:rsidTr="00FB1633">
        <w:trPr>
          <w:jc w:val="center"/>
        </w:trPr>
        <w:tc>
          <w:tcPr>
            <w:tcW w:w="1610" w:type="dxa"/>
            <w:vMerge/>
            <w:vAlign w:val="center"/>
            <w:hideMark/>
          </w:tcPr>
          <w:p w:rsidR="00B450D8" w:rsidRPr="004B7458" w:rsidRDefault="00B450D8" w:rsidP="009A51AD">
            <w:pPr>
              <w:spacing w:after="0"/>
              <w:rPr>
                <w:rFonts w:asciiTheme="minorHAnsi" w:hAnsiTheme="minorHAnsi" w:cs="Arial"/>
                <w:color w:val="000000"/>
                <w:sz w:val="20"/>
                <w:szCs w:val="20"/>
                <w:lang w:eastAsia="en-AU"/>
              </w:rPr>
            </w:pPr>
          </w:p>
        </w:tc>
        <w:tc>
          <w:tcPr>
            <w:tcW w:w="2244" w:type="dxa"/>
            <w:shd w:val="clear" w:color="auto" w:fill="auto"/>
            <w:noWrap/>
            <w:vAlign w:val="center"/>
            <w:hideMark/>
          </w:tcPr>
          <w:p w:rsidR="00B450D8" w:rsidRPr="004B7458" w:rsidRDefault="00B450D8" w:rsidP="009A51AD">
            <w:pPr>
              <w:spacing w:after="0"/>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 xml:space="preserve">Tulang </w:t>
            </w:r>
            <w:r w:rsidR="009A51AD" w:rsidRPr="004B7458">
              <w:rPr>
                <w:rFonts w:asciiTheme="minorHAnsi" w:hAnsiTheme="minorHAnsi" w:cs="Arial"/>
                <w:color w:val="000000"/>
                <w:sz w:val="20"/>
                <w:szCs w:val="20"/>
                <w:lang w:eastAsia="en-AU"/>
              </w:rPr>
              <w:t>Bawang</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1.83</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25%</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11%</w:t>
            </w:r>
          </w:p>
        </w:tc>
        <w:tc>
          <w:tcPr>
            <w:tcW w:w="1404" w:type="dxa"/>
            <w:shd w:val="clear" w:color="auto" w:fill="auto"/>
            <w:noWrap/>
            <w:vAlign w:val="center"/>
            <w:hideMark/>
          </w:tcPr>
          <w:p w:rsidR="00B450D8" w:rsidRPr="004B7458" w:rsidRDefault="00B450D8" w:rsidP="009A51AD">
            <w:pPr>
              <w:spacing w:after="0"/>
              <w:jc w:val="right"/>
              <w:rPr>
                <w:rFonts w:asciiTheme="minorHAnsi" w:hAnsiTheme="minorHAnsi" w:cs="Arial"/>
                <w:color w:val="000000"/>
                <w:sz w:val="20"/>
                <w:szCs w:val="20"/>
                <w:lang w:eastAsia="en-AU"/>
              </w:rPr>
            </w:pPr>
            <w:r w:rsidRPr="004B7458">
              <w:rPr>
                <w:rFonts w:asciiTheme="minorHAnsi" w:hAnsiTheme="minorHAnsi" w:cs="Arial"/>
                <w:color w:val="000000"/>
                <w:sz w:val="20"/>
                <w:szCs w:val="20"/>
                <w:lang w:eastAsia="en-AU"/>
              </w:rPr>
              <w:t>167,358</w:t>
            </w:r>
          </w:p>
        </w:tc>
      </w:tr>
    </w:tbl>
    <w:p w:rsidR="00EB26B9" w:rsidRDefault="00EB26B9"/>
    <w:tbl>
      <w:tblPr>
        <w:tblW w:w="525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651"/>
        <w:gridCol w:w="2300"/>
        <w:gridCol w:w="1439"/>
        <w:gridCol w:w="1439"/>
        <w:gridCol w:w="1439"/>
        <w:gridCol w:w="1439"/>
      </w:tblGrid>
      <w:tr w:rsidR="00FB1633" w:rsidRPr="004B7458" w:rsidTr="00575142">
        <w:trPr>
          <w:tblHeader/>
          <w:jc w:val="center"/>
        </w:trPr>
        <w:tc>
          <w:tcPr>
            <w:tcW w:w="9449" w:type="dxa"/>
            <w:gridSpan w:val="6"/>
            <w:shd w:val="clear" w:color="auto" w:fill="003880"/>
            <w:vAlign w:val="center"/>
          </w:tcPr>
          <w:p w:rsidR="00FB1633" w:rsidRPr="004B7458" w:rsidRDefault="00FB1633" w:rsidP="00E3583E">
            <w:pPr>
              <w:spacing w:after="0"/>
              <w:jc w:val="center"/>
              <w:rPr>
                <w:rFonts w:asciiTheme="minorHAnsi" w:hAnsiTheme="minorHAnsi" w:cs="Arial"/>
                <w:color w:val="000000"/>
                <w:sz w:val="20"/>
                <w:szCs w:val="20"/>
                <w:lang w:eastAsia="en-AU"/>
              </w:rPr>
            </w:pPr>
            <w:r w:rsidRPr="00EB26B9">
              <w:rPr>
                <w:rFonts w:asciiTheme="minorHAnsi" w:hAnsiTheme="minorHAnsi" w:cs="Arial"/>
                <w:b/>
                <w:color w:val="FFFFFF" w:themeColor="background1"/>
                <w:sz w:val="20"/>
                <w:szCs w:val="20"/>
                <w:lang w:eastAsia="en-AU"/>
              </w:rPr>
              <w:t>COMPONENT 2: 2012</w:t>
            </w:r>
          </w:p>
        </w:tc>
      </w:tr>
      <w:tr w:rsidR="00EB26B9" w:rsidRPr="00EB26B9" w:rsidTr="00575142">
        <w:trPr>
          <w:tblHeader/>
          <w:jc w:val="center"/>
        </w:trPr>
        <w:tc>
          <w:tcPr>
            <w:tcW w:w="1606" w:type="dxa"/>
            <w:shd w:val="clear" w:color="auto" w:fill="68BAD6"/>
            <w:vAlign w:val="center"/>
          </w:tcPr>
          <w:p w:rsidR="00EB26B9" w:rsidRPr="00EB26B9" w:rsidRDefault="00EB26B9" w:rsidP="00EB26B9">
            <w:pPr>
              <w:spacing w:after="0"/>
              <w:jc w:val="center"/>
              <w:rPr>
                <w:rFonts w:asciiTheme="minorHAnsi" w:hAnsiTheme="minorHAnsi" w:cs="Arial"/>
                <w:sz w:val="20"/>
                <w:szCs w:val="20"/>
                <w:lang w:eastAsia="en-AU"/>
              </w:rPr>
            </w:pPr>
            <w:r w:rsidRPr="00EB26B9">
              <w:rPr>
                <w:rFonts w:asciiTheme="minorHAnsi" w:hAnsiTheme="minorHAnsi" w:cs="Arial"/>
                <w:b/>
                <w:sz w:val="20"/>
                <w:szCs w:val="20"/>
                <w:lang w:eastAsia="en-AU"/>
              </w:rPr>
              <w:t>Island</w:t>
            </w:r>
          </w:p>
        </w:tc>
        <w:tc>
          <w:tcPr>
            <w:tcW w:w="2239" w:type="dxa"/>
            <w:shd w:val="clear" w:color="auto" w:fill="68BAD6"/>
            <w:noWrap/>
            <w:vAlign w:val="center"/>
          </w:tcPr>
          <w:p w:rsidR="00EB26B9" w:rsidRPr="00EB26B9" w:rsidRDefault="00EB26B9" w:rsidP="00EB26B9">
            <w:pPr>
              <w:spacing w:after="0"/>
              <w:jc w:val="center"/>
              <w:rPr>
                <w:rFonts w:asciiTheme="minorHAnsi" w:hAnsiTheme="minorHAnsi" w:cs="Arial"/>
                <w:sz w:val="20"/>
                <w:szCs w:val="20"/>
                <w:lang w:eastAsia="en-AU"/>
              </w:rPr>
            </w:pPr>
            <w:r w:rsidRPr="00EB26B9">
              <w:rPr>
                <w:rFonts w:asciiTheme="minorHAnsi" w:hAnsiTheme="minorHAnsi" w:cs="Arial"/>
                <w:b/>
                <w:sz w:val="20"/>
                <w:szCs w:val="20"/>
                <w:lang w:eastAsia="en-AU"/>
              </w:rPr>
              <w:t>District</w:t>
            </w:r>
          </w:p>
        </w:tc>
        <w:tc>
          <w:tcPr>
            <w:tcW w:w="1401" w:type="dxa"/>
            <w:shd w:val="clear" w:color="auto" w:fill="68BAD6"/>
            <w:noWrap/>
            <w:vAlign w:val="center"/>
          </w:tcPr>
          <w:p w:rsidR="00EB26B9" w:rsidRPr="00EB26B9" w:rsidRDefault="00EB26B9" w:rsidP="00EB26B9">
            <w:pPr>
              <w:spacing w:after="0"/>
              <w:jc w:val="center"/>
              <w:rPr>
                <w:rFonts w:asciiTheme="minorHAnsi" w:hAnsiTheme="minorHAnsi" w:cs="Arial"/>
                <w:b/>
                <w:sz w:val="20"/>
                <w:szCs w:val="20"/>
                <w:lang w:eastAsia="en-AU"/>
              </w:rPr>
            </w:pPr>
            <w:r w:rsidRPr="00EB26B9">
              <w:rPr>
                <w:rFonts w:asciiTheme="minorHAnsi" w:hAnsiTheme="minorHAnsi" w:cs="Arial"/>
                <w:b/>
                <w:sz w:val="20"/>
                <w:szCs w:val="20"/>
                <w:lang w:eastAsia="en-AU"/>
              </w:rPr>
              <w:t>Education Expenditure per All Students</w:t>
            </w:r>
          </w:p>
          <w:p w:rsidR="00EB26B9" w:rsidRPr="00EB26B9" w:rsidRDefault="00EB26B9" w:rsidP="00EB26B9">
            <w:pPr>
              <w:spacing w:after="0"/>
              <w:jc w:val="center"/>
              <w:rPr>
                <w:rFonts w:asciiTheme="minorHAnsi" w:hAnsiTheme="minorHAnsi" w:cs="Arial"/>
                <w:sz w:val="20"/>
                <w:szCs w:val="20"/>
                <w:lang w:eastAsia="en-AU"/>
              </w:rPr>
            </w:pPr>
            <w:r w:rsidRPr="00EB26B9">
              <w:rPr>
                <w:rFonts w:asciiTheme="minorHAnsi" w:hAnsiTheme="minorHAnsi" w:cs="Arial"/>
                <w:b/>
                <w:sz w:val="20"/>
                <w:szCs w:val="20"/>
                <w:lang w:eastAsia="en-AU"/>
              </w:rPr>
              <w:t>(Rp. Million)</w:t>
            </w:r>
          </w:p>
        </w:tc>
        <w:tc>
          <w:tcPr>
            <w:tcW w:w="1401" w:type="dxa"/>
            <w:shd w:val="clear" w:color="auto" w:fill="68BAD6"/>
            <w:noWrap/>
            <w:vAlign w:val="center"/>
          </w:tcPr>
          <w:p w:rsidR="00EB26B9" w:rsidRPr="00EB26B9" w:rsidRDefault="00EB26B9" w:rsidP="00EB26B9">
            <w:pPr>
              <w:spacing w:after="0"/>
              <w:jc w:val="center"/>
              <w:rPr>
                <w:rFonts w:asciiTheme="minorHAnsi" w:hAnsiTheme="minorHAnsi" w:cs="Arial"/>
                <w:sz w:val="20"/>
                <w:szCs w:val="20"/>
                <w:lang w:eastAsia="en-AU"/>
              </w:rPr>
            </w:pPr>
            <w:r w:rsidRPr="00EB26B9">
              <w:rPr>
                <w:rFonts w:asciiTheme="minorHAnsi" w:hAnsiTheme="minorHAnsi" w:cs="Arial"/>
                <w:b/>
                <w:sz w:val="20"/>
                <w:szCs w:val="20"/>
                <w:lang w:eastAsia="en-AU"/>
              </w:rPr>
              <w:t>Education Share of</w:t>
            </w:r>
            <w:r w:rsidR="004971BD">
              <w:rPr>
                <w:rFonts w:asciiTheme="minorHAnsi" w:hAnsiTheme="minorHAnsi" w:cs="Arial"/>
                <w:b/>
                <w:sz w:val="20"/>
                <w:szCs w:val="20"/>
                <w:lang w:eastAsia="en-AU"/>
              </w:rPr>
              <w:t xml:space="preserve"> </w:t>
            </w:r>
            <w:r w:rsidRPr="00EB26B9">
              <w:rPr>
                <w:rFonts w:asciiTheme="minorHAnsi" w:hAnsiTheme="minorHAnsi" w:cs="Arial"/>
                <w:b/>
                <w:sz w:val="20"/>
                <w:szCs w:val="20"/>
                <w:lang w:eastAsia="en-AU"/>
              </w:rPr>
              <w:t>District Budget</w:t>
            </w:r>
          </w:p>
        </w:tc>
        <w:tc>
          <w:tcPr>
            <w:tcW w:w="1401" w:type="dxa"/>
            <w:shd w:val="clear" w:color="auto" w:fill="68BAD6"/>
            <w:noWrap/>
            <w:vAlign w:val="center"/>
          </w:tcPr>
          <w:p w:rsidR="00EB26B9" w:rsidRPr="00EB26B9" w:rsidRDefault="00EB26B9" w:rsidP="00EB26B9">
            <w:pPr>
              <w:spacing w:after="0"/>
              <w:jc w:val="center"/>
              <w:rPr>
                <w:rFonts w:asciiTheme="minorHAnsi" w:hAnsiTheme="minorHAnsi" w:cs="Arial"/>
                <w:sz w:val="20"/>
                <w:szCs w:val="20"/>
                <w:lang w:eastAsia="en-AU"/>
              </w:rPr>
            </w:pPr>
            <w:r w:rsidRPr="00EB26B9">
              <w:rPr>
                <w:rFonts w:asciiTheme="minorHAnsi" w:hAnsiTheme="minorHAnsi" w:cs="Arial"/>
                <w:b/>
                <w:sz w:val="20"/>
                <w:szCs w:val="20"/>
                <w:lang w:eastAsia="en-AU"/>
              </w:rPr>
              <w:t>Education Budget Annual Growth</w:t>
            </w:r>
          </w:p>
        </w:tc>
        <w:tc>
          <w:tcPr>
            <w:tcW w:w="1401" w:type="dxa"/>
            <w:shd w:val="clear" w:color="auto" w:fill="68BAD6"/>
            <w:noWrap/>
            <w:vAlign w:val="center"/>
          </w:tcPr>
          <w:p w:rsidR="00EB26B9" w:rsidRPr="00EB26B9" w:rsidRDefault="00EB26B9" w:rsidP="00EB26B9">
            <w:pPr>
              <w:spacing w:after="0"/>
              <w:jc w:val="center"/>
              <w:rPr>
                <w:rFonts w:asciiTheme="minorHAnsi" w:hAnsiTheme="minorHAnsi" w:cs="Arial"/>
                <w:b/>
                <w:sz w:val="20"/>
                <w:szCs w:val="20"/>
                <w:lang w:eastAsia="en-AU"/>
              </w:rPr>
            </w:pPr>
            <w:r w:rsidRPr="00EB26B9">
              <w:rPr>
                <w:rFonts w:asciiTheme="minorHAnsi" w:hAnsiTheme="minorHAnsi" w:cs="Arial"/>
                <w:b/>
                <w:sz w:val="20"/>
                <w:szCs w:val="20"/>
                <w:lang w:eastAsia="en-AU"/>
              </w:rPr>
              <w:t>District Education Budget (APBD)</w:t>
            </w:r>
          </w:p>
          <w:p w:rsidR="00EB26B9" w:rsidRPr="00EB26B9" w:rsidRDefault="00EB26B9" w:rsidP="00EB26B9">
            <w:pPr>
              <w:spacing w:after="0"/>
              <w:jc w:val="center"/>
              <w:rPr>
                <w:rFonts w:asciiTheme="minorHAnsi" w:hAnsiTheme="minorHAnsi" w:cs="Arial"/>
                <w:sz w:val="20"/>
                <w:szCs w:val="20"/>
                <w:lang w:eastAsia="en-AU"/>
              </w:rPr>
            </w:pPr>
            <w:r w:rsidRPr="00EB26B9">
              <w:rPr>
                <w:rFonts w:asciiTheme="minorHAnsi" w:hAnsiTheme="minorHAnsi" w:cs="Arial"/>
                <w:b/>
                <w:sz w:val="20"/>
                <w:szCs w:val="20"/>
                <w:lang w:eastAsia="en-AU"/>
              </w:rPr>
              <w:t>(Rp. Million)</w:t>
            </w:r>
          </w:p>
        </w:tc>
      </w:tr>
      <w:tr w:rsidR="00EB26B9" w:rsidRPr="004B7458" w:rsidTr="00575142">
        <w:trPr>
          <w:jc w:val="center"/>
        </w:trPr>
        <w:tc>
          <w:tcPr>
            <w:tcW w:w="1606" w:type="dxa"/>
            <w:vMerge w:val="restart"/>
            <w:vAlign w:val="center"/>
          </w:tcPr>
          <w:p w:rsidR="00EB26B9" w:rsidRPr="004B7458" w:rsidRDefault="00EB26B9" w:rsidP="00EB26B9">
            <w:pPr>
              <w:spacing w:after="0"/>
              <w:jc w:val="center"/>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Bali dan Nusa Tenggara</w:t>
            </w:r>
          </w:p>
        </w:tc>
        <w:tc>
          <w:tcPr>
            <w:tcW w:w="2239" w:type="dxa"/>
            <w:shd w:val="clear" w:color="auto" w:fill="auto"/>
            <w:noWrap/>
          </w:tcPr>
          <w:p w:rsidR="00EB26B9" w:rsidRPr="004B7458"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Badung</w:t>
            </w:r>
          </w:p>
        </w:tc>
        <w:tc>
          <w:tcPr>
            <w:tcW w:w="1401" w:type="dxa"/>
            <w:shd w:val="clear" w:color="auto" w:fill="auto"/>
            <w:noWrap/>
            <w:vAlign w:val="center"/>
          </w:tcPr>
          <w:p w:rsidR="00EB26B9" w:rsidRPr="004B7458"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4.19</w:t>
            </w:r>
          </w:p>
        </w:tc>
        <w:tc>
          <w:tcPr>
            <w:tcW w:w="1401" w:type="dxa"/>
            <w:shd w:val="clear" w:color="auto" w:fill="auto"/>
            <w:noWrap/>
            <w:vAlign w:val="center"/>
          </w:tcPr>
          <w:p w:rsidR="00EB26B9" w:rsidRPr="004B7458"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22%</w:t>
            </w:r>
          </w:p>
        </w:tc>
        <w:tc>
          <w:tcPr>
            <w:tcW w:w="1401" w:type="dxa"/>
            <w:shd w:val="clear" w:color="auto" w:fill="auto"/>
            <w:noWrap/>
            <w:vAlign w:val="center"/>
          </w:tcPr>
          <w:p w:rsidR="00EB26B9" w:rsidRPr="004B7458"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28%</w:t>
            </w:r>
          </w:p>
        </w:tc>
        <w:tc>
          <w:tcPr>
            <w:tcW w:w="1401" w:type="dxa"/>
            <w:shd w:val="clear" w:color="auto" w:fill="auto"/>
            <w:noWrap/>
            <w:vAlign w:val="center"/>
          </w:tcPr>
          <w:p w:rsidR="00EB26B9" w:rsidRPr="004B7458"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449,683</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4B7458"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Bangli</w:t>
            </w:r>
          </w:p>
        </w:tc>
        <w:tc>
          <w:tcPr>
            <w:tcW w:w="1401" w:type="dxa"/>
            <w:shd w:val="clear" w:color="auto" w:fill="auto"/>
            <w:noWrap/>
            <w:vAlign w:val="center"/>
          </w:tcPr>
          <w:p w:rsidR="00EB26B9" w:rsidRPr="004B7458"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4.83</w:t>
            </w:r>
          </w:p>
        </w:tc>
        <w:tc>
          <w:tcPr>
            <w:tcW w:w="1401" w:type="dxa"/>
            <w:shd w:val="clear" w:color="auto" w:fill="auto"/>
            <w:noWrap/>
            <w:vAlign w:val="center"/>
          </w:tcPr>
          <w:p w:rsidR="00EB26B9" w:rsidRPr="004B7458"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34%</w:t>
            </w:r>
          </w:p>
        </w:tc>
        <w:tc>
          <w:tcPr>
            <w:tcW w:w="1401" w:type="dxa"/>
            <w:shd w:val="clear" w:color="auto" w:fill="auto"/>
            <w:noWrap/>
            <w:vAlign w:val="center"/>
          </w:tcPr>
          <w:p w:rsidR="00EB26B9" w:rsidRPr="004B7458"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w:t>
            </w:r>
          </w:p>
        </w:tc>
        <w:tc>
          <w:tcPr>
            <w:tcW w:w="1401" w:type="dxa"/>
            <w:shd w:val="clear" w:color="auto" w:fill="auto"/>
            <w:noWrap/>
            <w:vAlign w:val="center"/>
          </w:tcPr>
          <w:p w:rsidR="00EB26B9" w:rsidRPr="004B7458"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200,862</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4B7458"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Gianyar</w:t>
            </w:r>
          </w:p>
        </w:tc>
        <w:tc>
          <w:tcPr>
            <w:tcW w:w="1401" w:type="dxa"/>
            <w:shd w:val="clear" w:color="auto" w:fill="auto"/>
            <w:noWrap/>
            <w:vAlign w:val="center"/>
          </w:tcPr>
          <w:p w:rsidR="00EB26B9" w:rsidRPr="004B7458"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4.62</w:t>
            </w:r>
          </w:p>
        </w:tc>
        <w:tc>
          <w:tcPr>
            <w:tcW w:w="1401" w:type="dxa"/>
            <w:shd w:val="clear" w:color="auto" w:fill="auto"/>
            <w:noWrap/>
            <w:vAlign w:val="center"/>
          </w:tcPr>
          <w:p w:rsidR="00EB26B9" w:rsidRPr="004B7458"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43%</w:t>
            </w:r>
          </w:p>
        </w:tc>
        <w:tc>
          <w:tcPr>
            <w:tcW w:w="1401" w:type="dxa"/>
            <w:shd w:val="clear" w:color="auto" w:fill="auto"/>
            <w:noWrap/>
            <w:vAlign w:val="center"/>
          </w:tcPr>
          <w:p w:rsidR="00EB26B9" w:rsidRPr="004B7458"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10%</w:t>
            </w:r>
          </w:p>
        </w:tc>
        <w:tc>
          <w:tcPr>
            <w:tcW w:w="1401" w:type="dxa"/>
            <w:shd w:val="clear" w:color="auto" w:fill="auto"/>
            <w:noWrap/>
            <w:vAlign w:val="center"/>
          </w:tcPr>
          <w:p w:rsidR="00EB26B9" w:rsidRPr="004B7458"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428,140</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4B7458"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Jembrana</w:t>
            </w:r>
          </w:p>
        </w:tc>
        <w:tc>
          <w:tcPr>
            <w:tcW w:w="1401" w:type="dxa"/>
            <w:shd w:val="clear" w:color="auto" w:fill="auto"/>
            <w:noWrap/>
            <w:vAlign w:val="center"/>
          </w:tcPr>
          <w:p w:rsidR="00EB26B9" w:rsidRPr="004B7458" w:rsidRDefault="00EB26B9" w:rsidP="00EB26B9">
            <w:pPr>
              <w:spacing w:after="0"/>
              <w:jc w:val="right"/>
              <w:rPr>
                <w:rFonts w:asciiTheme="minorHAnsi" w:hAnsiTheme="minorHAnsi" w:cs="Arial"/>
                <w:color w:val="000000"/>
                <w:sz w:val="20"/>
                <w:szCs w:val="20"/>
                <w:lang w:eastAsia="en-AU"/>
              </w:rPr>
            </w:pPr>
          </w:p>
        </w:tc>
        <w:tc>
          <w:tcPr>
            <w:tcW w:w="1401" w:type="dxa"/>
            <w:shd w:val="clear" w:color="auto" w:fill="auto"/>
            <w:noWrap/>
            <w:vAlign w:val="center"/>
          </w:tcPr>
          <w:p w:rsidR="00EB26B9" w:rsidRPr="004B7458" w:rsidRDefault="00EB26B9" w:rsidP="00EB26B9">
            <w:pPr>
              <w:spacing w:after="0"/>
              <w:jc w:val="right"/>
              <w:rPr>
                <w:rFonts w:asciiTheme="minorHAnsi" w:hAnsiTheme="minorHAnsi" w:cs="Arial"/>
                <w:color w:val="000000"/>
                <w:sz w:val="20"/>
                <w:szCs w:val="20"/>
                <w:lang w:eastAsia="en-AU"/>
              </w:rPr>
            </w:pPr>
          </w:p>
        </w:tc>
        <w:tc>
          <w:tcPr>
            <w:tcW w:w="1401" w:type="dxa"/>
            <w:shd w:val="clear" w:color="auto" w:fill="auto"/>
            <w:noWrap/>
            <w:vAlign w:val="center"/>
          </w:tcPr>
          <w:p w:rsidR="00EB26B9" w:rsidRPr="004B7458" w:rsidRDefault="00EB26B9" w:rsidP="00EB26B9">
            <w:pPr>
              <w:spacing w:after="0"/>
              <w:jc w:val="right"/>
              <w:rPr>
                <w:rFonts w:asciiTheme="minorHAnsi" w:hAnsiTheme="minorHAnsi" w:cs="Arial"/>
                <w:color w:val="000000"/>
                <w:sz w:val="20"/>
                <w:szCs w:val="20"/>
                <w:lang w:eastAsia="en-AU"/>
              </w:rPr>
            </w:pPr>
          </w:p>
        </w:tc>
        <w:tc>
          <w:tcPr>
            <w:tcW w:w="1401" w:type="dxa"/>
            <w:shd w:val="clear" w:color="auto" w:fill="auto"/>
            <w:noWrap/>
            <w:vAlign w:val="center"/>
          </w:tcPr>
          <w:p w:rsidR="00EB26B9" w:rsidRPr="004B7458" w:rsidRDefault="00EB26B9" w:rsidP="00EB26B9">
            <w:pPr>
              <w:spacing w:after="0"/>
              <w:jc w:val="right"/>
              <w:rPr>
                <w:rFonts w:asciiTheme="minorHAnsi" w:hAnsiTheme="minorHAnsi" w:cs="Arial"/>
                <w:color w:val="000000"/>
                <w:sz w:val="20"/>
                <w:szCs w:val="20"/>
                <w:lang w:eastAsia="en-AU"/>
              </w:rPr>
            </w:pP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4B7458"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Klungkung</w:t>
            </w:r>
          </w:p>
        </w:tc>
        <w:tc>
          <w:tcPr>
            <w:tcW w:w="1401" w:type="dxa"/>
            <w:shd w:val="clear" w:color="auto" w:fill="auto"/>
            <w:noWrap/>
            <w:vAlign w:val="center"/>
          </w:tcPr>
          <w:p w:rsidR="00EB26B9" w:rsidRPr="004B7458"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6.35</w:t>
            </w:r>
          </w:p>
        </w:tc>
        <w:tc>
          <w:tcPr>
            <w:tcW w:w="1401" w:type="dxa"/>
            <w:shd w:val="clear" w:color="auto" w:fill="auto"/>
            <w:noWrap/>
            <w:vAlign w:val="center"/>
          </w:tcPr>
          <w:p w:rsidR="00EB26B9" w:rsidRPr="004B7458"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40%</w:t>
            </w:r>
          </w:p>
        </w:tc>
        <w:tc>
          <w:tcPr>
            <w:tcW w:w="1401" w:type="dxa"/>
            <w:shd w:val="clear" w:color="auto" w:fill="auto"/>
            <w:noWrap/>
            <w:vAlign w:val="center"/>
          </w:tcPr>
          <w:p w:rsidR="00EB26B9" w:rsidRPr="004B7458"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13%</w:t>
            </w:r>
          </w:p>
        </w:tc>
        <w:tc>
          <w:tcPr>
            <w:tcW w:w="1401" w:type="dxa"/>
            <w:shd w:val="clear" w:color="auto" w:fill="auto"/>
            <w:noWrap/>
            <w:vAlign w:val="center"/>
          </w:tcPr>
          <w:p w:rsidR="00EB26B9" w:rsidRPr="004B7458"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234,932</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 Bima</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5.07</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42%</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18%</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199,968</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 Denpasar</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2.30</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30%</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367,497</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Lombok Barat</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2.23</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8%</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10%</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324,303</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Sumba Tengah</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4.40</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24%</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13%</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86,333</w:t>
            </w:r>
          </w:p>
        </w:tc>
      </w:tr>
      <w:tr w:rsidR="00EB26B9" w:rsidRPr="004B7458" w:rsidTr="00575142">
        <w:trPr>
          <w:jc w:val="center"/>
        </w:trPr>
        <w:tc>
          <w:tcPr>
            <w:tcW w:w="1606" w:type="dxa"/>
            <w:vMerge w:val="restart"/>
            <w:vAlign w:val="center"/>
          </w:tcPr>
          <w:p w:rsidR="00EB26B9" w:rsidRPr="004B7458" w:rsidRDefault="00EB26B9" w:rsidP="00EB26B9">
            <w:pPr>
              <w:spacing w:after="0"/>
              <w:jc w:val="center"/>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Jawa</w:t>
            </w: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Bantul</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4.57</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53%</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47%</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634,363</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Banyumas</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3.13</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51%</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8%</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909,646</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Banyuwangi</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2.77</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47%</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137%</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816,842</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Bojonegoro</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3.43</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44%</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8%</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735,958</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Cilacap</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2.26</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47%</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29%</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796,468</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Demak</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2.54</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47%</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12%</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556,295</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Gresik</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2.29</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35%</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11%</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516,099</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GunungKidul</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5.41</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57%</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10%</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618,102</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Jombang</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2.23</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46%</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10%</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587,419</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Karanganyar</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4.27</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51%</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20%</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601,620</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Kendal</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3.08</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48%</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11%</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561,553</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 Banjar</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3.16</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30%</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10%</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128,119</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 Batu</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4.12</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31%</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12%</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149,539</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 Bekasi</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1.65</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31%</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0%</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738,032</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 Cimahi</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3.12</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37%</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26%</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338,419</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 Depok</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1.33</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26%</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6%</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403,762</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 Jakarta Barat</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 Jakarta Selatan</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 Jakarta Timur</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 Jakarta Utara</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 Madiun</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4.85</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42%</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18%</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254,106</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 Magelang</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5.05</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37%</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508%</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207,933</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 Sukabumi</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2.86</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32%</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335%</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215,661</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 Surakarta</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3.55</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45%</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10%</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535,444</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 Tangerang</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2.07</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35%</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9%</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732,334</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 Tasikmalaya</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2.25</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39%</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8%</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327,739</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 Tegal</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3.61</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37%</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38%</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224,961</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 Yogyakarta</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3.12</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37%</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10%</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342,630</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Kulon Progo</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5.42</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51%</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13%</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422,278</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Lumajang</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3.09</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47%</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544,505</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Madiun</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4.82</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49%</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6%</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504,110</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Magelang</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3.86</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58%</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22%</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791,133</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Malang</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1.82</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35%</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-7%</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752,250</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Ngawi</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3.94</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51%</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562%</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562,406</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Pati</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3.14</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47%</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22%</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705,089</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Pekalongan</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3.04</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51%</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17%</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535,831</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Purbalingga</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3.51</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54%</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21%</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597,521</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Purworejo</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4.27</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55%</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11%</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610,358</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Semarang</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2.81</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42%</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5%</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460,943</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Serang</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1.94</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41%</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24%</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615,141</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Sidoarjo</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2.28</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36%</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11%</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787,519</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Sleman</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4.00</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47%</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43%</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676,502</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Sragen</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3.96</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55%</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15%</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672,156</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Sukoharjo</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3.95</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50%</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7%</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552,034</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Sumedang</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3.26</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48%</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10%</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680,327</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Tegal</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2.18</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49%</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642,077</w:t>
            </w:r>
          </w:p>
        </w:tc>
      </w:tr>
      <w:tr w:rsidR="00EB26B9" w:rsidRPr="004B7458" w:rsidTr="00575142">
        <w:trPr>
          <w:jc w:val="center"/>
        </w:trPr>
        <w:tc>
          <w:tcPr>
            <w:tcW w:w="1606" w:type="dxa"/>
            <w:vMerge w:val="restart"/>
            <w:vAlign w:val="center"/>
          </w:tcPr>
          <w:p w:rsidR="00EB26B9" w:rsidRPr="004B7458" w:rsidRDefault="00EB26B9" w:rsidP="00EB26B9">
            <w:pPr>
              <w:spacing w:after="0"/>
              <w:jc w:val="center"/>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Kalimantan</w:t>
            </w: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Barito Selatan</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6.33</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31%</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35%</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199,065</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Berau</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8.60</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22%</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26%</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365,155</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Gunung Mas</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6.65</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30%</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170,678</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Hulu Sungai Selatan</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6.77</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44%</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16%</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284,572</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Hulu Sungai Utara</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5.57</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35%</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0%</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255,689</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 Balikpapan</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3.55</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23%</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427,360</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 Banjarbaru</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4.12</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33%</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16%</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179,475</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 Banjarmasin</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3.30</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40%</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11%</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430,336</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 Bontang</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7.99</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22%</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-27%</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288,848</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 PalangkaRaya</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5.66</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45%</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7%</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297,085</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 Pontianak</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2.74</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37%</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10%</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378,726</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 Samarinda</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3.47</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28%</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-12%</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550,786</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 Tarakan</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8.71</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23%</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135%</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350,937</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Kotabaru</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4.52</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26%</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19%</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280,564</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Kotawaringin Timur</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3.42</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34%</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26%</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297,149</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Kutai Barat</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4.15</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11%</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176,103</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Kutai Kartanegara</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8.36</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24%</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19%</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1,204,014</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Penajam Paser Utara</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9.36</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20%</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29%</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306,305</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Pulang Pisau</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7.20</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37%</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21%</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201,049</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Tabalong</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4.56</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24%</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-14%</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224,523</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Tanah Laut</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5.25</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35%</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33%</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314,047</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Tapin</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6.73</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30%</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21%</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235,181</w:t>
            </w:r>
          </w:p>
        </w:tc>
      </w:tr>
      <w:tr w:rsidR="00EB26B9" w:rsidRPr="004B7458" w:rsidTr="00575142">
        <w:trPr>
          <w:jc w:val="center"/>
        </w:trPr>
        <w:tc>
          <w:tcPr>
            <w:tcW w:w="1606" w:type="dxa"/>
            <w:vMerge w:val="restart"/>
            <w:vAlign w:val="center"/>
          </w:tcPr>
          <w:p w:rsidR="00EB26B9" w:rsidRPr="004B7458" w:rsidRDefault="00EB26B9" w:rsidP="00EB26B9">
            <w:pPr>
              <w:spacing w:after="0"/>
              <w:jc w:val="center"/>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Maluku</w:t>
            </w: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Halmahera Barat</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3.60</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24%</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61%</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111,256</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Halmahera Utara</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1.30</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12%</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67,148</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Kepulauan Aru</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4.40</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25%</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41%</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114,855</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Kepulauan Sula</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2.06</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15%</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96,858</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 Ambon</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5.00</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55%</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15%</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391,943</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 Ternate</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4.70</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34%</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7%</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202,286</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 Tidore Kepulauan</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6.73</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34%</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31%</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167,747</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 Tual</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3.00</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14%</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-30%</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49,489</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Maluku Tenggara</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2.46</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16%</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75,344</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Seram Bagian Barat</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3.26</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37%</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11%</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181,257</w:t>
            </w:r>
          </w:p>
        </w:tc>
      </w:tr>
      <w:tr w:rsidR="00EB26B9" w:rsidRPr="004B7458" w:rsidTr="00575142">
        <w:trPr>
          <w:jc w:val="center"/>
        </w:trPr>
        <w:tc>
          <w:tcPr>
            <w:tcW w:w="1606" w:type="dxa"/>
            <w:vMerge w:val="restart"/>
            <w:vAlign w:val="center"/>
          </w:tcPr>
          <w:p w:rsidR="00EB26B9" w:rsidRPr="004B7458" w:rsidRDefault="00EB26B9" w:rsidP="00EB26B9">
            <w:pPr>
              <w:spacing w:after="0"/>
              <w:jc w:val="center"/>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Papua</w:t>
            </w: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Fakfak</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6.42</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18%</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126,136</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 Jayapura</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3.89</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33%</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11%</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252,246</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Manokwari</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4.13</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26%</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-5%</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227,788</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Sorong</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5.69</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20%</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13%</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151,971</w:t>
            </w:r>
          </w:p>
        </w:tc>
      </w:tr>
      <w:tr w:rsidR="00EB26B9" w:rsidRPr="004B7458" w:rsidTr="00575142">
        <w:trPr>
          <w:jc w:val="center"/>
        </w:trPr>
        <w:tc>
          <w:tcPr>
            <w:tcW w:w="1606" w:type="dxa"/>
            <w:vMerge/>
            <w:vAlign w:val="center"/>
          </w:tcPr>
          <w:p w:rsidR="00EB26B9" w:rsidRPr="004B7458" w:rsidRDefault="00EB26B9" w:rsidP="00EB26B9">
            <w:pPr>
              <w:spacing w:after="0"/>
              <w:rPr>
                <w:rFonts w:asciiTheme="minorHAnsi" w:hAnsiTheme="minorHAnsi" w:cs="Arial"/>
                <w:color w:val="000000"/>
                <w:sz w:val="20"/>
                <w:szCs w:val="20"/>
                <w:lang w:eastAsia="en-AU"/>
              </w:rPr>
            </w:pPr>
          </w:p>
        </w:tc>
        <w:tc>
          <w:tcPr>
            <w:tcW w:w="2239" w:type="dxa"/>
            <w:shd w:val="clear" w:color="auto" w:fill="auto"/>
            <w:noWrap/>
          </w:tcPr>
          <w:p w:rsidR="00EB26B9" w:rsidRPr="00EB26B9" w:rsidRDefault="00EB26B9"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Sorong Selatan</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7.11</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16%</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w:t>
            </w:r>
          </w:p>
        </w:tc>
        <w:tc>
          <w:tcPr>
            <w:tcW w:w="1401" w:type="dxa"/>
            <w:shd w:val="clear" w:color="auto" w:fill="auto"/>
            <w:noWrap/>
            <w:vAlign w:val="center"/>
          </w:tcPr>
          <w:p w:rsidR="00EB26B9" w:rsidRPr="00EB26B9" w:rsidRDefault="00EB26B9"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91,023</w:t>
            </w:r>
          </w:p>
        </w:tc>
      </w:tr>
      <w:tr w:rsidR="00FB1633" w:rsidRPr="004B7458" w:rsidTr="00575142">
        <w:trPr>
          <w:jc w:val="center"/>
        </w:trPr>
        <w:tc>
          <w:tcPr>
            <w:tcW w:w="1606" w:type="dxa"/>
            <w:vMerge w:val="restart"/>
            <w:vAlign w:val="center"/>
          </w:tcPr>
          <w:p w:rsidR="00FB1633" w:rsidRPr="004B7458" w:rsidRDefault="00FB1633" w:rsidP="00FB1633">
            <w:pPr>
              <w:spacing w:after="0"/>
              <w:jc w:val="center"/>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Sulawesi</w:t>
            </w:r>
          </w:p>
        </w:tc>
        <w:tc>
          <w:tcPr>
            <w:tcW w:w="2239" w:type="dxa"/>
            <w:shd w:val="clear" w:color="auto" w:fill="auto"/>
            <w:noWrap/>
          </w:tcPr>
          <w:p w:rsidR="00FB1633" w:rsidRPr="00EB26B9" w:rsidRDefault="00FB1633"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Barru</w:t>
            </w:r>
          </w:p>
        </w:tc>
        <w:tc>
          <w:tcPr>
            <w:tcW w:w="1401" w:type="dxa"/>
            <w:shd w:val="clear" w:color="auto" w:fill="auto"/>
            <w:noWrap/>
            <w:vAlign w:val="center"/>
          </w:tcPr>
          <w:p w:rsidR="00FB1633" w:rsidRPr="00EB26B9" w:rsidRDefault="00FB1633"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5.77</w:t>
            </w:r>
          </w:p>
        </w:tc>
        <w:tc>
          <w:tcPr>
            <w:tcW w:w="1401" w:type="dxa"/>
            <w:shd w:val="clear" w:color="auto" w:fill="auto"/>
            <w:noWrap/>
            <w:vAlign w:val="center"/>
          </w:tcPr>
          <w:p w:rsidR="00FB1633" w:rsidRPr="00EB26B9" w:rsidRDefault="00FB1633"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47%</w:t>
            </w:r>
          </w:p>
        </w:tc>
        <w:tc>
          <w:tcPr>
            <w:tcW w:w="1401" w:type="dxa"/>
            <w:shd w:val="clear" w:color="auto" w:fill="auto"/>
            <w:noWrap/>
            <w:vAlign w:val="center"/>
          </w:tcPr>
          <w:p w:rsidR="00FB1633" w:rsidRPr="00EB26B9" w:rsidRDefault="00FB1633"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8%</w:t>
            </w:r>
          </w:p>
        </w:tc>
        <w:tc>
          <w:tcPr>
            <w:tcW w:w="1401" w:type="dxa"/>
            <w:shd w:val="clear" w:color="auto" w:fill="auto"/>
            <w:noWrap/>
            <w:vAlign w:val="center"/>
          </w:tcPr>
          <w:p w:rsidR="00FB1633" w:rsidRPr="00EB26B9" w:rsidRDefault="00FB1633"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233,105</w:t>
            </w:r>
          </w:p>
        </w:tc>
      </w:tr>
      <w:tr w:rsidR="00FB1633" w:rsidRPr="004B7458" w:rsidTr="00575142">
        <w:trPr>
          <w:jc w:val="center"/>
        </w:trPr>
        <w:tc>
          <w:tcPr>
            <w:tcW w:w="1606" w:type="dxa"/>
            <w:vMerge/>
            <w:vAlign w:val="center"/>
          </w:tcPr>
          <w:p w:rsidR="00FB1633" w:rsidRPr="004B7458" w:rsidRDefault="00FB1633" w:rsidP="00EB26B9">
            <w:pPr>
              <w:spacing w:after="0"/>
              <w:rPr>
                <w:rFonts w:asciiTheme="minorHAnsi" w:hAnsiTheme="minorHAnsi" w:cs="Arial"/>
                <w:color w:val="000000"/>
                <w:sz w:val="20"/>
                <w:szCs w:val="20"/>
                <w:lang w:eastAsia="en-AU"/>
              </w:rPr>
            </w:pPr>
          </w:p>
        </w:tc>
        <w:tc>
          <w:tcPr>
            <w:tcW w:w="2239" w:type="dxa"/>
            <w:shd w:val="clear" w:color="auto" w:fill="auto"/>
            <w:noWrap/>
          </w:tcPr>
          <w:p w:rsidR="00FB1633" w:rsidRPr="00EB26B9" w:rsidRDefault="00FB1633"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Bone Bolango</w:t>
            </w:r>
          </w:p>
        </w:tc>
        <w:tc>
          <w:tcPr>
            <w:tcW w:w="1401" w:type="dxa"/>
            <w:shd w:val="clear" w:color="auto" w:fill="auto"/>
            <w:noWrap/>
            <w:vAlign w:val="center"/>
          </w:tcPr>
          <w:p w:rsidR="00FB1633" w:rsidRPr="00EB26B9" w:rsidRDefault="00FB1633"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6.17</w:t>
            </w:r>
          </w:p>
        </w:tc>
        <w:tc>
          <w:tcPr>
            <w:tcW w:w="1401" w:type="dxa"/>
            <w:shd w:val="clear" w:color="auto" w:fill="auto"/>
            <w:noWrap/>
            <w:vAlign w:val="center"/>
          </w:tcPr>
          <w:p w:rsidR="00FB1633" w:rsidRPr="00EB26B9" w:rsidRDefault="00FB1633"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42%</w:t>
            </w:r>
          </w:p>
        </w:tc>
        <w:tc>
          <w:tcPr>
            <w:tcW w:w="1401" w:type="dxa"/>
            <w:shd w:val="clear" w:color="auto" w:fill="auto"/>
            <w:noWrap/>
            <w:vAlign w:val="center"/>
          </w:tcPr>
          <w:p w:rsidR="00FB1633" w:rsidRPr="00EB26B9" w:rsidRDefault="00FB1633"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32%</w:t>
            </w:r>
          </w:p>
        </w:tc>
        <w:tc>
          <w:tcPr>
            <w:tcW w:w="1401" w:type="dxa"/>
            <w:shd w:val="clear" w:color="auto" w:fill="auto"/>
            <w:noWrap/>
            <w:vAlign w:val="center"/>
          </w:tcPr>
          <w:p w:rsidR="00FB1633" w:rsidRPr="00EB26B9" w:rsidRDefault="00FB1633"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194,191</w:t>
            </w:r>
          </w:p>
        </w:tc>
      </w:tr>
      <w:tr w:rsidR="00FB1633" w:rsidRPr="004B7458" w:rsidTr="00575142">
        <w:trPr>
          <w:jc w:val="center"/>
        </w:trPr>
        <w:tc>
          <w:tcPr>
            <w:tcW w:w="1606" w:type="dxa"/>
            <w:vMerge/>
            <w:vAlign w:val="center"/>
          </w:tcPr>
          <w:p w:rsidR="00FB1633" w:rsidRPr="004B7458" w:rsidRDefault="00FB1633" w:rsidP="00EB26B9">
            <w:pPr>
              <w:spacing w:after="0"/>
              <w:rPr>
                <w:rFonts w:asciiTheme="minorHAnsi" w:hAnsiTheme="minorHAnsi" w:cs="Arial"/>
                <w:color w:val="000000"/>
                <w:sz w:val="20"/>
                <w:szCs w:val="20"/>
                <w:lang w:eastAsia="en-AU"/>
              </w:rPr>
            </w:pPr>
          </w:p>
        </w:tc>
        <w:tc>
          <w:tcPr>
            <w:tcW w:w="2239" w:type="dxa"/>
            <w:shd w:val="clear" w:color="auto" w:fill="auto"/>
            <w:noWrap/>
          </w:tcPr>
          <w:p w:rsidR="00FB1633" w:rsidRPr="00EB26B9" w:rsidRDefault="00FB1633"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Gowa</w:t>
            </w:r>
          </w:p>
        </w:tc>
        <w:tc>
          <w:tcPr>
            <w:tcW w:w="1401" w:type="dxa"/>
            <w:shd w:val="clear" w:color="auto" w:fill="auto"/>
            <w:noWrap/>
            <w:vAlign w:val="center"/>
          </w:tcPr>
          <w:p w:rsidR="00FB1633" w:rsidRPr="00EB26B9" w:rsidRDefault="00FB1633"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2.64</w:t>
            </w:r>
          </w:p>
        </w:tc>
        <w:tc>
          <w:tcPr>
            <w:tcW w:w="1401" w:type="dxa"/>
            <w:shd w:val="clear" w:color="auto" w:fill="auto"/>
            <w:noWrap/>
            <w:vAlign w:val="center"/>
          </w:tcPr>
          <w:p w:rsidR="00FB1633" w:rsidRPr="00EB26B9" w:rsidRDefault="00FB1633"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47%</w:t>
            </w:r>
          </w:p>
        </w:tc>
        <w:tc>
          <w:tcPr>
            <w:tcW w:w="1401" w:type="dxa"/>
            <w:shd w:val="clear" w:color="auto" w:fill="auto"/>
            <w:noWrap/>
            <w:vAlign w:val="center"/>
          </w:tcPr>
          <w:p w:rsidR="00FB1633" w:rsidRPr="00EB26B9" w:rsidRDefault="00FB1633"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18%</w:t>
            </w:r>
          </w:p>
        </w:tc>
        <w:tc>
          <w:tcPr>
            <w:tcW w:w="1401" w:type="dxa"/>
            <w:shd w:val="clear" w:color="auto" w:fill="auto"/>
            <w:noWrap/>
            <w:vAlign w:val="center"/>
          </w:tcPr>
          <w:p w:rsidR="00FB1633" w:rsidRPr="00EB26B9" w:rsidRDefault="00FB1633"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394,090</w:t>
            </w:r>
          </w:p>
        </w:tc>
      </w:tr>
      <w:tr w:rsidR="00FB1633" w:rsidRPr="004B7458" w:rsidTr="00575142">
        <w:trPr>
          <w:jc w:val="center"/>
        </w:trPr>
        <w:tc>
          <w:tcPr>
            <w:tcW w:w="1606" w:type="dxa"/>
            <w:vMerge/>
            <w:vAlign w:val="center"/>
          </w:tcPr>
          <w:p w:rsidR="00FB1633" w:rsidRPr="004B7458" w:rsidRDefault="00FB1633" w:rsidP="00EB26B9">
            <w:pPr>
              <w:spacing w:after="0"/>
              <w:rPr>
                <w:rFonts w:asciiTheme="minorHAnsi" w:hAnsiTheme="minorHAnsi" w:cs="Arial"/>
                <w:color w:val="000000"/>
                <w:sz w:val="20"/>
                <w:szCs w:val="20"/>
                <w:lang w:eastAsia="en-AU"/>
              </w:rPr>
            </w:pPr>
          </w:p>
        </w:tc>
        <w:tc>
          <w:tcPr>
            <w:tcW w:w="2239" w:type="dxa"/>
            <w:shd w:val="clear" w:color="auto" w:fill="auto"/>
            <w:noWrap/>
          </w:tcPr>
          <w:p w:rsidR="00FB1633" w:rsidRPr="00EB26B9" w:rsidRDefault="00FB1633"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Kepulauan Selayar</w:t>
            </w:r>
          </w:p>
        </w:tc>
        <w:tc>
          <w:tcPr>
            <w:tcW w:w="1401" w:type="dxa"/>
            <w:shd w:val="clear" w:color="auto" w:fill="auto"/>
            <w:noWrap/>
            <w:vAlign w:val="center"/>
          </w:tcPr>
          <w:p w:rsidR="00FB1633" w:rsidRPr="00EB26B9" w:rsidRDefault="00FB1633"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4.83</w:t>
            </w:r>
          </w:p>
        </w:tc>
        <w:tc>
          <w:tcPr>
            <w:tcW w:w="1401" w:type="dxa"/>
            <w:shd w:val="clear" w:color="auto" w:fill="auto"/>
            <w:noWrap/>
            <w:vAlign w:val="center"/>
          </w:tcPr>
          <w:p w:rsidR="00FB1633" w:rsidRPr="00EB26B9" w:rsidRDefault="00FB1633"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29%</w:t>
            </w:r>
          </w:p>
        </w:tc>
        <w:tc>
          <w:tcPr>
            <w:tcW w:w="1401" w:type="dxa"/>
            <w:shd w:val="clear" w:color="auto" w:fill="auto"/>
            <w:noWrap/>
            <w:vAlign w:val="center"/>
          </w:tcPr>
          <w:p w:rsidR="00FB1633" w:rsidRPr="00EB26B9" w:rsidRDefault="00FB1633"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7%</w:t>
            </w:r>
          </w:p>
        </w:tc>
        <w:tc>
          <w:tcPr>
            <w:tcW w:w="1401" w:type="dxa"/>
            <w:shd w:val="clear" w:color="auto" w:fill="auto"/>
            <w:noWrap/>
            <w:vAlign w:val="center"/>
          </w:tcPr>
          <w:p w:rsidR="00FB1633" w:rsidRPr="00EB26B9" w:rsidRDefault="00FB1633"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135,390</w:t>
            </w:r>
          </w:p>
        </w:tc>
      </w:tr>
      <w:tr w:rsidR="00FB1633" w:rsidRPr="004B7458" w:rsidTr="00575142">
        <w:trPr>
          <w:jc w:val="center"/>
        </w:trPr>
        <w:tc>
          <w:tcPr>
            <w:tcW w:w="1606" w:type="dxa"/>
            <w:vMerge/>
            <w:vAlign w:val="center"/>
          </w:tcPr>
          <w:p w:rsidR="00FB1633" w:rsidRPr="004B7458" w:rsidRDefault="00FB1633" w:rsidP="00EB26B9">
            <w:pPr>
              <w:spacing w:after="0"/>
              <w:rPr>
                <w:rFonts w:asciiTheme="minorHAnsi" w:hAnsiTheme="minorHAnsi" w:cs="Arial"/>
                <w:color w:val="000000"/>
                <w:sz w:val="20"/>
                <w:szCs w:val="20"/>
                <w:lang w:eastAsia="en-AU"/>
              </w:rPr>
            </w:pPr>
          </w:p>
        </w:tc>
        <w:tc>
          <w:tcPr>
            <w:tcW w:w="2239" w:type="dxa"/>
            <w:shd w:val="clear" w:color="auto" w:fill="auto"/>
            <w:noWrap/>
          </w:tcPr>
          <w:p w:rsidR="00FB1633" w:rsidRPr="00EB26B9" w:rsidRDefault="00FB1633"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Kepulauan Talaud</w:t>
            </w:r>
          </w:p>
        </w:tc>
        <w:tc>
          <w:tcPr>
            <w:tcW w:w="1401" w:type="dxa"/>
            <w:shd w:val="clear" w:color="auto" w:fill="auto"/>
            <w:noWrap/>
            <w:vAlign w:val="center"/>
          </w:tcPr>
          <w:p w:rsidR="00FB1633" w:rsidRPr="00EB26B9" w:rsidRDefault="00FB1633"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6.91</w:t>
            </w:r>
          </w:p>
        </w:tc>
        <w:tc>
          <w:tcPr>
            <w:tcW w:w="1401" w:type="dxa"/>
            <w:shd w:val="clear" w:color="auto" w:fill="auto"/>
            <w:noWrap/>
            <w:vAlign w:val="center"/>
          </w:tcPr>
          <w:p w:rsidR="00FB1633" w:rsidRPr="00EB26B9" w:rsidRDefault="00FB1633"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29%</w:t>
            </w:r>
          </w:p>
        </w:tc>
        <w:tc>
          <w:tcPr>
            <w:tcW w:w="1401" w:type="dxa"/>
            <w:shd w:val="clear" w:color="auto" w:fill="auto"/>
            <w:noWrap/>
            <w:vAlign w:val="center"/>
          </w:tcPr>
          <w:p w:rsidR="00FB1633" w:rsidRPr="00EB26B9" w:rsidRDefault="00FB1633"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w:t>
            </w:r>
          </w:p>
        </w:tc>
        <w:tc>
          <w:tcPr>
            <w:tcW w:w="1401" w:type="dxa"/>
            <w:shd w:val="clear" w:color="auto" w:fill="auto"/>
            <w:noWrap/>
            <w:vAlign w:val="center"/>
          </w:tcPr>
          <w:p w:rsidR="00FB1633" w:rsidRPr="00EB26B9" w:rsidRDefault="00FB1633"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134,180</w:t>
            </w:r>
          </w:p>
        </w:tc>
      </w:tr>
      <w:tr w:rsidR="00FB1633" w:rsidRPr="004B7458" w:rsidTr="00575142">
        <w:trPr>
          <w:jc w:val="center"/>
        </w:trPr>
        <w:tc>
          <w:tcPr>
            <w:tcW w:w="1606" w:type="dxa"/>
            <w:vMerge/>
            <w:vAlign w:val="center"/>
          </w:tcPr>
          <w:p w:rsidR="00FB1633" w:rsidRPr="004B7458" w:rsidRDefault="00FB1633" w:rsidP="00EB26B9">
            <w:pPr>
              <w:spacing w:after="0"/>
              <w:rPr>
                <w:rFonts w:asciiTheme="minorHAnsi" w:hAnsiTheme="minorHAnsi" w:cs="Arial"/>
                <w:color w:val="000000"/>
                <w:sz w:val="20"/>
                <w:szCs w:val="20"/>
                <w:lang w:eastAsia="en-AU"/>
              </w:rPr>
            </w:pPr>
          </w:p>
        </w:tc>
        <w:tc>
          <w:tcPr>
            <w:tcW w:w="2239" w:type="dxa"/>
            <w:shd w:val="clear" w:color="auto" w:fill="auto"/>
            <w:noWrap/>
          </w:tcPr>
          <w:p w:rsidR="00FB1633" w:rsidRPr="00EB26B9" w:rsidRDefault="00FB1633"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 Gorontalo</w:t>
            </w:r>
          </w:p>
        </w:tc>
        <w:tc>
          <w:tcPr>
            <w:tcW w:w="1401" w:type="dxa"/>
            <w:shd w:val="clear" w:color="auto" w:fill="auto"/>
            <w:noWrap/>
            <w:vAlign w:val="center"/>
          </w:tcPr>
          <w:p w:rsidR="00FB1633" w:rsidRPr="00EB26B9" w:rsidRDefault="00FB1633"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5.13</w:t>
            </w:r>
          </w:p>
        </w:tc>
        <w:tc>
          <w:tcPr>
            <w:tcW w:w="1401" w:type="dxa"/>
            <w:shd w:val="clear" w:color="auto" w:fill="auto"/>
            <w:noWrap/>
            <w:vAlign w:val="center"/>
          </w:tcPr>
          <w:p w:rsidR="00FB1633" w:rsidRPr="00EB26B9" w:rsidRDefault="00FB1633"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40%</w:t>
            </w:r>
          </w:p>
        </w:tc>
        <w:tc>
          <w:tcPr>
            <w:tcW w:w="1401" w:type="dxa"/>
            <w:shd w:val="clear" w:color="auto" w:fill="auto"/>
            <w:noWrap/>
            <w:vAlign w:val="center"/>
          </w:tcPr>
          <w:p w:rsidR="00FB1633" w:rsidRPr="00EB26B9" w:rsidRDefault="00FB1633"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13%</w:t>
            </w:r>
          </w:p>
        </w:tc>
        <w:tc>
          <w:tcPr>
            <w:tcW w:w="1401" w:type="dxa"/>
            <w:shd w:val="clear" w:color="auto" w:fill="auto"/>
            <w:noWrap/>
            <w:vAlign w:val="center"/>
          </w:tcPr>
          <w:p w:rsidR="00FB1633" w:rsidRPr="00EB26B9" w:rsidRDefault="00FB1633"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228,613</w:t>
            </w:r>
          </w:p>
        </w:tc>
      </w:tr>
      <w:tr w:rsidR="00FB1633" w:rsidRPr="004B7458" w:rsidTr="00575142">
        <w:trPr>
          <w:jc w:val="center"/>
        </w:trPr>
        <w:tc>
          <w:tcPr>
            <w:tcW w:w="1606" w:type="dxa"/>
            <w:vMerge/>
            <w:vAlign w:val="center"/>
          </w:tcPr>
          <w:p w:rsidR="00FB1633" w:rsidRPr="004B7458" w:rsidRDefault="00FB1633" w:rsidP="00EB26B9">
            <w:pPr>
              <w:spacing w:after="0"/>
              <w:rPr>
                <w:rFonts w:asciiTheme="minorHAnsi" w:hAnsiTheme="minorHAnsi" w:cs="Arial"/>
                <w:color w:val="000000"/>
                <w:sz w:val="20"/>
                <w:szCs w:val="20"/>
                <w:lang w:eastAsia="en-AU"/>
              </w:rPr>
            </w:pPr>
          </w:p>
        </w:tc>
        <w:tc>
          <w:tcPr>
            <w:tcW w:w="2239" w:type="dxa"/>
            <w:shd w:val="clear" w:color="auto" w:fill="auto"/>
            <w:noWrap/>
          </w:tcPr>
          <w:p w:rsidR="00FB1633" w:rsidRPr="00EB26B9" w:rsidRDefault="00FB1633"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 Kendari</w:t>
            </w:r>
          </w:p>
        </w:tc>
        <w:tc>
          <w:tcPr>
            <w:tcW w:w="1401" w:type="dxa"/>
            <w:shd w:val="clear" w:color="auto" w:fill="auto"/>
            <w:noWrap/>
            <w:vAlign w:val="center"/>
          </w:tcPr>
          <w:p w:rsidR="00FB1633" w:rsidRPr="00EB26B9" w:rsidRDefault="00FB1633"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4.56</w:t>
            </w:r>
          </w:p>
        </w:tc>
        <w:tc>
          <w:tcPr>
            <w:tcW w:w="1401" w:type="dxa"/>
            <w:shd w:val="clear" w:color="auto" w:fill="auto"/>
            <w:noWrap/>
            <w:vAlign w:val="center"/>
          </w:tcPr>
          <w:p w:rsidR="00FB1633" w:rsidRPr="00EB26B9" w:rsidRDefault="00FB1633"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37%</w:t>
            </w:r>
          </w:p>
        </w:tc>
        <w:tc>
          <w:tcPr>
            <w:tcW w:w="1401" w:type="dxa"/>
            <w:shd w:val="clear" w:color="auto" w:fill="auto"/>
            <w:noWrap/>
            <w:vAlign w:val="center"/>
          </w:tcPr>
          <w:p w:rsidR="00FB1633" w:rsidRPr="00EB26B9" w:rsidRDefault="00FB1633"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32%</w:t>
            </w:r>
          </w:p>
        </w:tc>
        <w:tc>
          <w:tcPr>
            <w:tcW w:w="1401" w:type="dxa"/>
            <w:shd w:val="clear" w:color="auto" w:fill="auto"/>
            <w:noWrap/>
            <w:vAlign w:val="center"/>
          </w:tcPr>
          <w:p w:rsidR="00FB1633" w:rsidRPr="00EB26B9" w:rsidRDefault="00FB1633"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326,828</w:t>
            </w:r>
          </w:p>
        </w:tc>
      </w:tr>
      <w:tr w:rsidR="00FB1633" w:rsidRPr="004B7458" w:rsidTr="00575142">
        <w:trPr>
          <w:jc w:val="center"/>
        </w:trPr>
        <w:tc>
          <w:tcPr>
            <w:tcW w:w="1606" w:type="dxa"/>
            <w:vMerge/>
            <w:vAlign w:val="center"/>
          </w:tcPr>
          <w:p w:rsidR="00FB1633" w:rsidRPr="004B7458" w:rsidRDefault="00FB1633" w:rsidP="00EB26B9">
            <w:pPr>
              <w:spacing w:after="0"/>
              <w:rPr>
                <w:rFonts w:asciiTheme="minorHAnsi" w:hAnsiTheme="minorHAnsi" w:cs="Arial"/>
                <w:color w:val="000000"/>
                <w:sz w:val="20"/>
                <w:szCs w:val="20"/>
                <w:lang w:eastAsia="en-AU"/>
              </w:rPr>
            </w:pPr>
          </w:p>
        </w:tc>
        <w:tc>
          <w:tcPr>
            <w:tcW w:w="2239" w:type="dxa"/>
            <w:shd w:val="clear" w:color="auto" w:fill="auto"/>
            <w:noWrap/>
          </w:tcPr>
          <w:p w:rsidR="00FB1633" w:rsidRPr="00EB26B9" w:rsidRDefault="00FB1633"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 Palu</w:t>
            </w:r>
          </w:p>
        </w:tc>
        <w:tc>
          <w:tcPr>
            <w:tcW w:w="1401" w:type="dxa"/>
            <w:shd w:val="clear" w:color="auto" w:fill="auto"/>
            <w:noWrap/>
            <w:vAlign w:val="center"/>
          </w:tcPr>
          <w:p w:rsidR="00FB1633" w:rsidRPr="00EB26B9" w:rsidRDefault="00FB1633"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4.56</w:t>
            </w:r>
          </w:p>
        </w:tc>
        <w:tc>
          <w:tcPr>
            <w:tcW w:w="1401" w:type="dxa"/>
            <w:shd w:val="clear" w:color="auto" w:fill="auto"/>
            <w:noWrap/>
            <w:vAlign w:val="center"/>
          </w:tcPr>
          <w:p w:rsidR="00FB1633" w:rsidRPr="00EB26B9" w:rsidRDefault="00FB1633"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46%</w:t>
            </w:r>
          </w:p>
        </w:tc>
        <w:tc>
          <w:tcPr>
            <w:tcW w:w="1401" w:type="dxa"/>
            <w:shd w:val="clear" w:color="auto" w:fill="auto"/>
            <w:noWrap/>
            <w:vAlign w:val="center"/>
          </w:tcPr>
          <w:p w:rsidR="00FB1633" w:rsidRPr="00EB26B9" w:rsidRDefault="00FB1633"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18%</w:t>
            </w:r>
          </w:p>
        </w:tc>
        <w:tc>
          <w:tcPr>
            <w:tcW w:w="1401" w:type="dxa"/>
            <w:shd w:val="clear" w:color="auto" w:fill="auto"/>
            <w:noWrap/>
            <w:vAlign w:val="center"/>
          </w:tcPr>
          <w:p w:rsidR="00FB1633" w:rsidRPr="00EB26B9" w:rsidRDefault="00FB1633"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348,282</w:t>
            </w:r>
          </w:p>
        </w:tc>
      </w:tr>
      <w:tr w:rsidR="00FB1633" w:rsidRPr="004B7458" w:rsidTr="00575142">
        <w:trPr>
          <w:jc w:val="center"/>
        </w:trPr>
        <w:tc>
          <w:tcPr>
            <w:tcW w:w="1606" w:type="dxa"/>
            <w:vMerge/>
            <w:vAlign w:val="center"/>
          </w:tcPr>
          <w:p w:rsidR="00FB1633" w:rsidRPr="004B7458" w:rsidRDefault="00FB1633" w:rsidP="00EB26B9">
            <w:pPr>
              <w:spacing w:after="0"/>
              <w:rPr>
                <w:rFonts w:asciiTheme="minorHAnsi" w:hAnsiTheme="minorHAnsi" w:cs="Arial"/>
                <w:color w:val="000000"/>
                <w:sz w:val="20"/>
                <w:szCs w:val="20"/>
                <w:lang w:eastAsia="en-AU"/>
              </w:rPr>
            </w:pPr>
          </w:p>
        </w:tc>
        <w:tc>
          <w:tcPr>
            <w:tcW w:w="2239" w:type="dxa"/>
            <w:shd w:val="clear" w:color="auto" w:fill="auto"/>
            <w:noWrap/>
          </w:tcPr>
          <w:p w:rsidR="00FB1633" w:rsidRPr="00EB26B9" w:rsidRDefault="00FB1633"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 Tomohon</w:t>
            </w:r>
          </w:p>
        </w:tc>
        <w:tc>
          <w:tcPr>
            <w:tcW w:w="1401" w:type="dxa"/>
            <w:shd w:val="clear" w:color="auto" w:fill="auto"/>
            <w:noWrap/>
            <w:vAlign w:val="center"/>
          </w:tcPr>
          <w:p w:rsidR="00FB1633" w:rsidRPr="00EB26B9" w:rsidRDefault="00FB1633"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4.61</w:t>
            </w:r>
          </w:p>
        </w:tc>
        <w:tc>
          <w:tcPr>
            <w:tcW w:w="1401" w:type="dxa"/>
            <w:shd w:val="clear" w:color="auto" w:fill="auto"/>
            <w:noWrap/>
            <w:vAlign w:val="center"/>
          </w:tcPr>
          <w:p w:rsidR="00FB1633" w:rsidRPr="00EB26B9" w:rsidRDefault="00FB1633"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26%</w:t>
            </w:r>
          </w:p>
        </w:tc>
        <w:tc>
          <w:tcPr>
            <w:tcW w:w="1401" w:type="dxa"/>
            <w:shd w:val="clear" w:color="auto" w:fill="auto"/>
            <w:noWrap/>
            <w:vAlign w:val="center"/>
          </w:tcPr>
          <w:p w:rsidR="00FB1633" w:rsidRPr="00EB26B9" w:rsidRDefault="00FB1633"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8%</w:t>
            </w:r>
          </w:p>
        </w:tc>
        <w:tc>
          <w:tcPr>
            <w:tcW w:w="1401" w:type="dxa"/>
            <w:shd w:val="clear" w:color="auto" w:fill="auto"/>
            <w:noWrap/>
            <w:vAlign w:val="center"/>
          </w:tcPr>
          <w:p w:rsidR="00FB1633" w:rsidRPr="00EB26B9" w:rsidRDefault="00FB1633"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99,158</w:t>
            </w:r>
          </w:p>
        </w:tc>
      </w:tr>
      <w:tr w:rsidR="00FB1633" w:rsidRPr="004B7458" w:rsidTr="00575142">
        <w:trPr>
          <w:jc w:val="center"/>
        </w:trPr>
        <w:tc>
          <w:tcPr>
            <w:tcW w:w="1606" w:type="dxa"/>
            <w:vMerge/>
            <w:vAlign w:val="center"/>
          </w:tcPr>
          <w:p w:rsidR="00FB1633" w:rsidRPr="004B7458" w:rsidRDefault="00FB1633" w:rsidP="00EB26B9">
            <w:pPr>
              <w:spacing w:after="0"/>
              <w:rPr>
                <w:rFonts w:asciiTheme="minorHAnsi" w:hAnsiTheme="minorHAnsi" w:cs="Arial"/>
                <w:color w:val="000000"/>
                <w:sz w:val="20"/>
                <w:szCs w:val="20"/>
                <w:lang w:eastAsia="en-AU"/>
              </w:rPr>
            </w:pPr>
          </w:p>
        </w:tc>
        <w:tc>
          <w:tcPr>
            <w:tcW w:w="2239" w:type="dxa"/>
            <w:shd w:val="clear" w:color="auto" w:fill="auto"/>
            <w:noWrap/>
          </w:tcPr>
          <w:p w:rsidR="00FB1633" w:rsidRPr="00EB26B9" w:rsidRDefault="00FB1633"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Minahasa Utara</w:t>
            </w:r>
          </w:p>
        </w:tc>
        <w:tc>
          <w:tcPr>
            <w:tcW w:w="1401" w:type="dxa"/>
            <w:shd w:val="clear" w:color="auto" w:fill="auto"/>
            <w:noWrap/>
            <w:vAlign w:val="center"/>
          </w:tcPr>
          <w:p w:rsidR="00FB1633" w:rsidRPr="00EB26B9" w:rsidRDefault="00FB1633"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5.41</w:t>
            </w:r>
          </w:p>
        </w:tc>
        <w:tc>
          <w:tcPr>
            <w:tcW w:w="1401" w:type="dxa"/>
            <w:shd w:val="clear" w:color="auto" w:fill="auto"/>
            <w:noWrap/>
            <w:vAlign w:val="center"/>
          </w:tcPr>
          <w:p w:rsidR="00FB1633" w:rsidRPr="00EB26B9" w:rsidRDefault="00FB1633"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40%</w:t>
            </w:r>
          </w:p>
        </w:tc>
        <w:tc>
          <w:tcPr>
            <w:tcW w:w="1401" w:type="dxa"/>
            <w:shd w:val="clear" w:color="auto" w:fill="auto"/>
            <w:noWrap/>
            <w:vAlign w:val="center"/>
          </w:tcPr>
          <w:p w:rsidR="00FB1633" w:rsidRPr="00EB26B9" w:rsidRDefault="00FB1633"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69%</w:t>
            </w:r>
          </w:p>
        </w:tc>
        <w:tc>
          <w:tcPr>
            <w:tcW w:w="1401" w:type="dxa"/>
            <w:shd w:val="clear" w:color="auto" w:fill="auto"/>
            <w:noWrap/>
            <w:vAlign w:val="center"/>
          </w:tcPr>
          <w:p w:rsidR="00FB1633" w:rsidRPr="00EB26B9" w:rsidRDefault="00FB1633"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211,621</w:t>
            </w:r>
          </w:p>
        </w:tc>
      </w:tr>
      <w:tr w:rsidR="00FB1633" w:rsidRPr="004B7458" w:rsidTr="00575142">
        <w:trPr>
          <w:jc w:val="center"/>
        </w:trPr>
        <w:tc>
          <w:tcPr>
            <w:tcW w:w="1606" w:type="dxa"/>
            <w:vMerge/>
            <w:vAlign w:val="center"/>
          </w:tcPr>
          <w:p w:rsidR="00FB1633" w:rsidRPr="004B7458" w:rsidRDefault="00FB1633" w:rsidP="00EB26B9">
            <w:pPr>
              <w:spacing w:after="0"/>
              <w:rPr>
                <w:rFonts w:asciiTheme="minorHAnsi" w:hAnsiTheme="minorHAnsi" w:cs="Arial"/>
                <w:color w:val="000000"/>
                <w:sz w:val="20"/>
                <w:szCs w:val="20"/>
                <w:lang w:eastAsia="en-AU"/>
              </w:rPr>
            </w:pPr>
          </w:p>
        </w:tc>
        <w:tc>
          <w:tcPr>
            <w:tcW w:w="2239" w:type="dxa"/>
            <w:shd w:val="clear" w:color="auto" w:fill="auto"/>
            <w:noWrap/>
          </w:tcPr>
          <w:p w:rsidR="00FB1633" w:rsidRPr="00EB26B9" w:rsidRDefault="00FB1633"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Sidenreng Rappang</w:t>
            </w:r>
          </w:p>
        </w:tc>
        <w:tc>
          <w:tcPr>
            <w:tcW w:w="1401" w:type="dxa"/>
            <w:shd w:val="clear" w:color="auto" w:fill="auto"/>
            <w:noWrap/>
            <w:vAlign w:val="center"/>
          </w:tcPr>
          <w:p w:rsidR="00FB1633" w:rsidRPr="00EB26B9" w:rsidRDefault="00FB1633"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4.81</w:t>
            </w:r>
          </w:p>
        </w:tc>
        <w:tc>
          <w:tcPr>
            <w:tcW w:w="1401" w:type="dxa"/>
            <w:shd w:val="clear" w:color="auto" w:fill="auto"/>
            <w:noWrap/>
            <w:vAlign w:val="center"/>
          </w:tcPr>
          <w:p w:rsidR="00FB1633" w:rsidRPr="00EB26B9" w:rsidRDefault="00FB1633"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44%</w:t>
            </w:r>
          </w:p>
        </w:tc>
        <w:tc>
          <w:tcPr>
            <w:tcW w:w="1401" w:type="dxa"/>
            <w:shd w:val="clear" w:color="auto" w:fill="auto"/>
            <w:noWrap/>
            <w:vAlign w:val="center"/>
          </w:tcPr>
          <w:p w:rsidR="00FB1633" w:rsidRPr="00EB26B9" w:rsidRDefault="00FB1633"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8%</w:t>
            </w:r>
          </w:p>
        </w:tc>
        <w:tc>
          <w:tcPr>
            <w:tcW w:w="1401" w:type="dxa"/>
            <w:shd w:val="clear" w:color="auto" w:fill="auto"/>
            <w:noWrap/>
            <w:vAlign w:val="center"/>
          </w:tcPr>
          <w:p w:rsidR="00FB1633" w:rsidRPr="00EB26B9" w:rsidRDefault="00FB1633"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286,163</w:t>
            </w:r>
          </w:p>
        </w:tc>
      </w:tr>
      <w:tr w:rsidR="00FB1633" w:rsidRPr="004B7458" w:rsidTr="00575142">
        <w:trPr>
          <w:jc w:val="center"/>
        </w:trPr>
        <w:tc>
          <w:tcPr>
            <w:tcW w:w="1606" w:type="dxa"/>
            <w:vMerge/>
            <w:vAlign w:val="center"/>
          </w:tcPr>
          <w:p w:rsidR="00FB1633" w:rsidRPr="004B7458" w:rsidRDefault="00FB1633" w:rsidP="00EB26B9">
            <w:pPr>
              <w:spacing w:after="0"/>
              <w:rPr>
                <w:rFonts w:asciiTheme="minorHAnsi" w:hAnsiTheme="minorHAnsi" w:cs="Arial"/>
                <w:color w:val="000000"/>
                <w:sz w:val="20"/>
                <w:szCs w:val="20"/>
                <w:lang w:eastAsia="en-AU"/>
              </w:rPr>
            </w:pPr>
          </w:p>
        </w:tc>
        <w:tc>
          <w:tcPr>
            <w:tcW w:w="2239" w:type="dxa"/>
            <w:shd w:val="clear" w:color="auto" w:fill="auto"/>
            <w:noWrap/>
          </w:tcPr>
          <w:p w:rsidR="00FB1633" w:rsidRPr="00EB26B9" w:rsidRDefault="00FB1633"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Soppeng</w:t>
            </w:r>
          </w:p>
        </w:tc>
        <w:tc>
          <w:tcPr>
            <w:tcW w:w="1401" w:type="dxa"/>
            <w:shd w:val="clear" w:color="auto" w:fill="auto"/>
            <w:noWrap/>
            <w:vAlign w:val="center"/>
          </w:tcPr>
          <w:p w:rsidR="00FB1633" w:rsidRPr="00EB26B9" w:rsidRDefault="00FB1633"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6.32</w:t>
            </w:r>
          </w:p>
        </w:tc>
        <w:tc>
          <w:tcPr>
            <w:tcW w:w="1401" w:type="dxa"/>
            <w:shd w:val="clear" w:color="auto" w:fill="auto"/>
            <w:noWrap/>
            <w:vAlign w:val="center"/>
          </w:tcPr>
          <w:p w:rsidR="00FB1633" w:rsidRPr="00EB26B9" w:rsidRDefault="00FB1633"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48%</w:t>
            </w:r>
          </w:p>
        </w:tc>
        <w:tc>
          <w:tcPr>
            <w:tcW w:w="1401" w:type="dxa"/>
            <w:shd w:val="clear" w:color="auto" w:fill="auto"/>
            <w:noWrap/>
            <w:vAlign w:val="center"/>
          </w:tcPr>
          <w:p w:rsidR="00FB1633" w:rsidRPr="00EB26B9" w:rsidRDefault="00FB1633"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28%</w:t>
            </w:r>
          </w:p>
        </w:tc>
        <w:tc>
          <w:tcPr>
            <w:tcW w:w="1401" w:type="dxa"/>
            <w:shd w:val="clear" w:color="auto" w:fill="auto"/>
            <w:noWrap/>
            <w:vAlign w:val="center"/>
          </w:tcPr>
          <w:p w:rsidR="00FB1633" w:rsidRPr="00EB26B9" w:rsidRDefault="00FB1633"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307,144</w:t>
            </w:r>
          </w:p>
        </w:tc>
      </w:tr>
      <w:tr w:rsidR="00FB1633" w:rsidRPr="004B7458" w:rsidTr="00575142">
        <w:trPr>
          <w:jc w:val="center"/>
        </w:trPr>
        <w:tc>
          <w:tcPr>
            <w:tcW w:w="1606" w:type="dxa"/>
            <w:vMerge/>
            <w:vAlign w:val="center"/>
          </w:tcPr>
          <w:p w:rsidR="00FB1633" w:rsidRPr="004B7458" w:rsidRDefault="00FB1633" w:rsidP="00EB26B9">
            <w:pPr>
              <w:spacing w:after="0"/>
              <w:rPr>
                <w:rFonts w:asciiTheme="minorHAnsi" w:hAnsiTheme="minorHAnsi" w:cs="Arial"/>
                <w:color w:val="000000"/>
                <w:sz w:val="20"/>
                <w:szCs w:val="20"/>
                <w:lang w:eastAsia="en-AU"/>
              </w:rPr>
            </w:pPr>
          </w:p>
        </w:tc>
        <w:tc>
          <w:tcPr>
            <w:tcW w:w="2239" w:type="dxa"/>
            <w:shd w:val="clear" w:color="auto" w:fill="auto"/>
            <w:noWrap/>
          </w:tcPr>
          <w:p w:rsidR="00FB1633" w:rsidRPr="00EB26B9" w:rsidRDefault="00FB1633" w:rsidP="00EB26B9">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Wakatobi</w:t>
            </w:r>
          </w:p>
        </w:tc>
        <w:tc>
          <w:tcPr>
            <w:tcW w:w="1401" w:type="dxa"/>
            <w:shd w:val="clear" w:color="auto" w:fill="auto"/>
            <w:noWrap/>
            <w:vAlign w:val="center"/>
          </w:tcPr>
          <w:p w:rsidR="00FB1633" w:rsidRPr="00EB26B9" w:rsidRDefault="00FB1633"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4.96</w:t>
            </w:r>
          </w:p>
        </w:tc>
        <w:tc>
          <w:tcPr>
            <w:tcW w:w="1401" w:type="dxa"/>
            <w:shd w:val="clear" w:color="auto" w:fill="auto"/>
            <w:noWrap/>
            <w:vAlign w:val="center"/>
          </w:tcPr>
          <w:p w:rsidR="00FB1633" w:rsidRPr="00EB26B9" w:rsidRDefault="00FB1633"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33%</w:t>
            </w:r>
          </w:p>
        </w:tc>
        <w:tc>
          <w:tcPr>
            <w:tcW w:w="1401" w:type="dxa"/>
            <w:shd w:val="clear" w:color="auto" w:fill="auto"/>
            <w:noWrap/>
            <w:vAlign w:val="center"/>
          </w:tcPr>
          <w:p w:rsidR="00FB1633" w:rsidRPr="00EB26B9" w:rsidRDefault="00FB1633"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14%</w:t>
            </w:r>
          </w:p>
        </w:tc>
        <w:tc>
          <w:tcPr>
            <w:tcW w:w="1401" w:type="dxa"/>
            <w:shd w:val="clear" w:color="auto" w:fill="auto"/>
            <w:noWrap/>
            <w:vAlign w:val="center"/>
          </w:tcPr>
          <w:p w:rsidR="00FB1633" w:rsidRPr="00EB26B9" w:rsidRDefault="00FB1633" w:rsidP="00EB26B9">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142,923</w:t>
            </w:r>
          </w:p>
        </w:tc>
      </w:tr>
      <w:tr w:rsidR="00FB1633" w:rsidRPr="004B7458" w:rsidTr="00575142">
        <w:trPr>
          <w:jc w:val="center"/>
        </w:trPr>
        <w:tc>
          <w:tcPr>
            <w:tcW w:w="1606" w:type="dxa"/>
            <w:vMerge w:val="restart"/>
            <w:vAlign w:val="center"/>
          </w:tcPr>
          <w:p w:rsidR="00FB1633" w:rsidRPr="004B7458" w:rsidRDefault="00FB1633" w:rsidP="00FB1633">
            <w:pPr>
              <w:spacing w:after="0"/>
              <w:jc w:val="center"/>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Sumatera</w:t>
            </w:r>
          </w:p>
        </w:tc>
        <w:tc>
          <w:tcPr>
            <w:tcW w:w="2239" w:type="dxa"/>
            <w:shd w:val="clear" w:color="auto" w:fill="auto"/>
            <w:noWrap/>
          </w:tcPr>
          <w:p w:rsidR="00FB1633" w:rsidRPr="00EB26B9" w:rsidRDefault="00FB1633" w:rsidP="00FB1633">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Aceh Barat Daya</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4.43</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28%</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17%</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145,815</w:t>
            </w:r>
          </w:p>
        </w:tc>
      </w:tr>
      <w:tr w:rsidR="00FB1633" w:rsidRPr="004B7458" w:rsidTr="00575142">
        <w:trPr>
          <w:jc w:val="center"/>
        </w:trPr>
        <w:tc>
          <w:tcPr>
            <w:tcW w:w="1606" w:type="dxa"/>
            <w:vMerge/>
            <w:vAlign w:val="center"/>
          </w:tcPr>
          <w:p w:rsidR="00FB1633" w:rsidRPr="004B7458" w:rsidRDefault="00FB1633" w:rsidP="00FB1633">
            <w:pPr>
              <w:spacing w:after="0"/>
              <w:rPr>
                <w:rFonts w:asciiTheme="minorHAnsi" w:hAnsiTheme="minorHAnsi" w:cs="Arial"/>
                <w:color w:val="000000"/>
                <w:sz w:val="20"/>
                <w:szCs w:val="20"/>
                <w:lang w:eastAsia="en-AU"/>
              </w:rPr>
            </w:pPr>
          </w:p>
        </w:tc>
        <w:tc>
          <w:tcPr>
            <w:tcW w:w="2239" w:type="dxa"/>
            <w:shd w:val="clear" w:color="auto" w:fill="auto"/>
            <w:noWrap/>
          </w:tcPr>
          <w:p w:rsidR="00FB1633" w:rsidRPr="00EB26B9" w:rsidRDefault="00FB1633" w:rsidP="00FB1633">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Aceh Jaya</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7.87</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30%</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6%</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134,124</w:t>
            </w:r>
          </w:p>
        </w:tc>
      </w:tr>
      <w:tr w:rsidR="00FB1633" w:rsidRPr="004B7458" w:rsidTr="00575142">
        <w:trPr>
          <w:jc w:val="center"/>
        </w:trPr>
        <w:tc>
          <w:tcPr>
            <w:tcW w:w="1606" w:type="dxa"/>
            <w:vMerge/>
            <w:vAlign w:val="center"/>
          </w:tcPr>
          <w:p w:rsidR="00FB1633" w:rsidRPr="004B7458" w:rsidRDefault="00FB1633" w:rsidP="00FB1633">
            <w:pPr>
              <w:spacing w:after="0"/>
              <w:rPr>
                <w:rFonts w:asciiTheme="minorHAnsi" w:hAnsiTheme="minorHAnsi" w:cs="Arial"/>
                <w:color w:val="000000"/>
                <w:sz w:val="20"/>
                <w:szCs w:val="20"/>
                <w:lang w:eastAsia="en-AU"/>
              </w:rPr>
            </w:pPr>
          </w:p>
        </w:tc>
        <w:tc>
          <w:tcPr>
            <w:tcW w:w="2239" w:type="dxa"/>
            <w:shd w:val="clear" w:color="auto" w:fill="auto"/>
            <w:noWrap/>
          </w:tcPr>
          <w:p w:rsidR="00FB1633" w:rsidRPr="00EB26B9" w:rsidRDefault="00FB1633" w:rsidP="00FB1633">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Aceh Selatan</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3.65</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30%</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188,944</w:t>
            </w:r>
          </w:p>
        </w:tc>
      </w:tr>
      <w:tr w:rsidR="00FB1633" w:rsidRPr="004B7458" w:rsidTr="00575142">
        <w:trPr>
          <w:jc w:val="center"/>
        </w:trPr>
        <w:tc>
          <w:tcPr>
            <w:tcW w:w="1606" w:type="dxa"/>
            <w:vMerge/>
            <w:vAlign w:val="center"/>
          </w:tcPr>
          <w:p w:rsidR="00FB1633" w:rsidRPr="004B7458" w:rsidRDefault="00FB1633" w:rsidP="00FB1633">
            <w:pPr>
              <w:spacing w:after="0"/>
              <w:rPr>
                <w:rFonts w:asciiTheme="minorHAnsi" w:hAnsiTheme="minorHAnsi" w:cs="Arial"/>
                <w:color w:val="000000"/>
                <w:sz w:val="20"/>
                <w:szCs w:val="20"/>
                <w:lang w:eastAsia="en-AU"/>
              </w:rPr>
            </w:pPr>
          </w:p>
        </w:tc>
        <w:tc>
          <w:tcPr>
            <w:tcW w:w="2239" w:type="dxa"/>
            <w:shd w:val="clear" w:color="auto" w:fill="auto"/>
            <w:noWrap/>
          </w:tcPr>
          <w:p w:rsidR="00FB1633" w:rsidRPr="00EB26B9" w:rsidRDefault="00FB1633" w:rsidP="00FB1633">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Aceh Singkil</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3.30</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25%</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7%</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100,066</w:t>
            </w:r>
          </w:p>
        </w:tc>
      </w:tr>
      <w:tr w:rsidR="00FB1633" w:rsidRPr="004B7458" w:rsidTr="00575142">
        <w:trPr>
          <w:jc w:val="center"/>
        </w:trPr>
        <w:tc>
          <w:tcPr>
            <w:tcW w:w="1606" w:type="dxa"/>
            <w:vMerge/>
            <w:vAlign w:val="center"/>
          </w:tcPr>
          <w:p w:rsidR="00FB1633" w:rsidRPr="004B7458" w:rsidRDefault="00FB1633" w:rsidP="00FB1633">
            <w:pPr>
              <w:spacing w:after="0"/>
              <w:rPr>
                <w:rFonts w:asciiTheme="minorHAnsi" w:hAnsiTheme="minorHAnsi" w:cs="Arial"/>
                <w:color w:val="000000"/>
                <w:sz w:val="20"/>
                <w:szCs w:val="20"/>
                <w:lang w:eastAsia="en-AU"/>
              </w:rPr>
            </w:pPr>
          </w:p>
        </w:tc>
        <w:tc>
          <w:tcPr>
            <w:tcW w:w="2239" w:type="dxa"/>
            <w:shd w:val="clear" w:color="auto" w:fill="auto"/>
            <w:noWrap/>
          </w:tcPr>
          <w:p w:rsidR="00FB1633" w:rsidRPr="00EB26B9" w:rsidRDefault="00FB1633" w:rsidP="00FB1633">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Aceh Tenggara</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3.12</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30%</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8%</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168,960</w:t>
            </w:r>
          </w:p>
        </w:tc>
      </w:tr>
      <w:tr w:rsidR="00FB1633" w:rsidRPr="004B7458" w:rsidTr="00575142">
        <w:trPr>
          <w:jc w:val="center"/>
        </w:trPr>
        <w:tc>
          <w:tcPr>
            <w:tcW w:w="1606" w:type="dxa"/>
            <w:vMerge/>
            <w:vAlign w:val="center"/>
          </w:tcPr>
          <w:p w:rsidR="00FB1633" w:rsidRPr="004B7458" w:rsidRDefault="00FB1633" w:rsidP="00FB1633">
            <w:pPr>
              <w:spacing w:after="0"/>
              <w:rPr>
                <w:rFonts w:asciiTheme="minorHAnsi" w:hAnsiTheme="minorHAnsi" w:cs="Arial"/>
                <w:color w:val="000000"/>
                <w:sz w:val="20"/>
                <w:szCs w:val="20"/>
                <w:lang w:eastAsia="en-AU"/>
              </w:rPr>
            </w:pPr>
          </w:p>
        </w:tc>
        <w:tc>
          <w:tcPr>
            <w:tcW w:w="2239" w:type="dxa"/>
            <w:shd w:val="clear" w:color="auto" w:fill="auto"/>
            <w:noWrap/>
          </w:tcPr>
          <w:p w:rsidR="00FB1633" w:rsidRPr="00EB26B9" w:rsidRDefault="00FB1633" w:rsidP="00FB1633">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Belitung</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5.14</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27%</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11%</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168,020</w:t>
            </w:r>
          </w:p>
        </w:tc>
      </w:tr>
      <w:tr w:rsidR="00FB1633" w:rsidRPr="004B7458" w:rsidTr="00575142">
        <w:trPr>
          <w:jc w:val="center"/>
        </w:trPr>
        <w:tc>
          <w:tcPr>
            <w:tcW w:w="1606" w:type="dxa"/>
            <w:vMerge/>
            <w:vAlign w:val="center"/>
          </w:tcPr>
          <w:p w:rsidR="00FB1633" w:rsidRPr="004B7458" w:rsidRDefault="00FB1633" w:rsidP="00FB1633">
            <w:pPr>
              <w:spacing w:after="0"/>
              <w:rPr>
                <w:rFonts w:asciiTheme="minorHAnsi" w:hAnsiTheme="minorHAnsi" w:cs="Arial"/>
                <w:color w:val="000000"/>
                <w:sz w:val="20"/>
                <w:szCs w:val="20"/>
                <w:lang w:eastAsia="en-AU"/>
              </w:rPr>
            </w:pPr>
          </w:p>
        </w:tc>
        <w:tc>
          <w:tcPr>
            <w:tcW w:w="2239" w:type="dxa"/>
            <w:shd w:val="clear" w:color="auto" w:fill="auto"/>
            <w:noWrap/>
          </w:tcPr>
          <w:p w:rsidR="00FB1633" w:rsidRPr="00EB26B9" w:rsidRDefault="00FB1633" w:rsidP="00FB1633">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Bengkalis</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3.50</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13%</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-39%</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489,789</w:t>
            </w:r>
          </w:p>
        </w:tc>
      </w:tr>
      <w:tr w:rsidR="00FB1633" w:rsidRPr="004B7458" w:rsidTr="00575142">
        <w:trPr>
          <w:jc w:val="center"/>
        </w:trPr>
        <w:tc>
          <w:tcPr>
            <w:tcW w:w="1606" w:type="dxa"/>
            <w:vMerge/>
            <w:vAlign w:val="center"/>
          </w:tcPr>
          <w:p w:rsidR="00FB1633" w:rsidRPr="004B7458" w:rsidRDefault="00FB1633" w:rsidP="00FB1633">
            <w:pPr>
              <w:spacing w:after="0"/>
              <w:rPr>
                <w:rFonts w:asciiTheme="minorHAnsi" w:hAnsiTheme="minorHAnsi" w:cs="Arial"/>
                <w:color w:val="000000"/>
                <w:sz w:val="20"/>
                <w:szCs w:val="20"/>
                <w:lang w:eastAsia="en-AU"/>
              </w:rPr>
            </w:pPr>
          </w:p>
        </w:tc>
        <w:tc>
          <w:tcPr>
            <w:tcW w:w="2239" w:type="dxa"/>
            <w:shd w:val="clear" w:color="auto" w:fill="auto"/>
            <w:noWrap/>
          </w:tcPr>
          <w:p w:rsidR="00FB1633" w:rsidRPr="00EB26B9" w:rsidRDefault="00FB1633" w:rsidP="00FB1633">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Bengkulu Selatan</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5.50</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37%</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206,078</w:t>
            </w:r>
          </w:p>
        </w:tc>
      </w:tr>
      <w:tr w:rsidR="00FB1633" w:rsidRPr="004B7458" w:rsidTr="00575142">
        <w:trPr>
          <w:jc w:val="center"/>
        </w:trPr>
        <w:tc>
          <w:tcPr>
            <w:tcW w:w="1606" w:type="dxa"/>
            <w:vMerge/>
            <w:vAlign w:val="center"/>
          </w:tcPr>
          <w:p w:rsidR="00FB1633" w:rsidRPr="004B7458" w:rsidRDefault="00FB1633" w:rsidP="00FB1633">
            <w:pPr>
              <w:spacing w:after="0"/>
              <w:rPr>
                <w:rFonts w:asciiTheme="minorHAnsi" w:hAnsiTheme="minorHAnsi" w:cs="Arial"/>
                <w:color w:val="000000"/>
                <w:sz w:val="20"/>
                <w:szCs w:val="20"/>
                <w:lang w:eastAsia="en-AU"/>
              </w:rPr>
            </w:pPr>
          </w:p>
        </w:tc>
        <w:tc>
          <w:tcPr>
            <w:tcW w:w="2239" w:type="dxa"/>
            <w:shd w:val="clear" w:color="auto" w:fill="auto"/>
            <w:noWrap/>
          </w:tcPr>
          <w:p w:rsidR="00FB1633" w:rsidRPr="00EB26B9" w:rsidRDefault="00FB1633" w:rsidP="00FB1633">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 Banda Aceh</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5.99</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42%</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39%</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332,980</w:t>
            </w:r>
          </w:p>
        </w:tc>
      </w:tr>
      <w:tr w:rsidR="00FB1633" w:rsidRPr="004B7458" w:rsidTr="00575142">
        <w:trPr>
          <w:jc w:val="center"/>
        </w:trPr>
        <w:tc>
          <w:tcPr>
            <w:tcW w:w="1606" w:type="dxa"/>
            <w:vMerge/>
            <w:vAlign w:val="center"/>
          </w:tcPr>
          <w:p w:rsidR="00FB1633" w:rsidRPr="004B7458" w:rsidRDefault="00FB1633" w:rsidP="00FB1633">
            <w:pPr>
              <w:spacing w:after="0"/>
              <w:rPr>
                <w:rFonts w:asciiTheme="minorHAnsi" w:hAnsiTheme="minorHAnsi" w:cs="Arial"/>
                <w:color w:val="000000"/>
                <w:sz w:val="20"/>
                <w:szCs w:val="20"/>
                <w:lang w:eastAsia="en-AU"/>
              </w:rPr>
            </w:pPr>
          </w:p>
        </w:tc>
        <w:tc>
          <w:tcPr>
            <w:tcW w:w="2239" w:type="dxa"/>
            <w:shd w:val="clear" w:color="auto" w:fill="auto"/>
            <w:noWrap/>
          </w:tcPr>
          <w:p w:rsidR="00FB1633" w:rsidRPr="00EB26B9" w:rsidRDefault="00FB1633" w:rsidP="00FB1633">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 Bengkulu</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3.42</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42%</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5%</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265,456</w:t>
            </w:r>
          </w:p>
        </w:tc>
      </w:tr>
      <w:tr w:rsidR="00FB1633" w:rsidRPr="004B7458" w:rsidTr="00575142">
        <w:trPr>
          <w:jc w:val="center"/>
        </w:trPr>
        <w:tc>
          <w:tcPr>
            <w:tcW w:w="1606" w:type="dxa"/>
            <w:vMerge/>
            <w:vAlign w:val="center"/>
          </w:tcPr>
          <w:p w:rsidR="00FB1633" w:rsidRPr="004B7458" w:rsidRDefault="00FB1633" w:rsidP="00FB1633">
            <w:pPr>
              <w:spacing w:after="0"/>
              <w:rPr>
                <w:rFonts w:asciiTheme="minorHAnsi" w:hAnsiTheme="minorHAnsi" w:cs="Arial"/>
                <w:color w:val="000000"/>
                <w:sz w:val="20"/>
                <w:szCs w:val="20"/>
                <w:lang w:eastAsia="en-AU"/>
              </w:rPr>
            </w:pPr>
          </w:p>
        </w:tc>
        <w:tc>
          <w:tcPr>
            <w:tcW w:w="2239" w:type="dxa"/>
            <w:shd w:val="clear" w:color="auto" w:fill="auto"/>
            <w:noWrap/>
          </w:tcPr>
          <w:p w:rsidR="00FB1633" w:rsidRPr="00EB26B9" w:rsidRDefault="00FB1633" w:rsidP="00FB1633">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 Binjai</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3.41</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37%</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25%</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243,864</w:t>
            </w:r>
          </w:p>
        </w:tc>
      </w:tr>
      <w:tr w:rsidR="00FB1633" w:rsidRPr="004B7458" w:rsidTr="00575142">
        <w:trPr>
          <w:jc w:val="center"/>
        </w:trPr>
        <w:tc>
          <w:tcPr>
            <w:tcW w:w="1606" w:type="dxa"/>
            <w:vMerge/>
            <w:vAlign w:val="center"/>
          </w:tcPr>
          <w:p w:rsidR="00FB1633" w:rsidRPr="004B7458" w:rsidRDefault="00FB1633" w:rsidP="00FB1633">
            <w:pPr>
              <w:spacing w:after="0"/>
              <w:rPr>
                <w:rFonts w:asciiTheme="minorHAnsi" w:hAnsiTheme="minorHAnsi" w:cs="Arial"/>
                <w:color w:val="000000"/>
                <w:sz w:val="20"/>
                <w:szCs w:val="20"/>
                <w:lang w:eastAsia="en-AU"/>
              </w:rPr>
            </w:pPr>
          </w:p>
        </w:tc>
        <w:tc>
          <w:tcPr>
            <w:tcW w:w="2239" w:type="dxa"/>
            <w:shd w:val="clear" w:color="auto" w:fill="auto"/>
            <w:noWrap/>
          </w:tcPr>
          <w:p w:rsidR="00FB1633" w:rsidRPr="00EB26B9" w:rsidRDefault="00FB1633" w:rsidP="00FB1633">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 Dumai</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3.82</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26%</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9%</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234,915</w:t>
            </w:r>
          </w:p>
        </w:tc>
      </w:tr>
      <w:tr w:rsidR="00FB1633" w:rsidRPr="004B7458" w:rsidTr="00575142">
        <w:trPr>
          <w:jc w:val="center"/>
        </w:trPr>
        <w:tc>
          <w:tcPr>
            <w:tcW w:w="1606" w:type="dxa"/>
            <w:vMerge/>
            <w:vAlign w:val="center"/>
          </w:tcPr>
          <w:p w:rsidR="00FB1633" w:rsidRPr="004B7458" w:rsidRDefault="00FB1633" w:rsidP="00FB1633">
            <w:pPr>
              <w:spacing w:after="0"/>
              <w:rPr>
                <w:rFonts w:asciiTheme="minorHAnsi" w:hAnsiTheme="minorHAnsi" w:cs="Arial"/>
                <w:color w:val="000000"/>
                <w:sz w:val="20"/>
                <w:szCs w:val="20"/>
                <w:lang w:eastAsia="en-AU"/>
              </w:rPr>
            </w:pPr>
          </w:p>
        </w:tc>
        <w:tc>
          <w:tcPr>
            <w:tcW w:w="2239" w:type="dxa"/>
            <w:shd w:val="clear" w:color="auto" w:fill="auto"/>
            <w:noWrap/>
          </w:tcPr>
          <w:p w:rsidR="00FB1633" w:rsidRPr="00EB26B9" w:rsidRDefault="00FB1633" w:rsidP="00FB1633">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 Langsa</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3.72</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39%</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9%</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156,589</w:t>
            </w:r>
          </w:p>
        </w:tc>
      </w:tr>
      <w:tr w:rsidR="00FB1633" w:rsidRPr="004B7458" w:rsidTr="00575142">
        <w:trPr>
          <w:jc w:val="center"/>
        </w:trPr>
        <w:tc>
          <w:tcPr>
            <w:tcW w:w="1606" w:type="dxa"/>
            <w:vMerge/>
            <w:vAlign w:val="center"/>
          </w:tcPr>
          <w:p w:rsidR="00FB1633" w:rsidRPr="004B7458" w:rsidRDefault="00FB1633" w:rsidP="00FB1633">
            <w:pPr>
              <w:spacing w:after="0"/>
              <w:rPr>
                <w:rFonts w:asciiTheme="minorHAnsi" w:hAnsiTheme="minorHAnsi" w:cs="Arial"/>
                <w:color w:val="000000"/>
                <w:sz w:val="20"/>
                <w:szCs w:val="20"/>
                <w:lang w:eastAsia="en-AU"/>
              </w:rPr>
            </w:pPr>
          </w:p>
        </w:tc>
        <w:tc>
          <w:tcPr>
            <w:tcW w:w="2239" w:type="dxa"/>
            <w:shd w:val="clear" w:color="auto" w:fill="auto"/>
            <w:noWrap/>
          </w:tcPr>
          <w:p w:rsidR="00FB1633" w:rsidRPr="00EB26B9" w:rsidRDefault="00FB1633" w:rsidP="00FB1633">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 Lhokseumawe</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3.74</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30%</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15%</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171,635</w:t>
            </w:r>
          </w:p>
        </w:tc>
      </w:tr>
      <w:tr w:rsidR="00FB1633" w:rsidRPr="004B7458" w:rsidTr="00575142">
        <w:trPr>
          <w:jc w:val="center"/>
        </w:trPr>
        <w:tc>
          <w:tcPr>
            <w:tcW w:w="1606" w:type="dxa"/>
            <w:vMerge/>
            <w:vAlign w:val="center"/>
          </w:tcPr>
          <w:p w:rsidR="00FB1633" w:rsidRPr="004B7458" w:rsidRDefault="00FB1633" w:rsidP="00FB1633">
            <w:pPr>
              <w:spacing w:after="0"/>
              <w:rPr>
                <w:rFonts w:asciiTheme="minorHAnsi" w:hAnsiTheme="minorHAnsi" w:cs="Arial"/>
                <w:color w:val="000000"/>
                <w:sz w:val="20"/>
                <w:szCs w:val="20"/>
                <w:lang w:eastAsia="en-AU"/>
              </w:rPr>
            </w:pPr>
          </w:p>
        </w:tc>
        <w:tc>
          <w:tcPr>
            <w:tcW w:w="2239" w:type="dxa"/>
            <w:shd w:val="clear" w:color="auto" w:fill="auto"/>
            <w:noWrap/>
          </w:tcPr>
          <w:p w:rsidR="00FB1633" w:rsidRPr="00EB26B9" w:rsidRDefault="00FB1633" w:rsidP="00FB1633">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 Lubuk linggau</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3.45</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32%</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17%</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180,469</w:t>
            </w:r>
          </w:p>
        </w:tc>
      </w:tr>
      <w:tr w:rsidR="00FB1633" w:rsidRPr="004B7458" w:rsidTr="00575142">
        <w:trPr>
          <w:jc w:val="center"/>
        </w:trPr>
        <w:tc>
          <w:tcPr>
            <w:tcW w:w="1606" w:type="dxa"/>
            <w:vMerge/>
            <w:vAlign w:val="center"/>
          </w:tcPr>
          <w:p w:rsidR="00FB1633" w:rsidRPr="004B7458" w:rsidRDefault="00FB1633" w:rsidP="00FB1633">
            <w:pPr>
              <w:spacing w:after="0"/>
              <w:rPr>
                <w:rFonts w:asciiTheme="minorHAnsi" w:hAnsiTheme="minorHAnsi" w:cs="Arial"/>
                <w:color w:val="000000"/>
                <w:sz w:val="20"/>
                <w:szCs w:val="20"/>
                <w:lang w:eastAsia="en-AU"/>
              </w:rPr>
            </w:pPr>
          </w:p>
        </w:tc>
        <w:tc>
          <w:tcPr>
            <w:tcW w:w="2239" w:type="dxa"/>
            <w:shd w:val="clear" w:color="auto" w:fill="auto"/>
            <w:noWrap/>
          </w:tcPr>
          <w:p w:rsidR="00FB1633" w:rsidRPr="00EB26B9" w:rsidRDefault="00FB1633" w:rsidP="00FB1633">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 Medan</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2.02</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29%</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25%</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1,101,600</w:t>
            </w:r>
          </w:p>
        </w:tc>
      </w:tr>
      <w:tr w:rsidR="00FB1633" w:rsidRPr="004B7458" w:rsidTr="00575142">
        <w:trPr>
          <w:jc w:val="center"/>
        </w:trPr>
        <w:tc>
          <w:tcPr>
            <w:tcW w:w="1606" w:type="dxa"/>
            <w:vMerge/>
            <w:vAlign w:val="center"/>
          </w:tcPr>
          <w:p w:rsidR="00FB1633" w:rsidRPr="004B7458" w:rsidRDefault="00FB1633" w:rsidP="00FB1633">
            <w:pPr>
              <w:spacing w:after="0"/>
              <w:rPr>
                <w:rFonts w:asciiTheme="minorHAnsi" w:hAnsiTheme="minorHAnsi" w:cs="Arial"/>
                <w:color w:val="000000"/>
                <w:sz w:val="20"/>
                <w:szCs w:val="20"/>
                <w:lang w:eastAsia="en-AU"/>
              </w:rPr>
            </w:pPr>
          </w:p>
        </w:tc>
        <w:tc>
          <w:tcPr>
            <w:tcW w:w="2239" w:type="dxa"/>
            <w:shd w:val="clear" w:color="auto" w:fill="auto"/>
            <w:noWrap/>
          </w:tcPr>
          <w:p w:rsidR="00FB1633" w:rsidRPr="00EB26B9" w:rsidRDefault="00FB1633" w:rsidP="00FB1633">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 Metro</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4.70</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39%</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19%</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208,597</w:t>
            </w:r>
          </w:p>
        </w:tc>
      </w:tr>
      <w:tr w:rsidR="00FB1633" w:rsidRPr="004B7458" w:rsidTr="00575142">
        <w:trPr>
          <w:jc w:val="center"/>
        </w:trPr>
        <w:tc>
          <w:tcPr>
            <w:tcW w:w="1606" w:type="dxa"/>
            <w:vMerge/>
            <w:vAlign w:val="center"/>
          </w:tcPr>
          <w:p w:rsidR="00FB1633" w:rsidRPr="004B7458" w:rsidRDefault="00FB1633" w:rsidP="00FB1633">
            <w:pPr>
              <w:spacing w:after="0"/>
              <w:rPr>
                <w:rFonts w:asciiTheme="minorHAnsi" w:hAnsiTheme="minorHAnsi" w:cs="Arial"/>
                <w:color w:val="000000"/>
                <w:sz w:val="20"/>
                <w:szCs w:val="20"/>
                <w:lang w:eastAsia="en-AU"/>
              </w:rPr>
            </w:pPr>
          </w:p>
        </w:tc>
        <w:tc>
          <w:tcPr>
            <w:tcW w:w="2239" w:type="dxa"/>
            <w:shd w:val="clear" w:color="auto" w:fill="auto"/>
            <w:noWrap/>
          </w:tcPr>
          <w:p w:rsidR="00FB1633" w:rsidRPr="00EB26B9" w:rsidRDefault="00FB1633" w:rsidP="00FB1633">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 Padang</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3.52</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45%</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13%</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662,785</w:t>
            </w:r>
          </w:p>
        </w:tc>
      </w:tr>
      <w:tr w:rsidR="00FB1633" w:rsidRPr="004B7458" w:rsidTr="00575142">
        <w:trPr>
          <w:jc w:val="center"/>
        </w:trPr>
        <w:tc>
          <w:tcPr>
            <w:tcW w:w="1606" w:type="dxa"/>
            <w:vMerge/>
            <w:vAlign w:val="center"/>
          </w:tcPr>
          <w:p w:rsidR="00FB1633" w:rsidRPr="004B7458" w:rsidRDefault="00FB1633" w:rsidP="00FB1633">
            <w:pPr>
              <w:spacing w:after="0"/>
              <w:rPr>
                <w:rFonts w:asciiTheme="minorHAnsi" w:hAnsiTheme="minorHAnsi" w:cs="Arial"/>
                <w:color w:val="000000"/>
                <w:sz w:val="20"/>
                <w:szCs w:val="20"/>
                <w:lang w:eastAsia="en-AU"/>
              </w:rPr>
            </w:pPr>
          </w:p>
        </w:tc>
        <w:tc>
          <w:tcPr>
            <w:tcW w:w="2239" w:type="dxa"/>
            <w:shd w:val="clear" w:color="auto" w:fill="auto"/>
            <w:noWrap/>
          </w:tcPr>
          <w:p w:rsidR="00FB1633" w:rsidRPr="00EB26B9" w:rsidRDefault="00FB1633" w:rsidP="00FB1633">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 Palembang</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3.15</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53%</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31%</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1,058,144</w:t>
            </w:r>
          </w:p>
        </w:tc>
      </w:tr>
      <w:tr w:rsidR="00FB1633" w:rsidRPr="004B7458" w:rsidTr="00575142">
        <w:trPr>
          <w:jc w:val="center"/>
        </w:trPr>
        <w:tc>
          <w:tcPr>
            <w:tcW w:w="1606" w:type="dxa"/>
            <w:vMerge/>
            <w:vAlign w:val="center"/>
          </w:tcPr>
          <w:p w:rsidR="00FB1633" w:rsidRPr="004B7458" w:rsidRDefault="00FB1633" w:rsidP="00FB1633">
            <w:pPr>
              <w:spacing w:after="0"/>
              <w:rPr>
                <w:rFonts w:asciiTheme="minorHAnsi" w:hAnsiTheme="minorHAnsi" w:cs="Arial"/>
                <w:color w:val="000000"/>
                <w:sz w:val="20"/>
                <w:szCs w:val="20"/>
                <w:lang w:eastAsia="en-AU"/>
              </w:rPr>
            </w:pPr>
          </w:p>
        </w:tc>
        <w:tc>
          <w:tcPr>
            <w:tcW w:w="2239" w:type="dxa"/>
            <w:shd w:val="clear" w:color="auto" w:fill="auto"/>
            <w:noWrap/>
          </w:tcPr>
          <w:p w:rsidR="00FB1633" w:rsidRPr="00EB26B9" w:rsidRDefault="00FB1633" w:rsidP="00FB1633">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 PangkalPinang</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3.88</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29%</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6%</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158,443</w:t>
            </w:r>
          </w:p>
        </w:tc>
      </w:tr>
      <w:tr w:rsidR="00FB1633" w:rsidRPr="004B7458" w:rsidTr="00575142">
        <w:trPr>
          <w:jc w:val="center"/>
        </w:trPr>
        <w:tc>
          <w:tcPr>
            <w:tcW w:w="1606" w:type="dxa"/>
            <w:vMerge/>
            <w:vAlign w:val="center"/>
          </w:tcPr>
          <w:p w:rsidR="00FB1633" w:rsidRPr="004B7458" w:rsidRDefault="00FB1633" w:rsidP="00FB1633">
            <w:pPr>
              <w:spacing w:after="0"/>
              <w:rPr>
                <w:rFonts w:asciiTheme="minorHAnsi" w:hAnsiTheme="minorHAnsi" w:cs="Arial"/>
                <w:color w:val="000000"/>
                <w:sz w:val="20"/>
                <w:szCs w:val="20"/>
                <w:lang w:eastAsia="en-AU"/>
              </w:rPr>
            </w:pPr>
          </w:p>
        </w:tc>
        <w:tc>
          <w:tcPr>
            <w:tcW w:w="2239" w:type="dxa"/>
            <w:shd w:val="clear" w:color="auto" w:fill="auto"/>
            <w:noWrap/>
          </w:tcPr>
          <w:p w:rsidR="00FB1633" w:rsidRPr="00EB26B9" w:rsidRDefault="00FB1633" w:rsidP="00FB1633">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 Pariaman</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6.02</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38%</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161,027</w:t>
            </w:r>
          </w:p>
        </w:tc>
      </w:tr>
      <w:tr w:rsidR="00FB1633" w:rsidRPr="004B7458" w:rsidTr="00575142">
        <w:trPr>
          <w:jc w:val="center"/>
        </w:trPr>
        <w:tc>
          <w:tcPr>
            <w:tcW w:w="1606" w:type="dxa"/>
            <w:vMerge/>
            <w:vAlign w:val="center"/>
          </w:tcPr>
          <w:p w:rsidR="00FB1633" w:rsidRPr="004B7458" w:rsidRDefault="00FB1633" w:rsidP="00FB1633">
            <w:pPr>
              <w:spacing w:after="0"/>
              <w:rPr>
                <w:rFonts w:asciiTheme="minorHAnsi" w:hAnsiTheme="minorHAnsi" w:cs="Arial"/>
                <w:color w:val="000000"/>
                <w:sz w:val="20"/>
                <w:szCs w:val="20"/>
                <w:lang w:eastAsia="en-AU"/>
              </w:rPr>
            </w:pPr>
          </w:p>
        </w:tc>
        <w:tc>
          <w:tcPr>
            <w:tcW w:w="2239" w:type="dxa"/>
            <w:shd w:val="clear" w:color="auto" w:fill="auto"/>
            <w:noWrap/>
          </w:tcPr>
          <w:p w:rsidR="00FB1633" w:rsidRPr="00EB26B9" w:rsidRDefault="00FB1633" w:rsidP="00FB1633">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 Sabang</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15.50</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27%</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10%</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110,626</w:t>
            </w:r>
          </w:p>
        </w:tc>
      </w:tr>
      <w:tr w:rsidR="00FB1633" w:rsidRPr="004B7458" w:rsidTr="00575142">
        <w:trPr>
          <w:jc w:val="center"/>
        </w:trPr>
        <w:tc>
          <w:tcPr>
            <w:tcW w:w="1606" w:type="dxa"/>
            <w:vMerge/>
            <w:vAlign w:val="center"/>
          </w:tcPr>
          <w:p w:rsidR="00FB1633" w:rsidRPr="004B7458" w:rsidRDefault="00FB1633" w:rsidP="00FB1633">
            <w:pPr>
              <w:spacing w:after="0"/>
              <w:rPr>
                <w:rFonts w:asciiTheme="minorHAnsi" w:hAnsiTheme="minorHAnsi" w:cs="Arial"/>
                <w:color w:val="000000"/>
                <w:sz w:val="20"/>
                <w:szCs w:val="20"/>
                <w:lang w:eastAsia="en-AU"/>
              </w:rPr>
            </w:pPr>
          </w:p>
        </w:tc>
        <w:tc>
          <w:tcPr>
            <w:tcW w:w="2239" w:type="dxa"/>
            <w:shd w:val="clear" w:color="auto" w:fill="auto"/>
            <w:noWrap/>
          </w:tcPr>
          <w:p w:rsidR="00FB1633" w:rsidRPr="00EB26B9" w:rsidRDefault="00FB1633" w:rsidP="00FB1633">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 Subulussalam</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3.46</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27%</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8%</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84,088</w:t>
            </w:r>
          </w:p>
        </w:tc>
      </w:tr>
      <w:tr w:rsidR="00FB1633" w:rsidRPr="004B7458" w:rsidTr="00575142">
        <w:trPr>
          <w:jc w:val="center"/>
        </w:trPr>
        <w:tc>
          <w:tcPr>
            <w:tcW w:w="1606" w:type="dxa"/>
            <w:vMerge/>
            <w:vAlign w:val="center"/>
          </w:tcPr>
          <w:p w:rsidR="00FB1633" w:rsidRPr="004B7458" w:rsidRDefault="00FB1633" w:rsidP="00FB1633">
            <w:pPr>
              <w:spacing w:after="0"/>
              <w:rPr>
                <w:rFonts w:asciiTheme="minorHAnsi" w:hAnsiTheme="minorHAnsi" w:cs="Arial"/>
                <w:color w:val="000000"/>
                <w:sz w:val="20"/>
                <w:szCs w:val="20"/>
                <w:lang w:eastAsia="en-AU"/>
              </w:rPr>
            </w:pPr>
          </w:p>
        </w:tc>
        <w:tc>
          <w:tcPr>
            <w:tcW w:w="2239" w:type="dxa"/>
            <w:shd w:val="clear" w:color="auto" w:fill="auto"/>
            <w:noWrap/>
          </w:tcPr>
          <w:p w:rsidR="00FB1633" w:rsidRPr="00EB26B9" w:rsidRDefault="00FB1633" w:rsidP="00FB1633">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Kota Tanjung Pinang</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4.31</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24%</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10%</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184,661</w:t>
            </w:r>
          </w:p>
        </w:tc>
      </w:tr>
      <w:tr w:rsidR="00FB1633" w:rsidRPr="004B7458" w:rsidTr="00575142">
        <w:trPr>
          <w:jc w:val="center"/>
        </w:trPr>
        <w:tc>
          <w:tcPr>
            <w:tcW w:w="1606" w:type="dxa"/>
            <w:vMerge/>
            <w:vAlign w:val="center"/>
          </w:tcPr>
          <w:p w:rsidR="00FB1633" w:rsidRPr="004B7458" w:rsidRDefault="00FB1633" w:rsidP="00FB1633">
            <w:pPr>
              <w:spacing w:after="0"/>
              <w:rPr>
                <w:rFonts w:asciiTheme="minorHAnsi" w:hAnsiTheme="minorHAnsi" w:cs="Arial"/>
                <w:color w:val="000000"/>
                <w:sz w:val="20"/>
                <w:szCs w:val="20"/>
                <w:lang w:eastAsia="en-AU"/>
              </w:rPr>
            </w:pPr>
          </w:p>
        </w:tc>
        <w:tc>
          <w:tcPr>
            <w:tcW w:w="2239" w:type="dxa"/>
            <w:shd w:val="clear" w:color="auto" w:fill="auto"/>
            <w:noWrap/>
          </w:tcPr>
          <w:p w:rsidR="00FB1633" w:rsidRPr="00EB26B9" w:rsidRDefault="00FB1633" w:rsidP="00FB1633">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Lima Puluh Kota</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5.12</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48%</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5%</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374,457</w:t>
            </w:r>
          </w:p>
        </w:tc>
      </w:tr>
      <w:tr w:rsidR="00FB1633" w:rsidRPr="004B7458" w:rsidTr="00575142">
        <w:trPr>
          <w:jc w:val="center"/>
        </w:trPr>
        <w:tc>
          <w:tcPr>
            <w:tcW w:w="1606" w:type="dxa"/>
            <w:vMerge/>
            <w:vAlign w:val="center"/>
          </w:tcPr>
          <w:p w:rsidR="00FB1633" w:rsidRPr="004B7458" w:rsidRDefault="00FB1633" w:rsidP="00FB1633">
            <w:pPr>
              <w:spacing w:after="0"/>
              <w:rPr>
                <w:rFonts w:asciiTheme="minorHAnsi" w:hAnsiTheme="minorHAnsi" w:cs="Arial"/>
                <w:color w:val="000000"/>
                <w:sz w:val="20"/>
                <w:szCs w:val="20"/>
                <w:lang w:eastAsia="en-AU"/>
              </w:rPr>
            </w:pPr>
          </w:p>
        </w:tc>
        <w:tc>
          <w:tcPr>
            <w:tcW w:w="2239" w:type="dxa"/>
            <w:shd w:val="clear" w:color="auto" w:fill="auto"/>
            <w:noWrap/>
          </w:tcPr>
          <w:p w:rsidR="00FB1633" w:rsidRPr="00EB26B9" w:rsidRDefault="00FB1633" w:rsidP="00FB1633">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Nagan Raya</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6.42</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37%</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8%</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199,983</w:t>
            </w:r>
          </w:p>
        </w:tc>
      </w:tr>
      <w:tr w:rsidR="00FB1633" w:rsidRPr="004B7458" w:rsidTr="00575142">
        <w:trPr>
          <w:jc w:val="center"/>
        </w:trPr>
        <w:tc>
          <w:tcPr>
            <w:tcW w:w="1606" w:type="dxa"/>
            <w:vMerge/>
            <w:vAlign w:val="center"/>
          </w:tcPr>
          <w:p w:rsidR="00FB1633" w:rsidRPr="004B7458" w:rsidRDefault="00FB1633" w:rsidP="00FB1633">
            <w:pPr>
              <w:spacing w:after="0"/>
              <w:rPr>
                <w:rFonts w:asciiTheme="minorHAnsi" w:hAnsiTheme="minorHAnsi" w:cs="Arial"/>
                <w:color w:val="000000"/>
                <w:sz w:val="20"/>
                <w:szCs w:val="20"/>
                <w:lang w:eastAsia="en-AU"/>
              </w:rPr>
            </w:pPr>
          </w:p>
        </w:tc>
        <w:tc>
          <w:tcPr>
            <w:tcW w:w="2239" w:type="dxa"/>
            <w:shd w:val="clear" w:color="auto" w:fill="auto"/>
            <w:noWrap/>
          </w:tcPr>
          <w:p w:rsidR="00FB1633" w:rsidRPr="00EB26B9" w:rsidRDefault="00FB1633" w:rsidP="00FB1633">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Ogan Ilir</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3.34</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34%</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286,299</w:t>
            </w:r>
          </w:p>
        </w:tc>
      </w:tr>
      <w:tr w:rsidR="00FB1633" w:rsidRPr="004B7458" w:rsidTr="00575142">
        <w:trPr>
          <w:jc w:val="center"/>
        </w:trPr>
        <w:tc>
          <w:tcPr>
            <w:tcW w:w="1606" w:type="dxa"/>
            <w:vMerge/>
            <w:vAlign w:val="center"/>
          </w:tcPr>
          <w:p w:rsidR="00FB1633" w:rsidRPr="004B7458" w:rsidRDefault="00FB1633" w:rsidP="00FB1633">
            <w:pPr>
              <w:spacing w:after="0"/>
              <w:rPr>
                <w:rFonts w:asciiTheme="minorHAnsi" w:hAnsiTheme="minorHAnsi" w:cs="Arial"/>
                <w:color w:val="000000"/>
                <w:sz w:val="20"/>
                <w:szCs w:val="20"/>
                <w:lang w:eastAsia="en-AU"/>
              </w:rPr>
            </w:pPr>
          </w:p>
        </w:tc>
        <w:tc>
          <w:tcPr>
            <w:tcW w:w="2239" w:type="dxa"/>
            <w:shd w:val="clear" w:color="auto" w:fill="auto"/>
            <w:noWrap/>
          </w:tcPr>
          <w:p w:rsidR="00FB1633" w:rsidRPr="00EB26B9" w:rsidRDefault="00FB1633" w:rsidP="00FB1633">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Pesisir Selatan</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3.91</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52%</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19%</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443,278</w:t>
            </w:r>
          </w:p>
        </w:tc>
      </w:tr>
      <w:tr w:rsidR="00FB1633" w:rsidRPr="004B7458" w:rsidTr="00575142">
        <w:trPr>
          <w:jc w:val="center"/>
        </w:trPr>
        <w:tc>
          <w:tcPr>
            <w:tcW w:w="1606" w:type="dxa"/>
            <w:vMerge/>
            <w:vAlign w:val="center"/>
          </w:tcPr>
          <w:p w:rsidR="00FB1633" w:rsidRPr="004B7458" w:rsidRDefault="00FB1633" w:rsidP="00FB1633">
            <w:pPr>
              <w:spacing w:after="0"/>
              <w:rPr>
                <w:rFonts w:asciiTheme="minorHAnsi" w:hAnsiTheme="minorHAnsi" w:cs="Arial"/>
                <w:color w:val="000000"/>
                <w:sz w:val="20"/>
                <w:szCs w:val="20"/>
                <w:lang w:eastAsia="en-AU"/>
              </w:rPr>
            </w:pPr>
          </w:p>
        </w:tc>
        <w:tc>
          <w:tcPr>
            <w:tcW w:w="2239" w:type="dxa"/>
            <w:shd w:val="clear" w:color="auto" w:fill="auto"/>
            <w:noWrap/>
          </w:tcPr>
          <w:p w:rsidR="00FB1633" w:rsidRPr="00EB26B9" w:rsidRDefault="00FB1633" w:rsidP="00FB1633">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Samosir</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4.69</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38%</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167,907</w:t>
            </w:r>
          </w:p>
        </w:tc>
      </w:tr>
      <w:tr w:rsidR="00FB1633" w:rsidRPr="004B7458" w:rsidTr="00575142">
        <w:trPr>
          <w:jc w:val="center"/>
        </w:trPr>
        <w:tc>
          <w:tcPr>
            <w:tcW w:w="1606" w:type="dxa"/>
            <w:vMerge/>
            <w:vAlign w:val="center"/>
          </w:tcPr>
          <w:p w:rsidR="00FB1633" w:rsidRPr="004B7458" w:rsidRDefault="00FB1633" w:rsidP="00FB1633">
            <w:pPr>
              <w:spacing w:after="0"/>
              <w:rPr>
                <w:rFonts w:asciiTheme="minorHAnsi" w:hAnsiTheme="minorHAnsi" w:cs="Arial"/>
                <w:color w:val="000000"/>
                <w:sz w:val="20"/>
                <w:szCs w:val="20"/>
                <w:lang w:eastAsia="en-AU"/>
              </w:rPr>
            </w:pPr>
          </w:p>
        </w:tc>
        <w:tc>
          <w:tcPr>
            <w:tcW w:w="2239" w:type="dxa"/>
            <w:shd w:val="clear" w:color="auto" w:fill="auto"/>
            <w:noWrap/>
          </w:tcPr>
          <w:p w:rsidR="00FB1633" w:rsidRPr="00EB26B9" w:rsidRDefault="00FB1633" w:rsidP="00FB1633">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Sijunjung</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4.94</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38%</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238,223</w:t>
            </w:r>
          </w:p>
        </w:tc>
      </w:tr>
      <w:tr w:rsidR="00FB1633" w:rsidRPr="004B7458" w:rsidTr="00575142">
        <w:trPr>
          <w:jc w:val="center"/>
        </w:trPr>
        <w:tc>
          <w:tcPr>
            <w:tcW w:w="1606" w:type="dxa"/>
            <w:vMerge/>
            <w:vAlign w:val="center"/>
          </w:tcPr>
          <w:p w:rsidR="00FB1633" w:rsidRPr="004B7458" w:rsidRDefault="00FB1633" w:rsidP="00FB1633">
            <w:pPr>
              <w:spacing w:after="0"/>
              <w:rPr>
                <w:rFonts w:asciiTheme="minorHAnsi" w:hAnsiTheme="minorHAnsi" w:cs="Arial"/>
                <w:color w:val="000000"/>
                <w:sz w:val="20"/>
                <w:szCs w:val="20"/>
                <w:lang w:eastAsia="en-AU"/>
              </w:rPr>
            </w:pPr>
          </w:p>
        </w:tc>
        <w:tc>
          <w:tcPr>
            <w:tcW w:w="2239" w:type="dxa"/>
            <w:shd w:val="clear" w:color="auto" w:fill="auto"/>
            <w:noWrap/>
          </w:tcPr>
          <w:p w:rsidR="00FB1633" w:rsidRPr="00EB26B9" w:rsidRDefault="00FB1633" w:rsidP="00FB1633">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Simeulue</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5.41</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32%</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26%</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129,278</w:t>
            </w:r>
          </w:p>
        </w:tc>
      </w:tr>
      <w:tr w:rsidR="00FB1633" w:rsidRPr="004B7458" w:rsidTr="00575142">
        <w:trPr>
          <w:jc w:val="center"/>
        </w:trPr>
        <w:tc>
          <w:tcPr>
            <w:tcW w:w="1606" w:type="dxa"/>
            <w:vMerge/>
            <w:vAlign w:val="center"/>
          </w:tcPr>
          <w:p w:rsidR="00FB1633" w:rsidRPr="004B7458" w:rsidRDefault="00FB1633" w:rsidP="00FB1633">
            <w:pPr>
              <w:spacing w:after="0"/>
              <w:rPr>
                <w:rFonts w:asciiTheme="minorHAnsi" w:hAnsiTheme="minorHAnsi" w:cs="Arial"/>
                <w:color w:val="000000"/>
                <w:sz w:val="20"/>
                <w:szCs w:val="20"/>
                <w:lang w:eastAsia="en-AU"/>
              </w:rPr>
            </w:pPr>
          </w:p>
        </w:tc>
        <w:tc>
          <w:tcPr>
            <w:tcW w:w="2239" w:type="dxa"/>
            <w:shd w:val="clear" w:color="auto" w:fill="auto"/>
            <w:noWrap/>
          </w:tcPr>
          <w:p w:rsidR="00FB1633" w:rsidRPr="00EB26B9" w:rsidRDefault="00FB1633" w:rsidP="00FB1633">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Tanah Datar</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4.53</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48%</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11%</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342,207</w:t>
            </w:r>
          </w:p>
        </w:tc>
      </w:tr>
      <w:tr w:rsidR="00FB1633" w:rsidRPr="004B7458" w:rsidTr="00575142">
        <w:trPr>
          <w:jc w:val="center"/>
        </w:trPr>
        <w:tc>
          <w:tcPr>
            <w:tcW w:w="1606" w:type="dxa"/>
            <w:vMerge/>
            <w:vAlign w:val="center"/>
          </w:tcPr>
          <w:p w:rsidR="00FB1633" w:rsidRPr="004B7458" w:rsidRDefault="00FB1633" w:rsidP="00FB1633">
            <w:pPr>
              <w:spacing w:after="0"/>
              <w:rPr>
                <w:rFonts w:asciiTheme="minorHAnsi" w:hAnsiTheme="minorHAnsi" w:cs="Arial"/>
                <w:color w:val="000000"/>
                <w:sz w:val="20"/>
                <w:szCs w:val="20"/>
                <w:lang w:eastAsia="en-AU"/>
              </w:rPr>
            </w:pPr>
          </w:p>
        </w:tc>
        <w:tc>
          <w:tcPr>
            <w:tcW w:w="2239" w:type="dxa"/>
            <w:shd w:val="clear" w:color="auto" w:fill="auto"/>
            <w:noWrap/>
          </w:tcPr>
          <w:p w:rsidR="00FB1633" w:rsidRPr="00EB26B9" w:rsidRDefault="00FB1633" w:rsidP="00FB1633">
            <w:pPr>
              <w:spacing w:after="0"/>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Tapanuli Utara</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3.64</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45%</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0%</w:t>
            </w:r>
          </w:p>
        </w:tc>
        <w:tc>
          <w:tcPr>
            <w:tcW w:w="1401" w:type="dxa"/>
            <w:shd w:val="clear" w:color="auto" w:fill="auto"/>
            <w:noWrap/>
            <w:vAlign w:val="center"/>
          </w:tcPr>
          <w:p w:rsidR="00FB1633" w:rsidRPr="00EB26B9" w:rsidRDefault="00FB1633" w:rsidP="00FB1633">
            <w:pPr>
              <w:spacing w:after="0"/>
              <w:jc w:val="right"/>
              <w:rPr>
                <w:rFonts w:asciiTheme="minorHAnsi" w:hAnsiTheme="minorHAnsi" w:cs="Arial"/>
                <w:color w:val="000000"/>
                <w:sz w:val="20"/>
                <w:szCs w:val="20"/>
                <w:lang w:eastAsia="en-AU"/>
              </w:rPr>
            </w:pPr>
            <w:r w:rsidRPr="00EB26B9">
              <w:rPr>
                <w:rFonts w:asciiTheme="minorHAnsi" w:hAnsiTheme="minorHAnsi" w:cs="Arial"/>
                <w:color w:val="000000"/>
                <w:sz w:val="20"/>
                <w:szCs w:val="20"/>
                <w:lang w:eastAsia="en-AU"/>
              </w:rPr>
              <w:t>313,278</w:t>
            </w:r>
          </w:p>
        </w:tc>
      </w:tr>
    </w:tbl>
    <w:p w:rsidR="00575142" w:rsidRDefault="00575142"/>
    <w:tbl>
      <w:tblPr>
        <w:tblW w:w="525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1651"/>
        <w:gridCol w:w="2300"/>
        <w:gridCol w:w="1439"/>
        <w:gridCol w:w="1439"/>
        <w:gridCol w:w="1439"/>
        <w:gridCol w:w="1439"/>
      </w:tblGrid>
      <w:tr w:rsidR="006D3E11" w:rsidRPr="004B7458" w:rsidTr="006D3E11">
        <w:trPr>
          <w:tblHeader/>
          <w:jc w:val="center"/>
        </w:trPr>
        <w:tc>
          <w:tcPr>
            <w:tcW w:w="9449" w:type="dxa"/>
            <w:gridSpan w:val="6"/>
            <w:shd w:val="clear" w:color="auto" w:fill="003880"/>
            <w:vAlign w:val="center"/>
          </w:tcPr>
          <w:p w:rsidR="006D3E11" w:rsidRPr="00EB26B9" w:rsidRDefault="006D3E11" w:rsidP="006D3E11">
            <w:pPr>
              <w:spacing w:after="0"/>
              <w:jc w:val="center"/>
              <w:rPr>
                <w:rFonts w:asciiTheme="minorHAnsi" w:hAnsiTheme="minorHAnsi" w:cs="Arial"/>
                <w:color w:val="000000"/>
                <w:sz w:val="20"/>
                <w:szCs w:val="20"/>
                <w:lang w:eastAsia="en-AU"/>
              </w:rPr>
            </w:pPr>
            <w:r w:rsidRPr="00575142">
              <w:rPr>
                <w:rFonts w:asciiTheme="minorHAnsi" w:hAnsiTheme="minorHAnsi" w:cs="Arial"/>
                <w:b/>
                <w:color w:val="FFFFFF" w:themeColor="background1"/>
                <w:sz w:val="20"/>
                <w:szCs w:val="20"/>
                <w:lang w:eastAsia="en-AU"/>
              </w:rPr>
              <w:t>COMPONENT 1 AND 2 (DISTRICTS WITH BOTH) : 2012</w:t>
            </w:r>
          </w:p>
        </w:tc>
      </w:tr>
      <w:tr w:rsidR="00653874" w:rsidRPr="00653874" w:rsidTr="00653874">
        <w:trPr>
          <w:tblHeader/>
          <w:jc w:val="center"/>
        </w:trPr>
        <w:tc>
          <w:tcPr>
            <w:tcW w:w="1606" w:type="dxa"/>
            <w:shd w:val="clear" w:color="auto" w:fill="68BAD6"/>
            <w:vAlign w:val="center"/>
          </w:tcPr>
          <w:p w:rsidR="00653874" w:rsidRPr="00653874" w:rsidRDefault="00653874" w:rsidP="00653874">
            <w:pPr>
              <w:spacing w:after="0"/>
              <w:jc w:val="center"/>
              <w:rPr>
                <w:rFonts w:asciiTheme="minorHAnsi" w:hAnsiTheme="minorHAnsi" w:cs="Arial"/>
                <w:sz w:val="20"/>
                <w:szCs w:val="20"/>
                <w:lang w:eastAsia="en-AU"/>
              </w:rPr>
            </w:pPr>
            <w:r w:rsidRPr="00653874">
              <w:rPr>
                <w:rFonts w:asciiTheme="minorHAnsi" w:hAnsiTheme="minorHAnsi" w:cs="Arial"/>
                <w:b/>
                <w:sz w:val="20"/>
                <w:szCs w:val="20"/>
                <w:lang w:eastAsia="en-AU"/>
              </w:rPr>
              <w:t>Island</w:t>
            </w:r>
          </w:p>
        </w:tc>
        <w:tc>
          <w:tcPr>
            <w:tcW w:w="2239" w:type="dxa"/>
            <w:shd w:val="clear" w:color="auto" w:fill="68BAD6"/>
            <w:noWrap/>
            <w:vAlign w:val="center"/>
          </w:tcPr>
          <w:p w:rsidR="00653874" w:rsidRPr="00653874" w:rsidRDefault="00653874" w:rsidP="00653874">
            <w:pPr>
              <w:spacing w:after="0"/>
              <w:jc w:val="center"/>
              <w:rPr>
                <w:rFonts w:asciiTheme="minorHAnsi" w:hAnsiTheme="minorHAnsi" w:cs="Arial"/>
                <w:sz w:val="20"/>
                <w:szCs w:val="20"/>
                <w:lang w:eastAsia="en-AU"/>
              </w:rPr>
            </w:pPr>
            <w:r w:rsidRPr="00653874">
              <w:rPr>
                <w:rFonts w:asciiTheme="minorHAnsi" w:hAnsiTheme="minorHAnsi" w:cs="Arial"/>
                <w:b/>
                <w:sz w:val="20"/>
                <w:szCs w:val="20"/>
                <w:lang w:eastAsia="en-AU"/>
              </w:rPr>
              <w:t>District</w:t>
            </w:r>
          </w:p>
        </w:tc>
        <w:tc>
          <w:tcPr>
            <w:tcW w:w="1401" w:type="dxa"/>
            <w:shd w:val="clear" w:color="auto" w:fill="68BAD6"/>
            <w:noWrap/>
            <w:vAlign w:val="center"/>
          </w:tcPr>
          <w:p w:rsidR="00653874" w:rsidRPr="00653874" w:rsidRDefault="00653874" w:rsidP="00653874">
            <w:pPr>
              <w:spacing w:after="0"/>
              <w:jc w:val="center"/>
              <w:rPr>
                <w:rFonts w:asciiTheme="minorHAnsi" w:hAnsiTheme="minorHAnsi" w:cs="Arial"/>
                <w:b/>
                <w:sz w:val="20"/>
                <w:szCs w:val="20"/>
                <w:lang w:eastAsia="en-AU"/>
              </w:rPr>
            </w:pPr>
            <w:r w:rsidRPr="00653874">
              <w:rPr>
                <w:rFonts w:asciiTheme="minorHAnsi" w:hAnsiTheme="minorHAnsi" w:cs="Arial"/>
                <w:b/>
                <w:sz w:val="20"/>
                <w:szCs w:val="20"/>
                <w:lang w:eastAsia="en-AU"/>
              </w:rPr>
              <w:t>Education Expenditure per All Students</w:t>
            </w:r>
          </w:p>
          <w:p w:rsidR="00653874" w:rsidRPr="00653874" w:rsidRDefault="00653874" w:rsidP="00653874">
            <w:pPr>
              <w:spacing w:after="0"/>
              <w:jc w:val="center"/>
              <w:rPr>
                <w:rFonts w:asciiTheme="minorHAnsi" w:hAnsiTheme="minorHAnsi" w:cs="Arial"/>
                <w:sz w:val="20"/>
                <w:szCs w:val="20"/>
                <w:lang w:eastAsia="en-AU"/>
              </w:rPr>
            </w:pPr>
            <w:r w:rsidRPr="00653874">
              <w:rPr>
                <w:rFonts w:asciiTheme="minorHAnsi" w:hAnsiTheme="minorHAnsi" w:cs="Arial"/>
                <w:b/>
                <w:sz w:val="20"/>
                <w:szCs w:val="20"/>
                <w:lang w:eastAsia="en-AU"/>
              </w:rPr>
              <w:t>(Rp. Million)</w:t>
            </w:r>
          </w:p>
        </w:tc>
        <w:tc>
          <w:tcPr>
            <w:tcW w:w="1401" w:type="dxa"/>
            <w:shd w:val="clear" w:color="auto" w:fill="68BAD6"/>
            <w:noWrap/>
            <w:vAlign w:val="center"/>
          </w:tcPr>
          <w:p w:rsidR="00653874" w:rsidRPr="00653874" w:rsidRDefault="00653874" w:rsidP="00653874">
            <w:pPr>
              <w:spacing w:after="0"/>
              <w:jc w:val="center"/>
              <w:rPr>
                <w:rFonts w:asciiTheme="minorHAnsi" w:hAnsiTheme="minorHAnsi" w:cs="Arial"/>
                <w:sz w:val="20"/>
                <w:szCs w:val="20"/>
                <w:lang w:eastAsia="en-AU"/>
              </w:rPr>
            </w:pPr>
            <w:r w:rsidRPr="00653874">
              <w:rPr>
                <w:rFonts w:asciiTheme="minorHAnsi" w:hAnsiTheme="minorHAnsi" w:cs="Arial"/>
                <w:b/>
                <w:sz w:val="20"/>
                <w:szCs w:val="20"/>
                <w:lang w:eastAsia="en-AU"/>
              </w:rPr>
              <w:t>Education Share of</w:t>
            </w:r>
            <w:r w:rsidR="004971BD">
              <w:rPr>
                <w:rFonts w:asciiTheme="minorHAnsi" w:hAnsiTheme="minorHAnsi" w:cs="Arial"/>
                <w:b/>
                <w:sz w:val="20"/>
                <w:szCs w:val="20"/>
                <w:lang w:eastAsia="en-AU"/>
              </w:rPr>
              <w:t xml:space="preserve"> </w:t>
            </w:r>
            <w:r w:rsidRPr="00653874">
              <w:rPr>
                <w:rFonts w:asciiTheme="minorHAnsi" w:hAnsiTheme="minorHAnsi" w:cs="Arial"/>
                <w:b/>
                <w:sz w:val="20"/>
                <w:szCs w:val="20"/>
                <w:lang w:eastAsia="en-AU"/>
              </w:rPr>
              <w:t>District Budget</w:t>
            </w:r>
          </w:p>
        </w:tc>
        <w:tc>
          <w:tcPr>
            <w:tcW w:w="1401" w:type="dxa"/>
            <w:shd w:val="clear" w:color="auto" w:fill="68BAD6"/>
            <w:noWrap/>
            <w:vAlign w:val="center"/>
          </w:tcPr>
          <w:p w:rsidR="00653874" w:rsidRPr="00653874" w:rsidRDefault="00653874" w:rsidP="00653874">
            <w:pPr>
              <w:spacing w:after="0"/>
              <w:jc w:val="center"/>
              <w:rPr>
                <w:rFonts w:asciiTheme="minorHAnsi" w:hAnsiTheme="minorHAnsi" w:cs="Arial"/>
                <w:sz w:val="20"/>
                <w:szCs w:val="20"/>
                <w:lang w:eastAsia="en-AU"/>
              </w:rPr>
            </w:pPr>
            <w:r w:rsidRPr="00653874">
              <w:rPr>
                <w:rFonts w:asciiTheme="minorHAnsi" w:hAnsiTheme="minorHAnsi" w:cs="Arial"/>
                <w:b/>
                <w:sz w:val="20"/>
                <w:szCs w:val="20"/>
                <w:lang w:eastAsia="en-AU"/>
              </w:rPr>
              <w:t>Education Budget Annual Growth</w:t>
            </w:r>
          </w:p>
        </w:tc>
        <w:tc>
          <w:tcPr>
            <w:tcW w:w="1401" w:type="dxa"/>
            <w:shd w:val="clear" w:color="auto" w:fill="68BAD6"/>
            <w:noWrap/>
            <w:vAlign w:val="center"/>
          </w:tcPr>
          <w:p w:rsidR="00653874" w:rsidRPr="00653874" w:rsidRDefault="00653874" w:rsidP="00653874">
            <w:pPr>
              <w:spacing w:after="0"/>
              <w:jc w:val="center"/>
              <w:rPr>
                <w:rFonts w:asciiTheme="minorHAnsi" w:hAnsiTheme="minorHAnsi" w:cs="Arial"/>
                <w:b/>
                <w:sz w:val="20"/>
                <w:szCs w:val="20"/>
                <w:lang w:eastAsia="en-AU"/>
              </w:rPr>
            </w:pPr>
            <w:r w:rsidRPr="00653874">
              <w:rPr>
                <w:rFonts w:asciiTheme="minorHAnsi" w:hAnsiTheme="minorHAnsi" w:cs="Arial"/>
                <w:b/>
                <w:sz w:val="20"/>
                <w:szCs w:val="20"/>
                <w:lang w:eastAsia="en-AU"/>
              </w:rPr>
              <w:t>District Education Budget (APBD)</w:t>
            </w:r>
          </w:p>
          <w:p w:rsidR="00653874" w:rsidRPr="00653874" w:rsidRDefault="00653874" w:rsidP="00653874">
            <w:pPr>
              <w:spacing w:after="0"/>
              <w:jc w:val="center"/>
              <w:rPr>
                <w:rFonts w:asciiTheme="minorHAnsi" w:hAnsiTheme="minorHAnsi" w:cs="Arial"/>
                <w:sz w:val="20"/>
                <w:szCs w:val="20"/>
                <w:lang w:eastAsia="en-AU"/>
              </w:rPr>
            </w:pPr>
            <w:r w:rsidRPr="00653874">
              <w:rPr>
                <w:rFonts w:asciiTheme="minorHAnsi" w:hAnsiTheme="minorHAnsi" w:cs="Arial"/>
                <w:b/>
                <w:sz w:val="20"/>
                <w:szCs w:val="20"/>
                <w:lang w:eastAsia="en-AU"/>
              </w:rPr>
              <w:t>(Rp. Million)</w:t>
            </w:r>
          </w:p>
        </w:tc>
      </w:tr>
      <w:tr w:rsidR="00653874" w:rsidRPr="004B7458" w:rsidTr="00653874">
        <w:trPr>
          <w:jc w:val="center"/>
        </w:trPr>
        <w:tc>
          <w:tcPr>
            <w:tcW w:w="1606" w:type="dxa"/>
            <w:vMerge w:val="restart"/>
            <w:vAlign w:val="center"/>
          </w:tcPr>
          <w:p w:rsidR="00653874" w:rsidRPr="004B7458" w:rsidRDefault="00653874" w:rsidP="00653874">
            <w:pPr>
              <w:spacing w:after="0"/>
              <w:jc w:val="center"/>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Bali dan Nusa Tenggara</w:t>
            </w:r>
          </w:p>
        </w:tc>
        <w:tc>
          <w:tcPr>
            <w:tcW w:w="2239" w:type="dxa"/>
            <w:shd w:val="clear" w:color="auto" w:fill="auto"/>
            <w:noWrap/>
          </w:tcPr>
          <w:p w:rsidR="00653874" w:rsidRPr="00EB26B9" w:rsidRDefault="00653874" w:rsidP="00653874">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Alor</w:t>
            </w:r>
          </w:p>
        </w:tc>
        <w:tc>
          <w:tcPr>
            <w:tcW w:w="1401" w:type="dxa"/>
            <w:shd w:val="clear" w:color="auto" w:fill="auto"/>
            <w:noWrap/>
            <w:vAlign w:val="center"/>
          </w:tcPr>
          <w:p w:rsidR="00653874" w:rsidRPr="00EB26B9"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4.17</w:t>
            </w:r>
          </w:p>
        </w:tc>
        <w:tc>
          <w:tcPr>
            <w:tcW w:w="1401" w:type="dxa"/>
            <w:shd w:val="clear" w:color="auto" w:fill="auto"/>
            <w:noWrap/>
            <w:vAlign w:val="center"/>
          </w:tcPr>
          <w:p w:rsidR="00653874" w:rsidRPr="00EB26B9"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36%</w:t>
            </w:r>
          </w:p>
        </w:tc>
        <w:tc>
          <w:tcPr>
            <w:tcW w:w="1401" w:type="dxa"/>
            <w:shd w:val="clear" w:color="auto" w:fill="auto"/>
            <w:noWrap/>
            <w:vAlign w:val="center"/>
          </w:tcPr>
          <w:p w:rsidR="00653874" w:rsidRPr="00EB26B9"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15%</w:t>
            </w:r>
          </w:p>
        </w:tc>
        <w:tc>
          <w:tcPr>
            <w:tcW w:w="1401" w:type="dxa"/>
            <w:shd w:val="clear" w:color="auto" w:fill="auto"/>
            <w:noWrap/>
            <w:vAlign w:val="center"/>
          </w:tcPr>
          <w:p w:rsidR="00653874" w:rsidRPr="00EB26B9"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216,410</w:t>
            </w:r>
          </w:p>
        </w:tc>
      </w:tr>
      <w:tr w:rsidR="00653874" w:rsidRPr="004B7458" w:rsidTr="00575142">
        <w:trPr>
          <w:jc w:val="center"/>
        </w:trPr>
        <w:tc>
          <w:tcPr>
            <w:tcW w:w="1606" w:type="dxa"/>
            <w:vMerge/>
            <w:vAlign w:val="center"/>
          </w:tcPr>
          <w:p w:rsidR="00653874" w:rsidRPr="004B7458" w:rsidRDefault="00653874" w:rsidP="00653874">
            <w:pPr>
              <w:spacing w:after="0"/>
              <w:rPr>
                <w:rFonts w:asciiTheme="minorHAnsi" w:hAnsiTheme="minorHAnsi" w:cs="Arial"/>
                <w:color w:val="000000"/>
                <w:sz w:val="20"/>
                <w:szCs w:val="20"/>
                <w:lang w:eastAsia="en-AU"/>
              </w:rPr>
            </w:pPr>
          </w:p>
        </w:tc>
        <w:tc>
          <w:tcPr>
            <w:tcW w:w="2239" w:type="dxa"/>
            <w:shd w:val="clear" w:color="auto" w:fill="auto"/>
            <w:noWrap/>
          </w:tcPr>
          <w:p w:rsidR="00653874" w:rsidRPr="00EB26B9" w:rsidRDefault="00653874" w:rsidP="00653874">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Bima</w:t>
            </w:r>
          </w:p>
        </w:tc>
        <w:tc>
          <w:tcPr>
            <w:tcW w:w="1401" w:type="dxa"/>
            <w:shd w:val="clear" w:color="auto" w:fill="auto"/>
            <w:noWrap/>
            <w:vAlign w:val="center"/>
          </w:tcPr>
          <w:p w:rsidR="00653874" w:rsidRPr="00EB26B9"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3.22</w:t>
            </w:r>
          </w:p>
        </w:tc>
        <w:tc>
          <w:tcPr>
            <w:tcW w:w="1401" w:type="dxa"/>
            <w:shd w:val="clear" w:color="auto" w:fill="auto"/>
            <w:noWrap/>
            <w:vAlign w:val="center"/>
          </w:tcPr>
          <w:p w:rsidR="00653874" w:rsidRPr="00EB26B9"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46%</w:t>
            </w:r>
          </w:p>
        </w:tc>
        <w:tc>
          <w:tcPr>
            <w:tcW w:w="1401" w:type="dxa"/>
            <w:shd w:val="clear" w:color="auto" w:fill="auto"/>
            <w:noWrap/>
            <w:vAlign w:val="center"/>
          </w:tcPr>
          <w:p w:rsidR="00653874" w:rsidRPr="00EB26B9"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10%</w:t>
            </w:r>
          </w:p>
        </w:tc>
        <w:tc>
          <w:tcPr>
            <w:tcW w:w="1401" w:type="dxa"/>
            <w:shd w:val="clear" w:color="auto" w:fill="auto"/>
            <w:noWrap/>
            <w:vAlign w:val="center"/>
          </w:tcPr>
          <w:p w:rsidR="00653874" w:rsidRPr="00EB26B9"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402,789</w:t>
            </w:r>
          </w:p>
        </w:tc>
      </w:tr>
      <w:tr w:rsidR="00653874" w:rsidRPr="004B7458" w:rsidTr="00575142">
        <w:trPr>
          <w:jc w:val="center"/>
        </w:trPr>
        <w:tc>
          <w:tcPr>
            <w:tcW w:w="1606" w:type="dxa"/>
            <w:vMerge/>
            <w:vAlign w:val="center"/>
          </w:tcPr>
          <w:p w:rsidR="00653874" w:rsidRPr="004B7458" w:rsidRDefault="00653874" w:rsidP="00653874">
            <w:pPr>
              <w:spacing w:after="0"/>
              <w:rPr>
                <w:rFonts w:asciiTheme="minorHAnsi" w:hAnsiTheme="minorHAnsi" w:cs="Arial"/>
                <w:color w:val="000000"/>
                <w:sz w:val="20"/>
                <w:szCs w:val="20"/>
                <w:lang w:eastAsia="en-AU"/>
              </w:rPr>
            </w:pPr>
          </w:p>
        </w:tc>
        <w:tc>
          <w:tcPr>
            <w:tcW w:w="2239" w:type="dxa"/>
            <w:shd w:val="clear" w:color="auto" w:fill="auto"/>
            <w:noWrap/>
          </w:tcPr>
          <w:p w:rsidR="00653874" w:rsidRPr="00EB26B9" w:rsidRDefault="00653874" w:rsidP="00653874">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Buleleng</w:t>
            </w:r>
          </w:p>
        </w:tc>
        <w:tc>
          <w:tcPr>
            <w:tcW w:w="1401" w:type="dxa"/>
            <w:shd w:val="clear" w:color="auto" w:fill="auto"/>
            <w:noWrap/>
            <w:vAlign w:val="center"/>
          </w:tcPr>
          <w:p w:rsidR="00653874" w:rsidRPr="00EB26B9"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4.42</w:t>
            </w:r>
          </w:p>
        </w:tc>
        <w:tc>
          <w:tcPr>
            <w:tcW w:w="1401" w:type="dxa"/>
            <w:shd w:val="clear" w:color="auto" w:fill="auto"/>
            <w:noWrap/>
            <w:vAlign w:val="center"/>
          </w:tcPr>
          <w:p w:rsidR="00653874" w:rsidRPr="00EB26B9"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50%</w:t>
            </w:r>
          </w:p>
        </w:tc>
        <w:tc>
          <w:tcPr>
            <w:tcW w:w="1401" w:type="dxa"/>
            <w:shd w:val="clear" w:color="auto" w:fill="auto"/>
            <w:noWrap/>
            <w:vAlign w:val="center"/>
          </w:tcPr>
          <w:p w:rsidR="00653874" w:rsidRPr="00EB26B9"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w:t>
            </w:r>
          </w:p>
        </w:tc>
        <w:tc>
          <w:tcPr>
            <w:tcW w:w="1401" w:type="dxa"/>
            <w:shd w:val="clear" w:color="auto" w:fill="auto"/>
            <w:noWrap/>
            <w:vAlign w:val="center"/>
          </w:tcPr>
          <w:p w:rsidR="00653874" w:rsidRPr="00EB26B9"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581,071</w:t>
            </w:r>
          </w:p>
        </w:tc>
      </w:tr>
      <w:tr w:rsidR="00653874" w:rsidRPr="004B7458" w:rsidTr="00575142">
        <w:trPr>
          <w:jc w:val="center"/>
        </w:trPr>
        <w:tc>
          <w:tcPr>
            <w:tcW w:w="1606" w:type="dxa"/>
            <w:vMerge/>
            <w:vAlign w:val="center"/>
          </w:tcPr>
          <w:p w:rsidR="00653874" w:rsidRPr="004B7458" w:rsidRDefault="00653874" w:rsidP="00653874">
            <w:pPr>
              <w:spacing w:after="0"/>
              <w:rPr>
                <w:rFonts w:asciiTheme="minorHAnsi" w:hAnsiTheme="minorHAnsi" w:cs="Arial"/>
                <w:color w:val="000000"/>
                <w:sz w:val="20"/>
                <w:szCs w:val="20"/>
                <w:lang w:eastAsia="en-AU"/>
              </w:rPr>
            </w:pPr>
          </w:p>
        </w:tc>
        <w:tc>
          <w:tcPr>
            <w:tcW w:w="2239" w:type="dxa"/>
            <w:shd w:val="clear" w:color="auto" w:fill="auto"/>
            <w:noWrap/>
          </w:tcPr>
          <w:p w:rsidR="00653874" w:rsidRPr="00EB26B9" w:rsidRDefault="00653874" w:rsidP="00653874">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Ende</w:t>
            </w:r>
          </w:p>
        </w:tc>
        <w:tc>
          <w:tcPr>
            <w:tcW w:w="1401" w:type="dxa"/>
            <w:shd w:val="clear" w:color="auto" w:fill="auto"/>
            <w:noWrap/>
            <w:vAlign w:val="center"/>
          </w:tcPr>
          <w:p w:rsidR="00653874" w:rsidRPr="00EB26B9"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4.56</w:t>
            </w:r>
          </w:p>
        </w:tc>
        <w:tc>
          <w:tcPr>
            <w:tcW w:w="1401" w:type="dxa"/>
            <w:shd w:val="clear" w:color="auto" w:fill="auto"/>
            <w:noWrap/>
            <w:vAlign w:val="center"/>
          </w:tcPr>
          <w:p w:rsidR="00653874" w:rsidRPr="00EB26B9"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47%</w:t>
            </w:r>
          </w:p>
        </w:tc>
        <w:tc>
          <w:tcPr>
            <w:tcW w:w="1401" w:type="dxa"/>
            <w:shd w:val="clear" w:color="auto" w:fill="auto"/>
            <w:noWrap/>
            <w:vAlign w:val="center"/>
          </w:tcPr>
          <w:p w:rsidR="00653874" w:rsidRPr="00EB26B9"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42%</w:t>
            </w:r>
          </w:p>
        </w:tc>
        <w:tc>
          <w:tcPr>
            <w:tcW w:w="1401" w:type="dxa"/>
            <w:shd w:val="clear" w:color="auto" w:fill="auto"/>
            <w:noWrap/>
            <w:vAlign w:val="center"/>
          </w:tcPr>
          <w:p w:rsidR="00653874" w:rsidRPr="00EB26B9"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319,529</w:t>
            </w:r>
          </w:p>
        </w:tc>
      </w:tr>
      <w:tr w:rsidR="00653874" w:rsidRPr="004B7458" w:rsidTr="00575142">
        <w:trPr>
          <w:jc w:val="center"/>
        </w:trPr>
        <w:tc>
          <w:tcPr>
            <w:tcW w:w="1606" w:type="dxa"/>
            <w:vMerge/>
            <w:vAlign w:val="center"/>
          </w:tcPr>
          <w:p w:rsidR="00653874" w:rsidRPr="004B7458" w:rsidRDefault="00653874" w:rsidP="00653874">
            <w:pPr>
              <w:spacing w:after="0"/>
              <w:rPr>
                <w:rFonts w:asciiTheme="minorHAnsi" w:hAnsiTheme="minorHAnsi" w:cs="Arial"/>
                <w:color w:val="000000"/>
                <w:sz w:val="20"/>
                <w:szCs w:val="20"/>
                <w:lang w:eastAsia="en-AU"/>
              </w:rPr>
            </w:pPr>
          </w:p>
        </w:tc>
        <w:tc>
          <w:tcPr>
            <w:tcW w:w="2239" w:type="dxa"/>
            <w:shd w:val="clear" w:color="auto" w:fill="auto"/>
            <w:noWrap/>
          </w:tcPr>
          <w:p w:rsidR="00653874" w:rsidRPr="00EB26B9" w:rsidRDefault="00653874" w:rsidP="00653874">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KarangAsem</w:t>
            </w:r>
          </w:p>
        </w:tc>
        <w:tc>
          <w:tcPr>
            <w:tcW w:w="1401" w:type="dxa"/>
            <w:shd w:val="clear" w:color="auto" w:fill="auto"/>
            <w:noWrap/>
            <w:vAlign w:val="center"/>
          </w:tcPr>
          <w:p w:rsidR="00653874" w:rsidRPr="00EB26B9"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4.79</w:t>
            </w:r>
          </w:p>
        </w:tc>
        <w:tc>
          <w:tcPr>
            <w:tcW w:w="1401" w:type="dxa"/>
            <w:shd w:val="clear" w:color="auto" w:fill="auto"/>
            <w:noWrap/>
            <w:vAlign w:val="center"/>
          </w:tcPr>
          <w:p w:rsidR="00653874" w:rsidRPr="00EB26B9"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42%</w:t>
            </w:r>
          </w:p>
        </w:tc>
        <w:tc>
          <w:tcPr>
            <w:tcW w:w="1401" w:type="dxa"/>
            <w:shd w:val="clear" w:color="auto" w:fill="auto"/>
            <w:noWrap/>
            <w:vAlign w:val="center"/>
          </w:tcPr>
          <w:p w:rsidR="00653874" w:rsidRPr="00EB26B9"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w:t>
            </w:r>
          </w:p>
        </w:tc>
        <w:tc>
          <w:tcPr>
            <w:tcW w:w="1401" w:type="dxa"/>
            <w:shd w:val="clear" w:color="auto" w:fill="auto"/>
            <w:noWrap/>
            <w:vAlign w:val="center"/>
          </w:tcPr>
          <w:p w:rsidR="00653874" w:rsidRPr="00EB26B9"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411,667</w:t>
            </w:r>
          </w:p>
        </w:tc>
      </w:tr>
      <w:tr w:rsidR="00653874" w:rsidRPr="004B7458" w:rsidTr="00575142">
        <w:trPr>
          <w:jc w:val="center"/>
        </w:trPr>
        <w:tc>
          <w:tcPr>
            <w:tcW w:w="1606" w:type="dxa"/>
            <w:vMerge/>
            <w:vAlign w:val="center"/>
          </w:tcPr>
          <w:p w:rsidR="00653874" w:rsidRPr="004B7458" w:rsidRDefault="00653874" w:rsidP="00653874">
            <w:pPr>
              <w:spacing w:after="0"/>
              <w:rPr>
                <w:rFonts w:asciiTheme="minorHAnsi" w:hAnsiTheme="minorHAnsi" w:cs="Arial"/>
                <w:color w:val="000000"/>
                <w:sz w:val="20"/>
                <w:szCs w:val="20"/>
                <w:lang w:eastAsia="en-AU"/>
              </w:rPr>
            </w:pPr>
          </w:p>
        </w:tc>
        <w:tc>
          <w:tcPr>
            <w:tcW w:w="2239" w:type="dxa"/>
            <w:shd w:val="clear" w:color="auto" w:fill="auto"/>
            <w:noWrap/>
          </w:tcPr>
          <w:p w:rsidR="00653874" w:rsidRPr="00EB26B9" w:rsidRDefault="00653874" w:rsidP="00653874">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Kota Kupang</w:t>
            </w:r>
          </w:p>
        </w:tc>
        <w:tc>
          <w:tcPr>
            <w:tcW w:w="1401" w:type="dxa"/>
            <w:shd w:val="clear" w:color="auto" w:fill="auto"/>
            <w:noWrap/>
            <w:vAlign w:val="center"/>
          </w:tcPr>
          <w:p w:rsidR="00653874" w:rsidRPr="00EB26B9"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2.90</w:t>
            </w:r>
          </w:p>
        </w:tc>
        <w:tc>
          <w:tcPr>
            <w:tcW w:w="1401" w:type="dxa"/>
            <w:shd w:val="clear" w:color="auto" w:fill="auto"/>
            <w:noWrap/>
            <w:vAlign w:val="center"/>
          </w:tcPr>
          <w:p w:rsidR="00653874" w:rsidRPr="00EB26B9"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38%</w:t>
            </w:r>
          </w:p>
        </w:tc>
        <w:tc>
          <w:tcPr>
            <w:tcW w:w="1401" w:type="dxa"/>
            <w:shd w:val="clear" w:color="auto" w:fill="auto"/>
            <w:noWrap/>
            <w:vAlign w:val="center"/>
          </w:tcPr>
          <w:p w:rsidR="00653874" w:rsidRPr="00EB26B9"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7%</w:t>
            </w:r>
          </w:p>
        </w:tc>
        <w:tc>
          <w:tcPr>
            <w:tcW w:w="1401" w:type="dxa"/>
            <w:shd w:val="clear" w:color="auto" w:fill="auto"/>
            <w:noWrap/>
            <w:vAlign w:val="center"/>
          </w:tcPr>
          <w:p w:rsidR="00653874" w:rsidRPr="00EB26B9"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234,327</w:t>
            </w:r>
          </w:p>
        </w:tc>
      </w:tr>
      <w:tr w:rsidR="00653874" w:rsidRPr="004B7458" w:rsidTr="00575142">
        <w:trPr>
          <w:jc w:val="center"/>
        </w:trPr>
        <w:tc>
          <w:tcPr>
            <w:tcW w:w="1606" w:type="dxa"/>
            <w:vMerge/>
            <w:vAlign w:val="center"/>
          </w:tcPr>
          <w:p w:rsidR="00653874" w:rsidRPr="004B7458" w:rsidRDefault="00653874" w:rsidP="00653874">
            <w:pPr>
              <w:spacing w:after="0"/>
              <w:rPr>
                <w:rFonts w:asciiTheme="minorHAnsi" w:hAnsiTheme="minorHAnsi" w:cs="Arial"/>
                <w:color w:val="000000"/>
                <w:sz w:val="20"/>
                <w:szCs w:val="20"/>
                <w:lang w:eastAsia="en-AU"/>
              </w:rPr>
            </w:pPr>
          </w:p>
        </w:tc>
        <w:tc>
          <w:tcPr>
            <w:tcW w:w="2239" w:type="dxa"/>
            <w:shd w:val="clear" w:color="auto" w:fill="auto"/>
            <w:noWrap/>
          </w:tcPr>
          <w:p w:rsidR="00653874" w:rsidRPr="00EB26B9" w:rsidRDefault="00653874" w:rsidP="00653874">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Lembata</w:t>
            </w:r>
          </w:p>
        </w:tc>
        <w:tc>
          <w:tcPr>
            <w:tcW w:w="1401" w:type="dxa"/>
            <w:shd w:val="clear" w:color="auto" w:fill="auto"/>
            <w:noWrap/>
            <w:vAlign w:val="center"/>
          </w:tcPr>
          <w:p w:rsidR="00653874" w:rsidRPr="00EB26B9"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4.03</w:t>
            </w:r>
          </w:p>
        </w:tc>
        <w:tc>
          <w:tcPr>
            <w:tcW w:w="1401" w:type="dxa"/>
            <w:shd w:val="clear" w:color="auto" w:fill="auto"/>
            <w:noWrap/>
            <w:vAlign w:val="center"/>
          </w:tcPr>
          <w:p w:rsidR="00653874" w:rsidRPr="00EB26B9"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29%</w:t>
            </w:r>
          </w:p>
        </w:tc>
        <w:tc>
          <w:tcPr>
            <w:tcW w:w="1401" w:type="dxa"/>
            <w:shd w:val="clear" w:color="auto" w:fill="auto"/>
            <w:noWrap/>
            <w:vAlign w:val="center"/>
          </w:tcPr>
          <w:p w:rsidR="00653874" w:rsidRPr="00EB26B9"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w:t>
            </w:r>
          </w:p>
        </w:tc>
        <w:tc>
          <w:tcPr>
            <w:tcW w:w="1401" w:type="dxa"/>
            <w:shd w:val="clear" w:color="auto" w:fill="auto"/>
            <w:noWrap/>
            <w:vAlign w:val="center"/>
          </w:tcPr>
          <w:p w:rsidR="00653874" w:rsidRPr="00EB26B9"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122,098</w:t>
            </w:r>
          </w:p>
        </w:tc>
      </w:tr>
      <w:tr w:rsidR="00653874" w:rsidRPr="004B7458" w:rsidTr="00575142">
        <w:trPr>
          <w:jc w:val="center"/>
        </w:trPr>
        <w:tc>
          <w:tcPr>
            <w:tcW w:w="1606" w:type="dxa"/>
            <w:vMerge/>
            <w:vAlign w:val="center"/>
          </w:tcPr>
          <w:p w:rsidR="00653874" w:rsidRPr="004B7458" w:rsidRDefault="00653874" w:rsidP="00653874">
            <w:pPr>
              <w:spacing w:after="0"/>
              <w:rPr>
                <w:rFonts w:asciiTheme="minorHAnsi" w:hAnsiTheme="minorHAnsi" w:cs="Arial"/>
                <w:color w:val="000000"/>
                <w:sz w:val="20"/>
                <w:szCs w:val="20"/>
                <w:lang w:eastAsia="en-AU"/>
              </w:rPr>
            </w:pPr>
          </w:p>
        </w:tc>
        <w:tc>
          <w:tcPr>
            <w:tcW w:w="2239" w:type="dxa"/>
            <w:shd w:val="clear" w:color="auto" w:fill="auto"/>
            <w:noWrap/>
          </w:tcPr>
          <w:p w:rsidR="00653874" w:rsidRPr="00EB26B9" w:rsidRDefault="00653874" w:rsidP="00653874">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Lombok Timur</w:t>
            </w:r>
          </w:p>
        </w:tc>
        <w:tc>
          <w:tcPr>
            <w:tcW w:w="1401" w:type="dxa"/>
            <w:shd w:val="clear" w:color="auto" w:fill="auto"/>
            <w:noWrap/>
            <w:vAlign w:val="center"/>
          </w:tcPr>
          <w:p w:rsidR="00653874" w:rsidRPr="00EB26B9"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2.45</w:t>
            </w:r>
          </w:p>
        </w:tc>
        <w:tc>
          <w:tcPr>
            <w:tcW w:w="1401" w:type="dxa"/>
            <w:shd w:val="clear" w:color="auto" w:fill="auto"/>
            <w:noWrap/>
            <w:vAlign w:val="center"/>
          </w:tcPr>
          <w:p w:rsidR="00653874" w:rsidRPr="00EB26B9"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49%</w:t>
            </w:r>
          </w:p>
        </w:tc>
        <w:tc>
          <w:tcPr>
            <w:tcW w:w="1401" w:type="dxa"/>
            <w:shd w:val="clear" w:color="auto" w:fill="auto"/>
            <w:noWrap/>
            <w:vAlign w:val="center"/>
          </w:tcPr>
          <w:p w:rsidR="00653874" w:rsidRPr="00EB26B9"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13%</w:t>
            </w:r>
          </w:p>
        </w:tc>
        <w:tc>
          <w:tcPr>
            <w:tcW w:w="1401" w:type="dxa"/>
            <w:shd w:val="clear" w:color="auto" w:fill="auto"/>
            <w:noWrap/>
            <w:vAlign w:val="center"/>
          </w:tcPr>
          <w:p w:rsidR="00653874" w:rsidRPr="00EB26B9"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625,105</w:t>
            </w:r>
          </w:p>
        </w:tc>
      </w:tr>
      <w:tr w:rsidR="00653874" w:rsidRPr="004B7458" w:rsidTr="00575142">
        <w:trPr>
          <w:jc w:val="center"/>
        </w:trPr>
        <w:tc>
          <w:tcPr>
            <w:tcW w:w="1606" w:type="dxa"/>
            <w:vMerge/>
            <w:vAlign w:val="center"/>
          </w:tcPr>
          <w:p w:rsidR="00653874" w:rsidRPr="004B7458" w:rsidRDefault="00653874" w:rsidP="00653874">
            <w:pPr>
              <w:spacing w:after="0"/>
              <w:rPr>
                <w:rFonts w:asciiTheme="minorHAnsi" w:hAnsiTheme="minorHAnsi" w:cs="Arial"/>
                <w:color w:val="000000"/>
                <w:sz w:val="20"/>
                <w:szCs w:val="20"/>
                <w:lang w:eastAsia="en-AU"/>
              </w:rPr>
            </w:pPr>
          </w:p>
        </w:tc>
        <w:tc>
          <w:tcPr>
            <w:tcW w:w="2239" w:type="dxa"/>
            <w:shd w:val="clear" w:color="auto" w:fill="auto"/>
            <w:noWrap/>
          </w:tcPr>
          <w:p w:rsidR="00653874" w:rsidRPr="00EB26B9" w:rsidRDefault="00653874" w:rsidP="00653874">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Lombok Utara</w:t>
            </w:r>
          </w:p>
        </w:tc>
        <w:tc>
          <w:tcPr>
            <w:tcW w:w="1401" w:type="dxa"/>
            <w:shd w:val="clear" w:color="auto" w:fill="auto"/>
            <w:noWrap/>
            <w:vAlign w:val="center"/>
          </w:tcPr>
          <w:p w:rsidR="00653874" w:rsidRPr="00EB26B9"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2.77</w:t>
            </w:r>
          </w:p>
        </w:tc>
        <w:tc>
          <w:tcPr>
            <w:tcW w:w="1401" w:type="dxa"/>
            <w:shd w:val="clear" w:color="auto" w:fill="auto"/>
            <w:noWrap/>
            <w:vAlign w:val="center"/>
          </w:tcPr>
          <w:p w:rsidR="00653874" w:rsidRPr="00EB26B9"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26%</w:t>
            </w:r>
          </w:p>
        </w:tc>
        <w:tc>
          <w:tcPr>
            <w:tcW w:w="1401" w:type="dxa"/>
            <w:shd w:val="clear" w:color="auto" w:fill="auto"/>
            <w:noWrap/>
            <w:vAlign w:val="center"/>
          </w:tcPr>
          <w:p w:rsidR="00653874" w:rsidRPr="00EB26B9"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-8%</w:t>
            </w:r>
          </w:p>
        </w:tc>
        <w:tc>
          <w:tcPr>
            <w:tcW w:w="1401" w:type="dxa"/>
            <w:shd w:val="clear" w:color="auto" w:fill="auto"/>
            <w:noWrap/>
            <w:vAlign w:val="center"/>
          </w:tcPr>
          <w:p w:rsidR="00653874" w:rsidRPr="00EB26B9"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106,684</w:t>
            </w:r>
          </w:p>
        </w:tc>
      </w:tr>
      <w:tr w:rsidR="00653874" w:rsidRPr="004B7458" w:rsidTr="00575142">
        <w:trPr>
          <w:jc w:val="center"/>
        </w:trPr>
        <w:tc>
          <w:tcPr>
            <w:tcW w:w="1606" w:type="dxa"/>
            <w:vMerge/>
            <w:vAlign w:val="center"/>
          </w:tcPr>
          <w:p w:rsidR="00653874" w:rsidRPr="004B7458" w:rsidRDefault="00653874" w:rsidP="00653874">
            <w:pPr>
              <w:spacing w:after="0"/>
              <w:rPr>
                <w:rFonts w:asciiTheme="minorHAnsi" w:hAnsiTheme="minorHAnsi" w:cs="Arial"/>
                <w:color w:val="000000"/>
                <w:sz w:val="20"/>
                <w:szCs w:val="20"/>
                <w:lang w:eastAsia="en-AU"/>
              </w:rPr>
            </w:pPr>
          </w:p>
        </w:tc>
        <w:tc>
          <w:tcPr>
            <w:tcW w:w="2239" w:type="dxa"/>
            <w:shd w:val="clear" w:color="auto" w:fill="auto"/>
            <w:noWrap/>
          </w:tcPr>
          <w:p w:rsidR="00653874" w:rsidRPr="00EB26B9" w:rsidRDefault="00653874" w:rsidP="00653874">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Manggarai</w:t>
            </w:r>
          </w:p>
        </w:tc>
        <w:tc>
          <w:tcPr>
            <w:tcW w:w="1401" w:type="dxa"/>
            <w:shd w:val="clear" w:color="auto" w:fill="auto"/>
            <w:noWrap/>
            <w:vAlign w:val="center"/>
          </w:tcPr>
          <w:p w:rsidR="00653874" w:rsidRPr="00EB26B9"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2.54</w:t>
            </w:r>
          </w:p>
        </w:tc>
        <w:tc>
          <w:tcPr>
            <w:tcW w:w="1401" w:type="dxa"/>
            <w:shd w:val="clear" w:color="auto" w:fill="auto"/>
            <w:noWrap/>
            <w:vAlign w:val="center"/>
          </w:tcPr>
          <w:p w:rsidR="00653874" w:rsidRPr="00EB26B9"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40%</w:t>
            </w:r>
          </w:p>
        </w:tc>
        <w:tc>
          <w:tcPr>
            <w:tcW w:w="1401" w:type="dxa"/>
            <w:shd w:val="clear" w:color="auto" w:fill="auto"/>
            <w:noWrap/>
            <w:vAlign w:val="center"/>
          </w:tcPr>
          <w:p w:rsidR="00653874" w:rsidRPr="00EB26B9"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22%</w:t>
            </w:r>
          </w:p>
        </w:tc>
        <w:tc>
          <w:tcPr>
            <w:tcW w:w="1401" w:type="dxa"/>
            <w:shd w:val="clear" w:color="auto" w:fill="auto"/>
            <w:noWrap/>
            <w:vAlign w:val="center"/>
          </w:tcPr>
          <w:p w:rsidR="00653874" w:rsidRPr="00EB26B9"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225,815</w:t>
            </w:r>
          </w:p>
        </w:tc>
      </w:tr>
      <w:tr w:rsidR="00653874" w:rsidRPr="004B7458" w:rsidTr="00575142">
        <w:trPr>
          <w:jc w:val="center"/>
        </w:trPr>
        <w:tc>
          <w:tcPr>
            <w:tcW w:w="1606" w:type="dxa"/>
            <w:vMerge/>
            <w:vAlign w:val="center"/>
          </w:tcPr>
          <w:p w:rsidR="00653874" w:rsidRPr="004B7458" w:rsidRDefault="00653874" w:rsidP="00653874">
            <w:pPr>
              <w:spacing w:after="0"/>
              <w:rPr>
                <w:rFonts w:asciiTheme="minorHAnsi" w:hAnsiTheme="minorHAnsi" w:cs="Arial"/>
                <w:color w:val="000000"/>
                <w:sz w:val="20"/>
                <w:szCs w:val="20"/>
                <w:lang w:eastAsia="en-AU"/>
              </w:rPr>
            </w:pPr>
          </w:p>
        </w:tc>
        <w:tc>
          <w:tcPr>
            <w:tcW w:w="2239" w:type="dxa"/>
            <w:shd w:val="clear" w:color="auto" w:fill="auto"/>
            <w:noWrap/>
          </w:tcPr>
          <w:p w:rsidR="00653874" w:rsidRPr="00EB26B9" w:rsidRDefault="00653874" w:rsidP="00653874">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Manggarai Timur</w:t>
            </w:r>
          </w:p>
        </w:tc>
        <w:tc>
          <w:tcPr>
            <w:tcW w:w="1401" w:type="dxa"/>
            <w:shd w:val="clear" w:color="auto" w:fill="auto"/>
            <w:noWrap/>
            <w:vAlign w:val="center"/>
          </w:tcPr>
          <w:p w:rsidR="00653874" w:rsidRPr="00EB26B9"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2.34</w:t>
            </w:r>
          </w:p>
        </w:tc>
        <w:tc>
          <w:tcPr>
            <w:tcW w:w="1401" w:type="dxa"/>
            <w:shd w:val="clear" w:color="auto" w:fill="auto"/>
            <w:noWrap/>
            <w:vAlign w:val="center"/>
          </w:tcPr>
          <w:p w:rsidR="00653874" w:rsidRPr="00EB26B9"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38%</w:t>
            </w:r>
          </w:p>
        </w:tc>
        <w:tc>
          <w:tcPr>
            <w:tcW w:w="1401" w:type="dxa"/>
            <w:shd w:val="clear" w:color="auto" w:fill="auto"/>
            <w:noWrap/>
            <w:vAlign w:val="center"/>
          </w:tcPr>
          <w:p w:rsidR="00653874" w:rsidRPr="00EB26B9"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43%</w:t>
            </w:r>
          </w:p>
        </w:tc>
        <w:tc>
          <w:tcPr>
            <w:tcW w:w="1401" w:type="dxa"/>
            <w:shd w:val="clear" w:color="auto" w:fill="auto"/>
            <w:noWrap/>
            <w:vAlign w:val="center"/>
          </w:tcPr>
          <w:p w:rsidR="00653874" w:rsidRPr="00EB26B9"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191,965</w:t>
            </w:r>
          </w:p>
        </w:tc>
      </w:tr>
      <w:tr w:rsidR="00653874" w:rsidRPr="004B7458" w:rsidTr="00575142">
        <w:trPr>
          <w:jc w:val="center"/>
        </w:trPr>
        <w:tc>
          <w:tcPr>
            <w:tcW w:w="1606" w:type="dxa"/>
            <w:vMerge/>
            <w:vAlign w:val="center"/>
          </w:tcPr>
          <w:p w:rsidR="00653874" w:rsidRPr="004B7458" w:rsidRDefault="00653874" w:rsidP="00653874">
            <w:pPr>
              <w:spacing w:after="0"/>
              <w:rPr>
                <w:rFonts w:asciiTheme="minorHAnsi" w:hAnsiTheme="minorHAnsi" w:cs="Arial"/>
                <w:color w:val="000000"/>
                <w:sz w:val="20"/>
                <w:szCs w:val="20"/>
                <w:lang w:eastAsia="en-AU"/>
              </w:rPr>
            </w:pPr>
          </w:p>
        </w:tc>
        <w:tc>
          <w:tcPr>
            <w:tcW w:w="2239" w:type="dxa"/>
            <w:shd w:val="clear" w:color="auto" w:fill="auto"/>
            <w:noWrap/>
          </w:tcPr>
          <w:p w:rsidR="00653874" w:rsidRPr="00EB26B9" w:rsidRDefault="00653874" w:rsidP="00653874">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Nagekeo</w:t>
            </w:r>
          </w:p>
        </w:tc>
        <w:tc>
          <w:tcPr>
            <w:tcW w:w="1401" w:type="dxa"/>
            <w:shd w:val="clear" w:color="auto" w:fill="auto"/>
            <w:noWrap/>
            <w:vAlign w:val="center"/>
          </w:tcPr>
          <w:p w:rsidR="00653874" w:rsidRPr="00EB26B9"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4.06</w:t>
            </w:r>
          </w:p>
        </w:tc>
        <w:tc>
          <w:tcPr>
            <w:tcW w:w="1401" w:type="dxa"/>
            <w:shd w:val="clear" w:color="auto" w:fill="auto"/>
            <w:noWrap/>
            <w:vAlign w:val="center"/>
          </w:tcPr>
          <w:p w:rsidR="00653874" w:rsidRPr="00EB26B9"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35%</w:t>
            </w:r>
          </w:p>
        </w:tc>
        <w:tc>
          <w:tcPr>
            <w:tcW w:w="1401" w:type="dxa"/>
            <w:shd w:val="clear" w:color="auto" w:fill="auto"/>
            <w:noWrap/>
            <w:vAlign w:val="center"/>
          </w:tcPr>
          <w:p w:rsidR="00653874" w:rsidRPr="00EB26B9"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38%</w:t>
            </w:r>
          </w:p>
        </w:tc>
        <w:tc>
          <w:tcPr>
            <w:tcW w:w="1401" w:type="dxa"/>
            <w:shd w:val="clear" w:color="auto" w:fill="auto"/>
            <w:noWrap/>
            <w:vAlign w:val="center"/>
          </w:tcPr>
          <w:p w:rsidR="00653874" w:rsidRPr="00EB26B9"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144,312</w:t>
            </w:r>
          </w:p>
        </w:tc>
      </w:tr>
      <w:tr w:rsidR="00653874" w:rsidRPr="004B7458" w:rsidTr="00575142">
        <w:trPr>
          <w:jc w:val="center"/>
        </w:trPr>
        <w:tc>
          <w:tcPr>
            <w:tcW w:w="1606" w:type="dxa"/>
            <w:vMerge/>
            <w:vAlign w:val="center"/>
          </w:tcPr>
          <w:p w:rsidR="00653874" w:rsidRPr="004B7458" w:rsidRDefault="00653874" w:rsidP="00653874">
            <w:pPr>
              <w:spacing w:after="0"/>
              <w:rPr>
                <w:rFonts w:asciiTheme="minorHAnsi" w:hAnsiTheme="minorHAnsi" w:cs="Arial"/>
                <w:color w:val="000000"/>
                <w:sz w:val="20"/>
                <w:szCs w:val="20"/>
                <w:lang w:eastAsia="en-AU"/>
              </w:rPr>
            </w:pPr>
          </w:p>
        </w:tc>
        <w:tc>
          <w:tcPr>
            <w:tcW w:w="2239" w:type="dxa"/>
            <w:shd w:val="clear" w:color="auto" w:fill="auto"/>
            <w:noWrap/>
          </w:tcPr>
          <w:p w:rsidR="00653874" w:rsidRPr="00575142" w:rsidRDefault="00653874" w:rsidP="00653874">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Ngada</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2.94</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26%</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-11%</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109,930</w:t>
            </w:r>
          </w:p>
        </w:tc>
      </w:tr>
      <w:tr w:rsidR="00653874" w:rsidRPr="004B7458" w:rsidTr="00575142">
        <w:trPr>
          <w:jc w:val="center"/>
        </w:trPr>
        <w:tc>
          <w:tcPr>
            <w:tcW w:w="1606" w:type="dxa"/>
            <w:vMerge/>
            <w:vAlign w:val="center"/>
          </w:tcPr>
          <w:p w:rsidR="00653874" w:rsidRPr="004B7458" w:rsidRDefault="00653874" w:rsidP="00653874">
            <w:pPr>
              <w:spacing w:after="0"/>
              <w:rPr>
                <w:rFonts w:asciiTheme="minorHAnsi" w:hAnsiTheme="minorHAnsi" w:cs="Arial"/>
                <w:color w:val="000000"/>
                <w:sz w:val="20"/>
                <w:szCs w:val="20"/>
                <w:lang w:eastAsia="en-AU"/>
              </w:rPr>
            </w:pPr>
          </w:p>
        </w:tc>
        <w:tc>
          <w:tcPr>
            <w:tcW w:w="2239" w:type="dxa"/>
            <w:shd w:val="clear" w:color="auto" w:fill="auto"/>
            <w:noWrap/>
          </w:tcPr>
          <w:p w:rsidR="00653874" w:rsidRPr="00575142" w:rsidRDefault="00653874" w:rsidP="00653874">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Rote Ndao</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4.08</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32%</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124,297</w:t>
            </w:r>
          </w:p>
        </w:tc>
      </w:tr>
      <w:tr w:rsidR="00653874" w:rsidRPr="004B7458" w:rsidTr="00575142">
        <w:trPr>
          <w:jc w:val="center"/>
        </w:trPr>
        <w:tc>
          <w:tcPr>
            <w:tcW w:w="1606" w:type="dxa"/>
            <w:vMerge/>
            <w:vAlign w:val="center"/>
          </w:tcPr>
          <w:p w:rsidR="00653874" w:rsidRPr="004B7458" w:rsidRDefault="00653874" w:rsidP="00653874">
            <w:pPr>
              <w:spacing w:after="0"/>
              <w:rPr>
                <w:rFonts w:asciiTheme="minorHAnsi" w:hAnsiTheme="minorHAnsi" w:cs="Arial"/>
                <w:color w:val="000000"/>
                <w:sz w:val="20"/>
                <w:szCs w:val="20"/>
                <w:lang w:eastAsia="en-AU"/>
              </w:rPr>
            </w:pPr>
          </w:p>
        </w:tc>
        <w:tc>
          <w:tcPr>
            <w:tcW w:w="2239" w:type="dxa"/>
            <w:shd w:val="clear" w:color="auto" w:fill="auto"/>
            <w:noWrap/>
          </w:tcPr>
          <w:p w:rsidR="00653874" w:rsidRPr="00575142" w:rsidRDefault="00653874" w:rsidP="00653874">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Sikka</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2.93</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34%</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9%</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213,090</w:t>
            </w:r>
          </w:p>
        </w:tc>
      </w:tr>
      <w:tr w:rsidR="00653874" w:rsidRPr="004B7458" w:rsidTr="00575142">
        <w:trPr>
          <w:jc w:val="center"/>
        </w:trPr>
        <w:tc>
          <w:tcPr>
            <w:tcW w:w="1606" w:type="dxa"/>
            <w:vMerge/>
            <w:vAlign w:val="center"/>
          </w:tcPr>
          <w:p w:rsidR="00653874" w:rsidRPr="004B7458" w:rsidRDefault="00653874" w:rsidP="00653874">
            <w:pPr>
              <w:spacing w:after="0"/>
              <w:rPr>
                <w:rFonts w:asciiTheme="minorHAnsi" w:hAnsiTheme="minorHAnsi" w:cs="Arial"/>
                <w:color w:val="000000"/>
                <w:sz w:val="20"/>
                <w:szCs w:val="20"/>
                <w:lang w:eastAsia="en-AU"/>
              </w:rPr>
            </w:pPr>
          </w:p>
        </w:tc>
        <w:tc>
          <w:tcPr>
            <w:tcW w:w="2239" w:type="dxa"/>
            <w:shd w:val="clear" w:color="auto" w:fill="auto"/>
            <w:noWrap/>
          </w:tcPr>
          <w:p w:rsidR="00653874" w:rsidRPr="00575142" w:rsidRDefault="00653874" w:rsidP="00653874">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Sumbawa Barat</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5.59</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24%</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-5%</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144,755</w:t>
            </w:r>
          </w:p>
        </w:tc>
      </w:tr>
      <w:tr w:rsidR="00653874" w:rsidRPr="004B7458" w:rsidTr="00575142">
        <w:trPr>
          <w:jc w:val="center"/>
        </w:trPr>
        <w:tc>
          <w:tcPr>
            <w:tcW w:w="1606" w:type="dxa"/>
            <w:vMerge/>
            <w:vAlign w:val="center"/>
          </w:tcPr>
          <w:p w:rsidR="00653874" w:rsidRPr="004B7458" w:rsidRDefault="00653874" w:rsidP="00653874">
            <w:pPr>
              <w:spacing w:after="0"/>
              <w:rPr>
                <w:rFonts w:asciiTheme="minorHAnsi" w:hAnsiTheme="minorHAnsi" w:cs="Arial"/>
                <w:color w:val="000000"/>
                <w:sz w:val="20"/>
                <w:szCs w:val="20"/>
                <w:lang w:eastAsia="en-AU"/>
              </w:rPr>
            </w:pPr>
          </w:p>
        </w:tc>
        <w:tc>
          <w:tcPr>
            <w:tcW w:w="2239" w:type="dxa"/>
            <w:shd w:val="clear" w:color="auto" w:fill="auto"/>
            <w:noWrap/>
          </w:tcPr>
          <w:p w:rsidR="00653874" w:rsidRPr="00575142" w:rsidRDefault="00653874" w:rsidP="00653874">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Tabanan</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5.83</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42%</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10%</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423,184</w:t>
            </w:r>
          </w:p>
        </w:tc>
      </w:tr>
      <w:tr w:rsidR="00653874" w:rsidRPr="004B7458" w:rsidTr="00575142">
        <w:trPr>
          <w:jc w:val="center"/>
        </w:trPr>
        <w:tc>
          <w:tcPr>
            <w:tcW w:w="1606" w:type="dxa"/>
            <w:vMerge/>
            <w:vAlign w:val="center"/>
          </w:tcPr>
          <w:p w:rsidR="00653874" w:rsidRPr="004B7458" w:rsidRDefault="00653874" w:rsidP="00653874">
            <w:pPr>
              <w:spacing w:after="0"/>
              <w:rPr>
                <w:rFonts w:asciiTheme="minorHAnsi" w:hAnsiTheme="minorHAnsi" w:cs="Arial"/>
                <w:color w:val="000000"/>
                <w:sz w:val="20"/>
                <w:szCs w:val="20"/>
                <w:lang w:eastAsia="en-AU"/>
              </w:rPr>
            </w:pPr>
          </w:p>
        </w:tc>
        <w:tc>
          <w:tcPr>
            <w:tcW w:w="2239" w:type="dxa"/>
            <w:shd w:val="clear" w:color="auto" w:fill="auto"/>
            <w:noWrap/>
          </w:tcPr>
          <w:p w:rsidR="00653874" w:rsidRPr="00575142" w:rsidRDefault="00653874" w:rsidP="00653874">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Timor Tengah Selatan</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2.62</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43%</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320,882</w:t>
            </w:r>
          </w:p>
        </w:tc>
      </w:tr>
      <w:tr w:rsidR="00653874" w:rsidRPr="004B7458" w:rsidTr="00575142">
        <w:trPr>
          <w:jc w:val="center"/>
        </w:trPr>
        <w:tc>
          <w:tcPr>
            <w:tcW w:w="1606" w:type="dxa"/>
            <w:vMerge/>
            <w:vAlign w:val="center"/>
          </w:tcPr>
          <w:p w:rsidR="00653874" w:rsidRPr="004B7458" w:rsidRDefault="00653874" w:rsidP="00653874">
            <w:pPr>
              <w:spacing w:after="0"/>
              <w:rPr>
                <w:rFonts w:asciiTheme="minorHAnsi" w:hAnsiTheme="minorHAnsi" w:cs="Arial"/>
                <w:color w:val="000000"/>
                <w:sz w:val="20"/>
                <w:szCs w:val="20"/>
                <w:lang w:eastAsia="en-AU"/>
              </w:rPr>
            </w:pPr>
          </w:p>
        </w:tc>
        <w:tc>
          <w:tcPr>
            <w:tcW w:w="2239" w:type="dxa"/>
            <w:shd w:val="clear" w:color="auto" w:fill="auto"/>
            <w:noWrap/>
          </w:tcPr>
          <w:p w:rsidR="00653874" w:rsidRPr="00575142" w:rsidRDefault="00653874" w:rsidP="00653874">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Timor Tengah Utara</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2.92</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34%</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10%</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201,825</w:t>
            </w:r>
          </w:p>
        </w:tc>
      </w:tr>
      <w:tr w:rsidR="00653874" w:rsidRPr="004B7458" w:rsidTr="00653874">
        <w:trPr>
          <w:jc w:val="center"/>
        </w:trPr>
        <w:tc>
          <w:tcPr>
            <w:tcW w:w="1606" w:type="dxa"/>
            <w:vMerge w:val="restart"/>
            <w:vAlign w:val="center"/>
          </w:tcPr>
          <w:p w:rsidR="00653874" w:rsidRPr="004B7458" w:rsidRDefault="00653874" w:rsidP="00653874">
            <w:pPr>
              <w:spacing w:after="0"/>
              <w:jc w:val="center"/>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Jawa</w:t>
            </w:r>
          </w:p>
        </w:tc>
        <w:tc>
          <w:tcPr>
            <w:tcW w:w="2239" w:type="dxa"/>
            <w:shd w:val="clear" w:color="auto" w:fill="auto"/>
            <w:noWrap/>
          </w:tcPr>
          <w:p w:rsidR="00653874" w:rsidRPr="00575142" w:rsidRDefault="00653874" w:rsidP="00653874">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Blitar</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4.27</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56%</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15%</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771,255</w:t>
            </w:r>
          </w:p>
        </w:tc>
      </w:tr>
      <w:tr w:rsidR="00653874" w:rsidRPr="004B7458" w:rsidTr="00575142">
        <w:trPr>
          <w:jc w:val="center"/>
        </w:trPr>
        <w:tc>
          <w:tcPr>
            <w:tcW w:w="1606" w:type="dxa"/>
            <w:vMerge/>
            <w:vAlign w:val="center"/>
          </w:tcPr>
          <w:p w:rsidR="00653874" w:rsidRPr="004B7458" w:rsidRDefault="00653874" w:rsidP="00653874">
            <w:pPr>
              <w:spacing w:after="0"/>
              <w:rPr>
                <w:rFonts w:asciiTheme="minorHAnsi" w:hAnsiTheme="minorHAnsi" w:cs="Arial"/>
                <w:color w:val="000000"/>
                <w:sz w:val="20"/>
                <w:szCs w:val="20"/>
                <w:lang w:eastAsia="en-AU"/>
              </w:rPr>
            </w:pPr>
          </w:p>
        </w:tc>
        <w:tc>
          <w:tcPr>
            <w:tcW w:w="2239" w:type="dxa"/>
            <w:shd w:val="clear" w:color="auto" w:fill="auto"/>
            <w:noWrap/>
          </w:tcPr>
          <w:p w:rsidR="00653874" w:rsidRPr="00575142" w:rsidRDefault="00653874" w:rsidP="00653874">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Bogor</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1.11</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34%</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-12%</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1,132,804</w:t>
            </w:r>
          </w:p>
        </w:tc>
      </w:tr>
      <w:tr w:rsidR="00653874" w:rsidRPr="004B7458" w:rsidTr="00575142">
        <w:trPr>
          <w:jc w:val="center"/>
        </w:trPr>
        <w:tc>
          <w:tcPr>
            <w:tcW w:w="1606" w:type="dxa"/>
            <w:vMerge/>
            <w:vAlign w:val="center"/>
          </w:tcPr>
          <w:p w:rsidR="00653874" w:rsidRPr="004B7458" w:rsidRDefault="00653874" w:rsidP="00653874">
            <w:pPr>
              <w:spacing w:after="0"/>
              <w:rPr>
                <w:rFonts w:asciiTheme="minorHAnsi" w:hAnsiTheme="minorHAnsi" w:cs="Arial"/>
                <w:color w:val="000000"/>
                <w:sz w:val="20"/>
                <w:szCs w:val="20"/>
                <w:lang w:eastAsia="en-AU"/>
              </w:rPr>
            </w:pPr>
          </w:p>
        </w:tc>
        <w:tc>
          <w:tcPr>
            <w:tcW w:w="2239" w:type="dxa"/>
            <w:shd w:val="clear" w:color="auto" w:fill="auto"/>
            <w:noWrap/>
          </w:tcPr>
          <w:p w:rsidR="00653874" w:rsidRPr="00575142" w:rsidRDefault="00653874" w:rsidP="00653874">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Bondowoso</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3.50</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45%</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28%</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443,122</w:t>
            </w:r>
          </w:p>
        </w:tc>
      </w:tr>
      <w:tr w:rsidR="00653874" w:rsidRPr="004B7458" w:rsidTr="00575142">
        <w:trPr>
          <w:jc w:val="center"/>
        </w:trPr>
        <w:tc>
          <w:tcPr>
            <w:tcW w:w="1606" w:type="dxa"/>
            <w:vMerge/>
            <w:vAlign w:val="center"/>
          </w:tcPr>
          <w:p w:rsidR="00653874" w:rsidRPr="004B7458" w:rsidRDefault="00653874" w:rsidP="00653874">
            <w:pPr>
              <w:spacing w:after="0"/>
              <w:rPr>
                <w:rFonts w:asciiTheme="minorHAnsi" w:hAnsiTheme="minorHAnsi" w:cs="Arial"/>
                <w:color w:val="000000"/>
                <w:sz w:val="20"/>
                <w:szCs w:val="20"/>
                <w:lang w:eastAsia="en-AU"/>
              </w:rPr>
            </w:pPr>
          </w:p>
        </w:tc>
        <w:tc>
          <w:tcPr>
            <w:tcW w:w="2239" w:type="dxa"/>
            <w:shd w:val="clear" w:color="auto" w:fill="auto"/>
            <w:noWrap/>
          </w:tcPr>
          <w:p w:rsidR="00653874" w:rsidRPr="00575142" w:rsidRDefault="00653874" w:rsidP="00653874">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Brebes</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2.27</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50%</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783,166</w:t>
            </w:r>
          </w:p>
        </w:tc>
      </w:tr>
      <w:tr w:rsidR="00653874" w:rsidRPr="004B7458" w:rsidTr="00575142">
        <w:trPr>
          <w:jc w:val="center"/>
        </w:trPr>
        <w:tc>
          <w:tcPr>
            <w:tcW w:w="1606" w:type="dxa"/>
            <w:vMerge/>
            <w:vAlign w:val="center"/>
          </w:tcPr>
          <w:p w:rsidR="00653874" w:rsidRPr="004B7458" w:rsidRDefault="00653874" w:rsidP="00653874">
            <w:pPr>
              <w:spacing w:after="0"/>
              <w:rPr>
                <w:rFonts w:asciiTheme="minorHAnsi" w:hAnsiTheme="minorHAnsi" w:cs="Arial"/>
                <w:color w:val="000000"/>
                <w:sz w:val="20"/>
                <w:szCs w:val="20"/>
                <w:lang w:eastAsia="en-AU"/>
              </w:rPr>
            </w:pPr>
          </w:p>
        </w:tc>
        <w:tc>
          <w:tcPr>
            <w:tcW w:w="2239" w:type="dxa"/>
            <w:shd w:val="clear" w:color="auto" w:fill="auto"/>
            <w:noWrap/>
          </w:tcPr>
          <w:p w:rsidR="00653874" w:rsidRPr="00575142" w:rsidRDefault="00653874" w:rsidP="00653874">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Ciamis</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2.89</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58%</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845,289</w:t>
            </w:r>
          </w:p>
        </w:tc>
      </w:tr>
      <w:tr w:rsidR="00653874" w:rsidRPr="004B7458" w:rsidTr="00575142">
        <w:trPr>
          <w:jc w:val="center"/>
        </w:trPr>
        <w:tc>
          <w:tcPr>
            <w:tcW w:w="1606" w:type="dxa"/>
            <w:vMerge/>
            <w:vAlign w:val="center"/>
          </w:tcPr>
          <w:p w:rsidR="00653874" w:rsidRPr="004B7458" w:rsidRDefault="00653874" w:rsidP="00653874">
            <w:pPr>
              <w:spacing w:after="0"/>
              <w:rPr>
                <w:rFonts w:asciiTheme="minorHAnsi" w:hAnsiTheme="minorHAnsi" w:cs="Arial"/>
                <w:color w:val="000000"/>
                <w:sz w:val="20"/>
                <w:szCs w:val="20"/>
                <w:lang w:eastAsia="en-AU"/>
              </w:rPr>
            </w:pPr>
          </w:p>
        </w:tc>
        <w:tc>
          <w:tcPr>
            <w:tcW w:w="2239" w:type="dxa"/>
            <w:shd w:val="clear" w:color="auto" w:fill="auto"/>
            <w:noWrap/>
          </w:tcPr>
          <w:p w:rsidR="00653874" w:rsidRPr="00575142" w:rsidRDefault="00653874" w:rsidP="00653874">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Cirebon</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2.07</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44%</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886,234</w:t>
            </w:r>
          </w:p>
        </w:tc>
      </w:tr>
      <w:tr w:rsidR="00653874" w:rsidRPr="004B7458" w:rsidTr="00575142">
        <w:trPr>
          <w:jc w:val="center"/>
        </w:trPr>
        <w:tc>
          <w:tcPr>
            <w:tcW w:w="1606" w:type="dxa"/>
            <w:vMerge/>
            <w:vAlign w:val="center"/>
          </w:tcPr>
          <w:p w:rsidR="00653874" w:rsidRPr="004B7458" w:rsidRDefault="00653874" w:rsidP="00653874">
            <w:pPr>
              <w:spacing w:after="0"/>
              <w:rPr>
                <w:rFonts w:asciiTheme="minorHAnsi" w:hAnsiTheme="minorHAnsi" w:cs="Arial"/>
                <w:color w:val="000000"/>
                <w:sz w:val="20"/>
                <w:szCs w:val="20"/>
                <w:lang w:eastAsia="en-AU"/>
              </w:rPr>
            </w:pPr>
          </w:p>
        </w:tc>
        <w:tc>
          <w:tcPr>
            <w:tcW w:w="2239" w:type="dxa"/>
            <w:shd w:val="clear" w:color="auto" w:fill="auto"/>
            <w:noWrap/>
          </w:tcPr>
          <w:p w:rsidR="00653874" w:rsidRPr="00575142" w:rsidRDefault="00653874" w:rsidP="00653874">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Kota Malang</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2.86</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41%</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19%</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512,812</w:t>
            </w:r>
          </w:p>
        </w:tc>
      </w:tr>
      <w:tr w:rsidR="00653874" w:rsidRPr="004B7458" w:rsidTr="00575142">
        <w:trPr>
          <w:jc w:val="center"/>
        </w:trPr>
        <w:tc>
          <w:tcPr>
            <w:tcW w:w="1606" w:type="dxa"/>
            <w:vMerge/>
            <w:vAlign w:val="center"/>
          </w:tcPr>
          <w:p w:rsidR="00653874" w:rsidRPr="004B7458" w:rsidRDefault="00653874" w:rsidP="00653874">
            <w:pPr>
              <w:spacing w:after="0"/>
              <w:rPr>
                <w:rFonts w:asciiTheme="minorHAnsi" w:hAnsiTheme="minorHAnsi" w:cs="Arial"/>
                <w:color w:val="000000"/>
                <w:sz w:val="20"/>
                <w:szCs w:val="20"/>
                <w:lang w:eastAsia="en-AU"/>
              </w:rPr>
            </w:pPr>
          </w:p>
        </w:tc>
        <w:tc>
          <w:tcPr>
            <w:tcW w:w="2239" w:type="dxa"/>
            <w:shd w:val="clear" w:color="auto" w:fill="auto"/>
            <w:noWrap/>
          </w:tcPr>
          <w:p w:rsidR="00653874" w:rsidRPr="00575142" w:rsidRDefault="00653874" w:rsidP="00653874">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Nganjuk</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2.80</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45%</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549,303</w:t>
            </w:r>
          </w:p>
        </w:tc>
      </w:tr>
      <w:tr w:rsidR="00653874" w:rsidRPr="004B7458" w:rsidTr="00575142">
        <w:trPr>
          <w:jc w:val="center"/>
        </w:trPr>
        <w:tc>
          <w:tcPr>
            <w:tcW w:w="1606" w:type="dxa"/>
            <w:vMerge/>
            <w:vAlign w:val="center"/>
          </w:tcPr>
          <w:p w:rsidR="00653874" w:rsidRPr="004B7458" w:rsidRDefault="00653874" w:rsidP="00653874">
            <w:pPr>
              <w:spacing w:after="0"/>
              <w:rPr>
                <w:rFonts w:asciiTheme="minorHAnsi" w:hAnsiTheme="minorHAnsi" w:cs="Arial"/>
                <w:color w:val="000000"/>
                <w:sz w:val="20"/>
                <w:szCs w:val="20"/>
                <w:lang w:eastAsia="en-AU"/>
              </w:rPr>
            </w:pPr>
          </w:p>
        </w:tc>
        <w:tc>
          <w:tcPr>
            <w:tcW w:w="2239" w:type="dxa"/>
            <w:shd w:val="clear" w:color="auto" w:fill="auto"/>
            <w:noWrap/>
          </w:tcPr>
          <w:p w:rsidR="00653874" w:rsidRPr="00575142" w:rsidRDefault="00653874" w:rsidP="00653874">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Pacitan</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5.09</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52%</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12%</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466,943</w:t>
            </w:r>
          </w:p>
        </w:tc>
      </w:tr>
      <w:tr w:rsidR="00653874" w:rsidRPr="004B7458" w:rsidTr="00575142">
        <w:trPr>
          <w:jc w:val="center"/>
        </w:trPr>
        <w:tc>
          <w:tcPr>
            <w:tcW w:w="1606" w:type="dxa"/>
            <w:vMerge/>
            <w:vAlign w:val="center"/>
          </w:tcPr>
          <w:p w:rsidR="00653874" w:rsidRPr="004B7458" w:rsidRDefault="00653874" w:rsidP="00653874">
            <w:pPr>
              <w:spacing w:after="0"/>
              <w:rPr>
                <w:rFonts w:asciiTheme="minorHAnsi" w:hAnsiTheme="minorHAnsi" w:cs="Arial"/>
                <w:color w:val="000000"/>
                <w:sz w:val="20"/>
                <w:szCs w:val="20"/>
                <w:lang w:eastAsia="en-AU"/>
              </w:rPr>
            </w:pPr>
          </w:p>
        </w:tc>
        <w:tc>
          <w:tcPr>
            <w:tcW w:w="2239" w:type="dxa"/>
            <w:shd w:val="clear" w:color="auto" w:fill="auto"/>
            <w:noWrap/>
          </w:tcPr>
          <w:p w:rsidR="00653874" w:rsidRPr="00575142" w:rsidRDefault="00653874" w:rsidP="00653874">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Pandeglang</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2.31</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54%</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19%</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673,846</w:t>
            </w:r>
          </w:p>
        </w:tc>
      </w:tr>
      <w:tr w:rsidR="00653874" w:rsidRPr="004B7458" w:rsidTr="00575142">
        <w:trPr>
          <w:jc w:val="center"/>
        </w:trPr>
        <w:tc>
          <w:tcPr>
            <w:tcW w:w="1606" w:type="dxa"/>
            <w:vMerge/>
            <w:vAlign w:val="center"/>
          </w:tcPr>
          <w:p w:rsidR="00653874" w:rsidRPr="004B7458" w:rsidRDefault="00653874" w:rsidP="00653874">
            <w:pPr>
              <w:spacing w:after="0"/>
              <w:rPr>
                <w:rFonts w:asciiTheme="minorHAnsi" w:hAnsiTheme="minorHAnsi" w:cs="Arial"/>
                <w:color w:val="000000"/>
                <w:sz w:val="20"/>
                <w:szCs w:val="20"/>
                <w:lang w:eastAsia="en-AU"/>
              </w:rPr>
            </w:pPr>
          </w:p>
        </w:tc>
        <w:tc>
          <w:tcPr>
            <w:tcW w:w="2239" w:type="dxa"/>
            <w:shd w:val="clear" w:color="auto" w:fill="auto"/>
            <w:noWrap/>
          </w:tcPr>
          <w:p w:rsidR="00653874" w:rsidRPr="00575142" w:rsidRDefault="00653874" w:rsidP="00653874">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Sukabumi</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1.77</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48%</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10%</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897,862</w:t>
            </w:r>
          </w:p>
        </w:tc>
      </w:tr>
      <w:tr w:rsidR="00653874" w:rsidRPr="004B7458" w:rsidTr="00575142">
        <w:trPr>
          <w:jc w:val="center"/>
        </w:trPr>
        <w:tc>
          <w:tcPr>
            <w:tcW w:w="1606" w:type="dxa"/>
            <w:vMerge/>
            <w:vAlign w:val="center"/>
          </w:tcPr>
          <w:p w:rsidR="00653874" w:rsidRPr="004B7458" w:rsidRDefault="00653874" w:rsidP="00653874">
            <w:pPr>
              <w:spacing w:after="0"/>
              <w:rPr>
                <w:rFonts w:asciiTheme="minorHAnsi" w:hAnsiTheme="minorHAnsi" w:cs="Arial"/>
                <w:color w:val="000000"/>
                <w:sz w:val="20"/>
                <w:szCs w:val="20"/>
                <w:lang w:eastAsia="en-AU"/>
              </w:rPr>
            </w:pPr>
          </w:p>
        </w:tc>
        <w:tc>
          <w:tcPr>
            <w:tcW w:w="2239" w:type="dxa"/>
            <w:shd w:val="clear" w:color="auto" w:fill="auto"/>
            <w:noWrap/>
          </w:tcPr>
          <w:p w:rsidR="00653874" w:rsidRPr="00575142" w:rsidRDefault="00653874" w:rsidP="00653874">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Tasikmalaya</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2.17</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53%</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756,466</w:t>
            </w:r>
          </w:p>
        </w:tc>
      </w:tr>
      <w:tr w:rsidR="00653874" w:rsidRPr="004B7458" w:rsidTr="00575142">
        <w:trPr>
          <w:jc w:val="center"/>
        </w:trPr>
        <w:tc>
          <w:tcPr>
            <w:tcW w:w="1606" w:type="dxa"/>
            <w:vMerge/>
            <w:vAlign w:val="center"/>
          </w:tcPr>
          <w:p w:rsidR="00653874" w:rsidRPr="004B7458" w:rsidRDefault="00653874" w:rsidP="00653874">
            <w:pPr>
              <w:spacing w:after="0"/>
              <w:rPr>
                <w:rFonts w:asciiTheme="minorHAnsi" w:hAnsiTheme="minorHAnsi" w:cs="Arial"/>
                <w:color w:val="000000"/>
                <w:sz w:val="20"/>
                <w:szCs w:val="20"/>
                <w:lang w:eastAsia="en-AU"/>
              </w:rPr>
            </w:pPr>
          </w:p>
        </w:tc>
        <w:tc>
          <w:tcPr>
            <w:tcW w:w="2239" w:type="dxa"/>
            <w:shd w:val="clear" w:color="auto" w:fill="auto"/>
            <w:noWrap/>
          </w:tcPr>
          <w:p w:rsidR="00653874" w:rsidRPr="00575142" w:rsidRDefault="00653874" w:rsidP="00653874">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Wonogiri</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4.73</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57%</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12%</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761,471</w:t>
            </w:r>
          </w:p>
        </w:tc>
      </w:tr>
      <w:tr w:rsidR="00653874" w:rsidRPr="004B7458" w:rsidTr="00653874">
        <w:trPr>
          <w:jc w:val="center"/>
        </w:trPr>
        <w:tc>
          <w:tcPr>
            <w:tcW w:w="1606" w:type="dxa"/>
            <w:vMerge w:val="restart"/>
            <w:vAlign w:val="center"/>
          </w:tcPr>
          <w:p w:rsidR="00653874" w:rsidRPr="004B7458" w:rsidRDefault="00653874" w:rsidP="00653874">
            <w:pPr>
              <w:spacing w:after="0"/>
              <w:jc w:val="center"/>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Kalimantan</w:t>
            </w:r>
          </w:p>
        </w:tc>
        <w:tc>
          <w:tcPr>
            <w:tcW w:w="2239" w:type="dxa"/>
            <w:shd w:val="clear" w:color="auto" w:fill="auto"/>
            <w:noWrap/>
          </w:tcPr>
          <w:p w:rsidR="00653874" w:rsidRPr="00575142" w:rsidRDefault="00653874" w:rsidP="00653874">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Banjar</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4.35</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41%</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27%</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397,411</w:t>
            </w:r>
          </w:p>
        </w:tc>
      </w:tr>
      <w:tr w:rsidR="00653874" w:rsidRPr="004B7458" w:rsidTr="00575142">
        <w:trPr>
          <w:jc w:val="center"/>
        </w:trPr>
        <w:tc>
          <w:tcPr>
            <w:tcW w:w="1606" w:type="dxa"/>
            <w:vMerge/>
            <w:vAlign w:val="center"/>
          </w:tcPr>
          <w:p w:rsidR="00653874" w:rsidRPr="004B7458" w:rsidRDefault="00653874" w:rsidP="00653874">
            <w:pPr>
              <w:spacing w:after="0"/>
              <w:rPr>
                <w:rFonts w:asciiTheme="minorHAnsi" w:hAnsiTheme="minorHAnsi" w:cs="Arial"/>
                <w:color w:val="000000"/>
                <w:sz w:val="20"/>
                <w:szCs w:val="20"/>
                <w:lang w:eastAsia="en-AU"/>
              </w:rPr>
            </w:pPr>
          </w:p>
        </w:tc>
        <w:tc>
          <w:tcPr>
            <w:tcW w:w="2239" w:type="dxa"/>
            <w:shd w:val="clear" w:color="auto" w:fill="auto"/>
            <w:noWrap/>
          </w:tcPr>
          <w:p w:rsidR="00653874" w:rsidRPr="00575142" w:rsidRDefault="00653874" w:rsidP="00653874">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Kapuas</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4.63</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38%</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18%</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372,570</w:t>
            </w:r>
          </w:p>
        </w:tc>
      </w:tr>
      <w:tr w:rsidR="00653874" w:rsidRPr="004B7458" w:rsidTr="00575142">
        <w:trPr>
          <w:jc w:val="center"/>
        </w:trPr>
        <w:tc>
          <w:tcPr>
            <w:tcW w:w="1606" w:type="dxa"/>
            <w:vMerge/>
            <w:vAlign w:val="center"/>
          </w:tcPr>
          <w:p w:rsidR="00653874" w:rsidRPr="004B7458" w:rsidRDefault="00653874" w:rsidP="00653874">
            <w:pPr>
              <w:spacing w:after="0"/>
              <w:rPr>
                <w:rFonts w:asciiTheme="minorHAnsi" w:hAnsiTheme="minorHAnsi" w:cs="Arial"/>
                <w:color w:val="000000"/>
                <w:sz w:val="20"/>
                <w:szCs w:val="20"/>
                <w:lang w:eastAsia="en-AU"/>
              </w:rPr>
            </w:pPr>
          </w:p>
        </w:tc>
        <w:tc>
          <w:tcPr>
            <w:tcW w:w="2239" w:type="dxa"/>
            <w:shd w:val="clear" w:color="auto" w:fill="auto"/>
            <w:noWrap/>
          </w:tcPr>
          <w:p w:rsidR="00653874" w:rsidRPr="00575142" w:rsidRDefault="00653874" w:rsidP="00653874">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Katingan</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5.22</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23%</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178,431</w:t>
            </w:r>
          </w:p>
        </w:tc>
      </w:tr>
      <w:tr w:rsidR="00653874" w:rsidRPr="004B7458" w:rsidTr="00575142">
        <w:trPr>
          <w:jc w:val="center"/>
        </w:trPr>
        <w:tc>
          <w:tcPr>
            <w:tcW w:w="1606" w:type="dxa"/>
            <w:vMerge/>
            <w:vAlign w:val="center"/>
          </w:tcPr>
          <w:p w:rsidR="00653874" w:rsidRPr="004B7458" w:rsidRDefault="00653874" w:rsidP="00653874">
            <w:pPr>
              <w:spacing w:after="0"/>
              <w:rPr>
                <w:rFonts w:asciiTheme="minorHAnsi" w:hAnsiTheme="minorHAnsi" w:cs="Arial"/>
                <w:color w:val="000000"/>
                <w:sz w:val="20"/>
                <w:szCs w:val="20"/>
                <w:lang w:eastAsia="en-AU"/>
              </w:rPr>
            </w:pPr>
          </w:p>
        </w:tc>
        <w:tc>
          <w:tcPr>
            <w:tcW w:w="2239" w:type="dxa"/>
            <w:shd w:val="clear" w:color="auto" w:fill="auto"/>
            <w:noWrap/>
          </w:tcPr>
          <w:p w:rsidR="00653874" w:rsidRPr="00575142" w:rsidRDefault="00653874" w:rsidP="00653874">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Kayong Utara</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5.07</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26%</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7%</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117,324</w:t>
            </w:r>
          </w:p>
        </w:tc>
      </w:tr>
      <w:tr w:rsidR="00653874" w:rsidRPr="004B7458" w:rsidTr="00575142">
        <w:trPr>
          <w:jc w:val="center"/>
        </w:trPr>
        <w:tc>
          <w:tcPr>
            <w:tcW w:w="1606" w:type="dxa"/>
            <w:vMerge/>
            <w:vAlign w:val="center"/>
          </w:tcPr>
          <w:p w:rsidR="00653874" w:rsidRPr="004B7458" w:rsidRDefault="00653874" w:rsidP="00653874">
            <w:pPr>
              <w:spacing w:after="0"/>
              <w:rPr>
                <w:rFonts w:asciiTheme="minorHAnsi" w:hAnsiTheme="minorHAnsi" w:cs="Arial"/>
                <w:color w:val="000000"/>
                <w:sz w:val="20"/>
                <w:szCs w:val="20"/>
                <w:lang w:eastAsia="en-AU"/>
              </w:rPr>
            </w:pPr>
          </w:p>
        </w:tc>
        <w:tc>
          <w:tcPr>
            <w:tcW w:w="2239" w:type="dxa"/>
            <w:shd w:val="clear" w:color="auto" w:fill="auto"/>
            <w:noWrap/>
          </w:tcPr>
          <w:p w:rsidR="00653874" w:rsidRPr="00575142" w:rsidRDefault="00653874" w:rsidP="00653874">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Kota Singkawang</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3.77</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34%</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185,154</w:t>
            </w:r>
          </w:p>
        </w:tc>
      </w:tr>
      <w:tr w:rsidR="00653874" w:rsidRPr="004B7458" w:rsidTr="00575142">
        <w:trPr>
          <w:jc w:val="center"/>
        </w:trPr>
        <w:tc>
          <w:tcPr>
            <w:tcW w:w="1606" w:type="dxa"/>
            <w:vMerge/>
            <w:vAlign w:val="center"/>
          </w:tcPr>
          <w:p w:rsidR="00653874" w:rsidRPr="004B7458" w:rsidRDefault="00653874" w:rsidP="00653874">
            <w:pPr>
              <w:spacing w:after="0"/>
              <w:rPr>
                <w:rFonts w:asciiTheme="minorHAnsi" w:hAnsiTheme="minorHAnsi" w:cs="Arial"/>
                <w:color w:val="000000"/>
                <w:sz w:val="20"/>
                <w:szCs w:val="20"/>
                <w:lang w:eastAsia="en-AU"/>
              </w:rPr>
            </w:pPr>
          </w:p>
        </w:tc>
        <w:tc>
          <w:tcPr>
            <w:tcW w:w="2239" w:type="dxa"/>
            <w:shd w:val="clear" w:color="auto" w:fill="auto"/>
            <w:noWrap/>
          </w:tcPr>
          <w:p w:rsidR="00653874" w:rsidRPr="00575142" w:rsidRDefault="00653874" w:rsidP="00653874">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Kotawaringin Barat</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3.51</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26%</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16%</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183,317</w:t>
            </w:r>
          </w:p>
        </w:tc>
      </w:tr>
      <w:tr w:rsidR="00653874" w:rsidRPr="004B7458" w:rsidTr="00575142">
        <w:trPr>
          <w:jc w:val="center"/>
        </w:trPr>
        <w:tc>
          <w:tcPr>
            <w:tcW w:w="1606" w:type="dxa"/>
            <w:vMerge/>
            <w:vAlign w:val="center"/>
          </w:tcPr>
          <w:p w:rsidR="00653874" w:rsidRPr="004B7458" w:rsidRDefault="00653874" w:rsidP="00653874">
            <w:pPr>
              <w:spacing w:after="0"/>
              <w:rPr>
                <w:rFonts w:asciiTheme="minorHAnsi" w:hAnsiTheme="minorHAnsi" w:cs="Arial"/>
                <w:color w:val="000000"/>
                <w:sz w:val="20"/>
                <w:szCs w:val="20"/>
                <w:lang w:eastAsia="en-AU"/>
              </w:rPr>
            </w:pPr>
          </w:p>
        </w:tc>
        <w:tc>
          <w:tcPr>
            <w:tcW w:w="2239" w:type="dxa"/>
            <w:shd w:val="clear" w:color="auto" w:fill="auto"/>
            <w:noWrap/>
          </w:tcPr>
          <w:p w:rsidR="00653874" w:rsidRPr="00575142" w:rsidRDefault="00653874" w:rsidP="00653874">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Kubu Raya</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3.09</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42%</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350,530</w:t>
            </w:r>
          </w:p>
        </w:tc>
      </w:tr>
      <w:tr w:rsidR="00653874" w:rsidRPr="004B7458" w:rsidTr="00575142">
        <w:trPr>
          <w:jc w:val="center"/>
        </w:trPr>
        <w:tc>
          <w:tcPr>
            <w:tcW w:w="1606" w:type="dxa"/>
            <w:vMerge/>
            <w:vAlign w:val="center"/>
          </w:tcPr>
          <w:p w:rsidR="00653874" w:rsidRPr="004B7458" w:rsidRDefault="00653874" w:rsidP="00653874">
            <w:pPr>
              <w:spacing w:after="0"/>
              <w:rPr>
                <w:rFonts w:asciiTheme="minorHAnsi" w:hAnsiTheme="minorHAnsi" w:cs="Arial"/>
                <w:color w:val="000000"/>
                <w:sz w:val="20"/>
                <w:szCs w:val="20"/>
                <w:lang w:eastAsia="en-AU"/>
              </w:rPr>
            </w:pPr>
          </w:p>
        </w:tc>
        <w:tc>
          <w:tcPr>
            <w:tcW w:w="2239" w:type="dxa"/>
            <w:shd w:val="clear" w:color="auto" w:fill="auto"/>
            <w:noWrap/>
          </w:tcPr>
          <w:p w:rsidR="00653874" w:rsidRPr="00575142" w:rsidRDefault="00653874" w:rsidP="00653874">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Kutai Timur</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7.24</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16%</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14%</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441,151</w:t>
            </w:r>
          </w:p>
        </w:tc>
      </w:tr>
      <w:tr w:rsidR="00653874" w:rsidRPr="004B7458" w:rsidTr="00575142">
        <w:trPr>
          <w:jc w:val="center"/>
        </w:trPr>
        <w:tc>
          <w:tcPr>
            <w:tcW w:w="1606" w:type="dxa"/>
            <w:vMerge/>
            <w:vAlign w:val="center"/>
          </w:tcPr>
          <w:p w:rsidR="00653874" w:rsidRPr="004B7458" w:rsidRDefault="00653874" w:rsidP="00653874">
            <w:pPr>
              <w:spacing w:after="0"/>
              <w:rPr>
                <w:rFonts w:asciiTheme="minorHAnsi" w:hAnsiTheme="minorHAnsi" w:cs="Arial"/>
                <w:color w:val="000000"/>
                <w:sz w:val="20"/>
                <w:szCs w:val="20"/>
                <w:lang w:eastAsia="en-AU"/>
              </w:rPr>
            </w:pPr>
          </w:p>
        </w:tc>
        <w:tc>
          <w:tcPr>
            <w:tcW w:w="2239" w:type="dxa"/>
            <w:shd w:val="clear" w:color="auto" w:fill="auto"/>
            <w:noWrap/>
          </w:tcPr>
          <w:p w:rsidR="00653874" w:rsidRPr="00575142" w:rsidRDefault="00653874" w:rsidP="00653874">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Lamandau</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6.92</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20%</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22%</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105,383</w:t>
            </w:r>
          </w:p>
        </w:tc>
      </w:tr>
      <w:tr w:rsidR="00653874" w:rsidRPr="004B7458" w:rsidTr="00575142">
        <w:trPr>
          <w:jc w:val="center"/>
        </w:trPr>
        <w:tc>
          <w:tcPr>
            <w:tcW w:w="1606" w:type="dxa"/>
            <w:vMerge/>
            <w:vAlign w:val="center"/>
          </w:tcPr>
          <w:p w:rsidR="00653874" w:rsidRPr="004B7458" w:rsidRDefault="00653874" w:rsidP="00653874">
            <w:pPr>
              <w:spacing w:after="0"/>
              <w:rPr>
                <w:rFonts w:asciiTheme="minorHAnsi" w:hAnsiTheme="minorHAnsi" w:cs="Arial"/>
                <w:color w:val="000000"/>
                <w:sz w:val="20"/>
                <w:szCs w:val="20"/>
                <w:lang w:eastAsia="en-AU"/>
              </w:rPr>
            </w:pPr>
          </w:p>
        </w:tc>
        <w:tc>
          <w:tcPr>
            <w:tcW w:w="2239" w:type="dxa"/>
            <w:shd w:val="clear" w:color="auto" w:fill="auto"/>
            <w:noWrap/>
          </w:tcPr>
          <w:p w:rsidR="00653874" w:rsidRPr="00575142" w:rsidRDefault="00653874" w:rsidP="00653874">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Melawi</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3.63</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29%</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9%</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165,689</w:t>
            </w:r>
          </w:p>
        </w:tc>
      </w:tr>
      <w:tr w:rsidR="00653874" w:rsidRPr="004B7458" w:rsidTr="00575142">
        <w:trPr>
          <w:jc w:val="center"/>
        </w:trPr>
        <w:tc>
          <w:tcPr>
            <w:tcW w:w="1606" w:type="dxa"/>
            <w:vMerge/>
            <w:vAlign w:val="center"/>
          </w:tcPr>
          <w:p w:rsidR="00653874" w:rsidRPr="004B7458" w:rsidRDefault="00653874" w:rsidP="00653874">
            <w:pPr>
              <w:spacing w:after="0"/>
              <w:rPr>
                <w:rFonts w:asciiTheme="minorHAnsi" w:hAnsiTheme="minorHAnsi" w:cs="Arial"/>
                <w:color w:val="000000"/>
                <w:sz w:val="20"/>
                <w:szCs w:val="20"/>
                <w:lang w:eastAsia="en-AU"/>
              </w:rPr>
            </w:pPr>
          </w:p>
        </w:tc>
        <w:tc>
          <w:tcPr>
            <w:tcW w:w="2239" w:type="dxa"/>
            <w:shd w:val="clear" w:color="auto" w:fill="auto"/>
            <w:noWrap/>
          </w:tcPr>
          <w:p w:rsidR="00653874" w:rsidRPr="00575142" w:rsidRDefault="00653874" w:rsidP="00653874">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Murung Raya</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5.70</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22%</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160,248</w:t>
            </w:r>
          </w:p>
        </w:tc>
      </w:tr>
      <w:tr w:rsidR="00653874" w:rsidRPr="004B7458" w:rsidTr="00575142">
        <w:trPr>
          <w:jc w:val="center"/>
        </w:trPr>
        <w:tc>
          <w:tcPr>
            <w:tcW w:w="1606" w:type="dxa"/>
            <w:vMerge/>
            <w:vAlign w:val="center"/>
          </w:tcPr>
          <w:p w:rsidR="00653874" w:rsidRPr="004B7458" w:rsidRDefault="00653874" w:rsidP="00653874">
            <w:pPr>
              <w:spacing w:after="0"/>
              <w:rPr>
                <w:rFonts w:asciiTheme="minorHAnsi" w:hAnsiTheme="minorHAnsi" w:cs="Arial"/>
                <w:color w:val="000000"/>
                <w:sz w:val="20"/>
                <w:szCs w:val="20"/>
                <w:lang w:eastAsia="en-AU"/>
              </w:rPr>
            </w:pPr>
          </w:p>
        </w:tc>
        <w:tc>
          <w:tcPr>
            <w:tcW w:w="2239" w:type="dxa"/>
            <w:shd w:val="clear" w:color="auto" w:fill="auto"/>
            <w:noWrap/>
          </w:tcPr>
          <w:p w:rsidR="00653874" w:rsidRPr="00575142" w:rsidRDefault="00653874" w:rsidP="00653874">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Paser</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6.44</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23%</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11%</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338,351</w:t>
            </w:r>
          </w:p>
        </w:tc>
      </w:tr>
      <w:tr w:rsidR="00653874" w:rsidRPr="004B7458" w:rsidTr="00575142">
        <w:trPr>
          <w:jc w:val="center"/>
        </w:trPr>
        <w:tc>
          <w:tcPr>
            <w:tcW w:w="1606" w:type="dxa"/>
            <w:vMerge/>
            <w:vAlign w:val="center"/>
          </w:tcPr>
          <w:p w:rsidR="00653874" w:rsidRPr="004B7458" w:rsidRDefault="00653874" w:rsidP="00653874">
            <w:pPr>
              <w:spacing w:after="0"/>
              <w:rPr>
                <w:rFonts w:asciiTheme="minorHAnsi" w:hAnsiTheme="minorHAnsi" w:cs="Arial"/>
                <w:color w:val="000000"/>
                <w:sz w:val="20"/>
                <w:szCs w:val="20"/>
                <w:lang w:eastAsia="en-AU"/>
              </w:rPr>
            </w:pPr>
          </w:p>
        </w:tc>
        <w:tc>
          <w:tcPr>
            <w:tcW w:w="2239" w:type="dxa"/>
            <w:shd w:val="clear" w:color="auto" w:fill="auto"/>
            <w:noWrap/>
          </w:tcPr>
          <w:p w:rsidR="00653874" w:rsidRPr="00575142" w:rsidRDefault="00653874" w:rsidP="00653874">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Pontianak</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4.01</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40%</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16%</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216,721</w:t>
            </w:r>
          </w:p>
        </w:tc>
      </w:tr>
      <w:tr w:rsidR="00653874" w:rsidRPr="004B7458" w:rsidTr="00575142">
        <w:trPr>
          <w:jc w:val="center"/>
        </w:trPr>
        <w:tc>
          <w:tcPr>
            <w:tcW w:w="1606" w:type="dxa"/>
            <w:vMerge/>
            <w:vAlign w:val="center"/>
          </w:tcPr>
          <w:p w:rsidR="00653874" w:rsidRPr="004B7458" w:rsidRDefault="00653874" w:rsidP="00653874">
            <w:pPr>
              <w:spacing w:after="0"/>
              <w:rPr>
                <w:rFonts w:asciiTheme="minorHAnsi" w:hAnsiTheme="minorHAnsi" w:cs="Arial"/>
                <w:color w:val="000000"/>
                <w:sz w:val="20"/>
                <w:szCs w:val="20"/>
                <w:lang w:eastAsia="en-AU"/>
              </w:rPr>
            </w:pPr>
          </w:p>
        </w:tc>
        <w:tc>
          <w:tcPr>
            <w:tcW w:w="2239" w:type="dxa"/>
            <w:shd w:val="clear" w:color="auto" w:fill="auto"/>
            <w:noWrap/>
          </w:tcPr>
          <w:p w:rsidR="00653874" w:rsidRPr="00575142" w:rsidRDefault="00653874" w:rsidP="00653874">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Sambas</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3.37</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43%</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0%</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390,117</w:t>
            </w:r>
          </w:p>
        </w:tc>
      </w:tr>
      <w:tr w:rsidR="00653874" w:rsidRPr="004B7458" w:rsidTr="00575142">
        <w:trPr>
          <w:jc w:val="center"/>
        </w:trPr>
        <w:tc>
          <w:tcPr>
            <w:tcW w:w="1606" w:type="dxa"/>
            <w:vMerge/>
            <w:vAlign w:val="center"/>
          </w:tcPr>
          <w:p w:rsidR="00653874" w:rsidRPr="004B7458" w:rsidRDefault="00653874" w:rsidP="00653874">
            <w:pPr>
              <w:spacing w:after="0"/>
              <w:rPr>
                <w:rFonts w:asciiTheme="minorHAnsi" w:hAnsiTheme="minorHAnsi" w:cs="Arial"/>
                <w:color w:val="000000"/>
                <w:sz w:val="20"/>
                <w:szCs w:val="20"/>
                <w:lang w:eastAsia="en-AU"/>
              </w:rPr>
            </w:pPr>
          </w:p>
        </w:tc>
        <w:tc>
          <w:tcPr>
            <w:tcW w:w="2239" w:type="dxa"/>
            <w:shd w:val="clear" w:color="auto" w:fill="auto"/>
            <w:noWrap/>
          </w:tcPr>
          <w:p w:rsidR="00653874" w:rsidRPr="00575142" w:rsidRDefault="00653874" w:rsidP="00653874">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Sanggau</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3.99</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40%</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6%</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357,047</w:t>
            </w:r>
          </w:p>
        </w:tc>
      </w:tr>
      <w:tr w:rsidR="00653874" w:rsidRPr="004B7458" w:rsidTr="00575142">
        <w:trPr>
          <w:jc w:val="center"/>
        </w:trPr>
        <w:tc>
          <w:tcPr>
            <w:tcW w:w="1606" w:type="dxa"/>
            <w:vMerge/>
            <w:vAlign w:val="center"/>
          </w:tcPr>
          <w:p w:rsidR="00653874" w:rsidRPr="004B7458" w:rsidRDefault="00653874" w:rsidP="00653874">
            <w:pPr>
              <w:spacing w:after="0"/>
              <w:rPr>
                <w:rFonts w:asciiTheme="minorHAnsi" w:hAnsiTheme="minorHAnsi" w:cs="Arial"/>
                <w:color w:val="000000"/>
                <w:sz w:val="20"/>
                <w:szCs w:val="20"/>
                <w:lang w:eastAsia="en-AU"/>
              </w:rPr>
            </w:pPr>
          </w:p>
        </w:tc>
        <w:tc>
          <w:tcPr>
            <w:tcW w:w="2239" w:type="dxa"/>
            <w:shd w:val="clear" w:color="auto" w:fill="auto"/>
            <w:noWrap/>
          </w:tcPr>
          <w:p w:rsidR="00653874" w:rsidRPr="00575142" w:rsidRDefault="00653874" w:rsidP="00653874">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Seruyan</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3.87</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16%</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114,662</w:t>
            </w:r>
          </w:p>
        </w:tc>
      </w:tr>
      <w:tr w:rsidR="00653874" w:rsidRPr="004B7458" w:rsidTr="00575142">
        <w:trPr>
          <w:jc w:val="center"/>
        </w:trPr>
        <w:tc>
          <w:tcPr>
            <w:tcW w:w="1606" w:type="dxa"/>
            <w:vMerge/>
            <w:vAlign w:val="center"/>
          </w:tcPr>
          <w:p w:rsidR="00653874" w:rsidRPr="004B7458" w:rsidRDefault="00653874" w:rsidP="00653874">
            <w:pPr>
              <w:spacing w:after="0"/>
              <w:rPr>
                <w:rFonts w:asciiTheme="minorHAnsi" w:hAnsiTheme="minorHAnsi" w:cs="Arial"/>
                <w:color w:val="000000"/>
                <w:sz w:val="20"/>
                <w:szCs w:val="20"/>
                <w:lang w:eastAsia="en-AU"/>
              </w:rPr>
            </w:pPr>
          </w:p>
        </w:tc>
        <w:tc>
          <w:tcPr>
            <w:tcW w:w="2239" w:type="dxa"/>
            <w:shd w:val="clear" w:color="auto" w:fill="auto"/>
            <w:noWrap/>
          </w:tcPr>
          <w:p w:rsidR="00653874" w:rsidRPr="00575142" w:rsidRDefault="00653874" w:rsidP="00653874">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Sintang</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3.37</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33%</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308,447</w:t>
            </w:r>
          </w:p>
        </w:tc>
      </w:tr>
      <w:tr w:rsidR="00653874" w:rsidRPr="004B7458" w:rsidTr="00575142">
        <w:trPr>
          <w:jc w:val="center"/>
        </w:trPr>
        <w:tc>
          <w:tcPr>
            <w:tcW w:w="1606" w:type="dxa"/>
            <w:vMerge/>
            <w:vAlign w:val="center"/>
          </w:tcPr>
          <w:p w:rsidR="00653874" w:rsidRPr="004B7458" w:rsidRDefault="00653874" w:rsidP="00653874">
            <w:pPr>
              <w:spacing w:after="0"/>
              <w:rPr>
                <w:rFonts w:asciiTheme="minorHAnsi" w:hAnsiTheme="minorHAnsi" w:cs="Arial"/>
                <w:color w:val="000000"/>
                <w:sz w:val="20"/>
                <w:szCs w:val="20"/>
                <w:lang w:eastAsia="en-AU"/>
              </w:rPr>
            </w:pPr>
          </w:p>
        </w:tc>
        <w:tc>
          <w:tcPr>
            <w:tcW w:w="2239" w:type="dxa"/>
            <w:shd w:val="clear" w:color="auto" w:fill="auto"/>
            <w:noWrap/>
          </w:tcPr>
          <w:p w:rsidR="00653874" w:rsidRPr="00575142" w:rsidRDefault="00653874" w:rsidP="00653874">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Tanah Bumbu</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3.68</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25%</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w:t>
            </w:r>
          </w:p>
        </w:tc>
        <w:tc>
          <w:tcPr>
            <w:tcW w:w="1401" w:type="dxa"/>
            <w:shd w:val="clear" w:color="auto" w:fill="auto"/>
            <w:noWrap/>
            <w:vAlign w:val="center"/>
          </w:tcPr>
          <w:p w:rsidR="00653874" w:rsidRPr="00575142" w:rsidRDefault="00653874" w:rsidP="00653874">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214,034</w:t>
            </w:r>
          </w:p>
        </w:tc>
      </w:tr>
      <w:tr w:rsidR="006D3E11" w:rsidRPr="004B7458" w:rsidTr="006D3E11">
        <w:trPr>
          <w:jc w:val="center"/>
        </w:trPr>
        <w:tc>
          <w:tcPr>
            <w:tcW w:w="1606" w:type="dxa"/>
            <w:vMerge w:val="restart"/>
            <w:vAlign w:val="center"/>
          </w:tcPr>
          <w:p w:rsidR="006D3E11" w:rsidRPr="004B7458" w:rsidRDefault="006D3E11" w:rsidP="006D3E11">
            <w:pPr>
              <w:spacing w:after="0"/>
              <w:jc w:val="center"/>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Sulawesi</w:t>
            </w: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Bantaeng</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3.73</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34%</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-6%</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155,714</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Boalemo</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4.41</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34%</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5%</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142,780</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Bombana</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4.12</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30%</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48%</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154,926</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Bone</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3.11</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41%</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81%</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493,643</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Buton Utara</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4.82</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24%</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27%</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95,722</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Donggala</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3.65</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42%</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11%</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281,470</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Enrekang</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3.78</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36%</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-9%</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198,598</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Gorontalo</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3.64</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47%</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5%</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303,803</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Jeneponto</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2.78</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36%</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237,760</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Konawe Utara</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5.42</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21%</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96,532</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Luwu Timur</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3.19</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27%</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23%</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193,839</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Majene</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7.48</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39%</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11%</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186,229</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Mamuju</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3.13</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39%</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11%</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186,586</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Maros</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3.07</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35%</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226,796</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Minahasa Selatan</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4.04</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39%</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15%</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184,201</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Morowali</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4.52</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30%</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26%</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229,170</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Pangkajene Kepulauan</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4.65</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46%</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13%</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337,959</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Parigi Moutong</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2.36</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34%</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23%</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232,396</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Pohuwato</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4.90</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33%</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32%</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153,330</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Polewali Mandar</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5.47</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50%</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15%</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326,636</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Sigi</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5.24</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40%</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34%</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230,435</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Sinjai</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4.67</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50%</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17%</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281,268</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Tana Toraja</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2.99</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33%</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35%</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203,550</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Tolitoli</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3.43</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33%</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11%</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184,851</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Wajo</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4.06</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34%</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25%</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298,791</w:t>
            </w:r>
          </w:p>
        </w:tc>
      </w:tr>
      <w:tr w:rsidR="006D3E11" w:rsidRPr="004B7458" w:rsidTr="006D3E11">
        <w:trPr>
          <w:jc w:val="center"/>
        </w:trPr>
        <w:tc>
          <w:tcPr>
            <w:tcW w:w="1606" w:type="dxa"/>
            <w:vMerge w:val="restart"/>
            <w:vAlign w:val="center"/>
          </w:tcPr>
          <w:p w:rsidR="006D3E11" w:rsidRPr="004B7458" w:rsidRDefault="006D3E11" w:rsidP="006D3E11">
            <w:pPr>
              <w:spacing w:after="0"/>
              <w:jc w:val="center"/>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Sumatera</w:t>
            </w: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Aceh Barat</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5.83</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46%</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26%</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251,263</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Aceh Besar</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4.74</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41%</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12%</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316,403</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Aceh Tamiang</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3.59</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38%</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11%</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225,338</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Aceh Tengah</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5.33</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39%</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23%</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240,132</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Aceh Timur</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2.56</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32%</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239,209</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Aceh Utara</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2.58</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32%</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-9%</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352,908</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Bangka</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3.79</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32%</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12%</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226,523</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Bangka Barat</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4.17</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30%</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17%</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152,231</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Bangka Selatan</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4.04</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26%</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12%</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141,091</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Bangka Tengah</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4.33</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27%</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55%</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135,324</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BanyuAsin</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3.24</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42%</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17%</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473,570</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Belitung Timur</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7.27</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25%</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6%</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151,749</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Bener Meriah</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4.60</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33%</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0%</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155,391</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Bengkulu Utara</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3.25</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33%</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9%</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200,918</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Bireuen</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3.90</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44%</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7%</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369,076</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Deli Serdang</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2.44</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45%</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22%</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913,822</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DharmasRaya</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4.14</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35%</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174,371</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Gayo Lues</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5.14</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23%</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32%</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114,061</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Kampar</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4.16</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39%</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9%</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663,704</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Kaur</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4.86</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30%</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18%</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126,676</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Kerinci</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4.42</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33%</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234,105</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Kota Batam</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2.62</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29%</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404,749</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Kuantan Singingi</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4.28</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30%</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296,275</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Mukomuko</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3.65</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24%</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7%</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144,264</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Ogan Komering Ulu</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3.18</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29%</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21%</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245,003</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Padang Pariaman</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4.52</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55%</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445,973</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Pelalawan</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4.10</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20%</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22%</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271,561</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Pidie</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2.55</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59%</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-26%</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254,262</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Pidie Jaya</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3.90</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34%</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9%</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137,336</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Pringsewu</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5.15</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56%</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42%</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418,422</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Rejang Lebong</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3.71</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36%</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36%</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222,888</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Rokan Hulu</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2.68</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25%</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13%</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296,904</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Serdang Bedagai</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2.81</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46%</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10%</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386,287</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Solok</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4.24</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47%</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4%</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349,535</w:t>
            </w:r>
          </w:p>
        </w:tc>
      </w:tr>
      <w:tr w:rsidR="006D3E11" w:rsidRPr="004B7458" w:rsidTr="00575142">
        <w:trPr>
          <w:jc w:val="center"/>
        </w:trPr>
        <w:tc>
          <w:tcPr>
            <w:tcW w:w="1606" w:type="dxa"/>
            <w:vMerge/>
            <w:vAlign w:val="center"/>
          </w:tcPr>
          <w:p w:rsidR="006D3E11" w:rsidRPr="004B7458" w:rsidRDefault="006D3E11" w:rsidP="006D3E11">
            <w:pPr>
              <w:spacing w:after="0"/>
              <w:rPr>
                <w:rFonts w:asciiTheme="minorHAnsi" w:hAnsiTheme="minorHAnsi" w:cs="Arial"/>
                <w:color w:val="000000"/>
                <w:sz w:val="20"/>
                <w:szCs w:val="20"/>
                <w:lang w:eastAsia="en-AU"/>
              </w:rPr>
            </w:pPr>
          </w:p>
        </w:tc>
        <w:tc>
          <w:tcPr>
            <w:tcW w:w="2239" w:type="dxa"/>
            <w:shd w:val="clear" w:color="auto" w:fill="auto"/>
            <w:noWrap/>
          </w:tcPr>
          <w:p w:rsidR="006D3E11" w:rsidRPr="00575142" w:rsidRDefault="006D3E11" w:rsidP="006D3E11">
            <w:pPr>
              <w:spacing w:after="0"/>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Tebo</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3.36</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37%</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20%</w:t>
            </w:r>
          </w:p>
        </w:tc>
        <w:tc>
          <w:tcPr>
            <w:tcW w:w="1401" w:type="dxa"/>
            <w:shd w:val="clear" w:color="auto" w:fill="auto"/>
            <w:noWrap/>
            <w:vAlign w:val="center"/>
          </w:tcPr>
          <w:p w:rsidR="006D3E11" w:rsidRPr="00575142" w:rsidRDefault="006D3E11" w:rsidP="006D3E11">
            <w:pPr>
              <w:spacing w:after="0"/>
              <w:jc w:val="right"/>
              <w:rPr>
                <w:rFonts w:asciiTheme="minorHAnsi" w:hAnsiTheme="minorHAnsi" w:cs="Arial"/>
                <w:color w:val="000000"/>
                <w:sz w:val="20"/>
                <w:szCs w:val="20"/>
                <w:lang w:eastAsia="en-AU"/>
              </w:rPr>
            </w:pPr>
            <w:r w:rsidRPr="00575142">
              <w:rPr>
                <w:rFonts w:asciiTheme="minorHAnsi" w:hAnsiTheme="minorHAnsi" w:cs="Arial"/>
                <w:color w:val="000000"/>
                <w:sz w:val="20"/>
                <w:szCs w:val="20"/>
                <w:lang w:eastAsia="en-AU"/>
              </w:rPr>
              <w:t>237,203</w:t>
            </w:r>
          </w:p>
        </w:tc>
      </w:tr>
    </w:tbl>
    <w:p w:rsidR="00B450D8" w:rsidRPr="00576504" w:rsidRDefault="00B450D8" w:rsidP="00576504"/>
    <w:p w:rsidR="00B450D8" w:rsidRPr="00576504" w:rsidRDefault="00B450D8" w:rsidP="00576504"/>
    <w:p w:rsidR="00854A82" w:rsidRPr="00576504" w:rsidRDefault="00854A82" w:rsidP="00576504"/>
    <w:p w:rsidR="00576504" w:rsidRDefault="00576504" w:rsidP="00854A82">
      <w:pPr>
        <w:rPr>
          <w:rFonts w:asciiTheme="minorHAnsi" w:hAnsiTheme="minorHAnsi" w:cstheme="minorHAnsi"/>
          <w:b/>
          <w:color w:val="003880"/>
          <w:sz w:val="24"/>
          <w:szCs w:val="24"/>
        </w:rPr>
        <w:sectPr w:rsidR="00576504" w:rsidSect="004B7458">
          <w:headerReference w:type="default" r:id="rId105"/>
          <w:footerReference w:type="default" r:id="rId106"/>
          <w:footnotePr>
            <w:numRestart w:val="eachSect"/>
          </w:footnotePr>
          <w:endnotePr>
            <w:numRestart w:val="eachSect"/>
          </w:endnotePr>
          <w:pgSz w:w="11909" w:h="16834" w:code="9"/>
          <w:pgMar w:top="357" w:right="1440" w:bottom="1304" w:left="1440" w:header="431" w:footer="425" w:gutter="0"/>
          <w:cols w:space="720"/>
          <w:titlePg/>
          <w:docGrid w:linePitch="360"/>
        </w:sectPr>
      </w:pPr>
    </w:p>
    <w:p w:rsidR="00854A82" w:rsidRDefault="00854A82" w:rsidP="00854A82">
      <w:pPr>
        <w:rPr>
          <w:rFonts w:asciiTheme="minorHAnsi" w:hAnsiTheme="minorHAnsi" w:cstheme="minorHAnsi"/>
          <w:b/>
          <w:color w:val="003880"/>
          <w:sz w:val="24"/>
          <w:szCs w:val="24"/>
        </w:rPr>
      </w:pPr>
    </w:p>
    <w:p w:rsidR="00854A82" w:rsidRDefault="00854A82" w:rsidP="00854A82">
      <w:pPr>
        <w:rPr>
          <w:rFonts w:asciiTheme="minorHAnsi" w:hAnsiTheme="minorHAnsi" w:cstheme="minorHAnsi"/>
          <w:b/>
          <w:color w:val="003880"/>
          <w:sz w:val="24"/>
          <w:szCs w:val="24"/>
        </w:rPr>
      </w:pPr>
    </w:p>
    <w:p w:rsidR="00854A82" w:rsidRDefault="00854A82" w:rsidP="00854A82">
      <w:pPr>
        <w:rPr>
          <w:rFonts w:asciiTheme="minorHAnsi" w:hAnsiTheme="minorHAnsi" w:cstheme="minorHAnsi"/>
          <w:b/>
          <w:color w:val="003880"/>
          <w:sz w:val="24"/>
          <w:szCs w:val="24"/>
        </w:rPr>
      </w:pPr>
    </w:p>
    <w:p w:rsidR="00854A82" w:rsidRDefault="00854A82" w:rsidP="00854A82">
      <w:pPr>
        <w:rPr>
          <w:rFonts w:asciiTheme="minorHAnsi" w:hAnsiTheme="minorHAnsi" w:cstheme="minorHAnsi"/>
          <w:b/>
          <w:color w:val="003880"/>
          <w:sz w:val="24"/>
          <w:szCs w:val="24"/>
        </w:rPr>
      </w:pPr>
    </w:p>
    <w:p w:rsidR="00854A82" w:rsidRDefault="00854A82" w:rsidP="00854A82">
      <w:pPr>
        <w:rPr>
          <w:rFonts w:asciiTheme="minorHAnsi" w:hAnsiTheme="minorHAnsi" w:cstheme="minorHAnsi"/>
          <w:b/>
          <w:color w:val="003880"/>
          <w:sz w:val="24"/>
          <w:szCs w:val="24"/>
        </w:rPr>
      </w:pPr>
    </w:p>
    <w:p w:rsidR="00854A82" w:rsidRDefault="00854A82" w:rsidP="00854A82">
      <w:pPr>
        <w:rPr>
          <w:rFonts w:asciiTheme="minorHAnsi" w:hAnsiTheme="minorHAnsi" w:cstheme="minorHAnsi"/>
          <w:b/>
          <w:color w:val="003880"/>
          <w:sz w:val="24"/>
          <w:szCs w:val="24"/>
        </w:rPr>
      </w:pPr>
    </w:p>
    <w:p w:rsidR="00854A82" w:rsidRDefault="00854A82" w:rsidP="00854A82">
      <w:pPr>
        <w:rPr>
          <w:rFonts w:asciiTheme="minorHAnsi" w:hAnsiTheme="minorHAnsi" w:cstheme="minorHAnsi"/>
          <w:b/>
          <w:color w:val="003880"/>
          <w:sz w:val="24"/>
          <w:szCs w:val="24"/>
        </w:rPr>
      </w:pPr>
    </w:p>
    <w:p w:rsidR="00854A82" w:rsidRDefault="00854A82" w:rsidP="00854A82">
      <w:pPr>
        <w:rPr>
          <w:rFonts w:asciiTheme="minorHAnsi" w:hAnsiTheme="minorHAnsi" w:cstheme="minorHAnsi"/>
          <w:b/>
          <w:color w:val="003880"/>
          <w:sz w:val="24"/>
          <w:szCs w:val="24"/>
        </w:rPr>
      </w:pPr>
    </w:p>
    <w:p w:rsidR="00854A82" w:rsidRDefault="00854A82" w:rsidP="00854A82">
      <w:pPr>
        <w:rPr>
          <w:rFonts w:asciiTheme="minorHAnsi" w:hAnsiTheme="minorHAnsi" w:cstheme="minorHAnsi"/>
          <w:b/>
          <w:color w:val="003880"/>
          <w:sz w:val="24"/>
          <w:szCs w:val="24"/>
        </w:rPr>
      </w:pPr>
    </w:p>
    <w:p w:rsidR="00854A82" w:rsidRDefault="00854A82" w:rsidP="00854A82">
      <w:pPr>
        <w:rPr>
          <w:rFonts w:asciiTheme="minorHAnsi" w:hAnsiTheme="minorHAnsi" w:cstheme="minorHAnsi"/>
          <w:b/>
          <w:color w:val="003880"/>
          <w:sz w:val="24"/>
          <w:szCs w:val="24"/>
        </w:rPr>
      </w:pPr>
    </w:p>
    <w:p w:rsidR="00854A82" w:rsidRDefault="00854A82" w:rsidP="00854A82">
      <w:pPr>
        <w:rPr>
          <w:rFonts w:asciiTheme="minorHAnsi" w:hAnsiTheme="minorHAnsi" w:cstheme="minorHAnsi"/>
          <w:b/>
          <w:color w:val="003880"/>
          <w:sz w:val="24"/>
          <w:szCs w:val="24"/>
        </w:rPr>
      </w:pPr>
    </w:p>
    <w:p w:rsidR="00854A82" w:rsidRDefault="00854A82" w:rsidP="00854A82">
      <w:pPr>
        <w:rPr>
          <w:rFonts w:asciiTheme="minorHAnsi" w:hAnsiTheme="minorHAnsi" w:cstheme="minorHAnsi"/>
          <w:b/>
          <w:color w:val="003880"/>
          <w:sz w:val="24"/>
          <w:szCs w:val="24"/>
        </w:rPr>
      </w:pPr>
    </w:p>
    <w:p w:rsidR="00854A82" w:rsidRDefault="00854A82" w:rsidP="00854A82">
      <w:pPr>
        <w:rPr>
          <w:rFonts w:asciiTheme="minorHAnsi" w:hAnsiTheme="minorHAnsi" w:cstheme="minorHAnsi"/>
          <w:b/>
          <w:color w:val="003880"/>
          <w:sz w:val="24"/>
          <w:szCs w:val="24"/>
        </w:rPr>
      </w:pPr>
    </w:p>
    <w:p w:rsidR="00854A82" w:rsidRDefault="00854A82" w:rsidP="00854A82">
      <w:pPr>
        <w:rPr>
          <w:rFonts w:asciiTheme="minorHAnsi" w:hAnsiTheme="minorHAnsi" w:cstheme="minorHAnsi"/>
          <w:b/>
          <w:color w:val="003880"/>
          <w:sz w:val="24"/>
          <w:szCs w:val="24"/>
        </w:rPr>
      </w:pPr>
    </w:p>
    <w:p w:rsidR="00854A82" w:rsidRDefault="00854A82" w:rsidP="00854A82">
      <w:pPr>
        <w:rPr>
          <w:rFonts w:asciiTheme="minorHAnsi" w:hAnsiTheme="minorHAnsi" w:cstheme="minorHAnsi"/>
          <w:b/>
          <w:color w:val="003880"/>
          <w:sz w:val="24"/>
          <w:szCs w:val="24"/>
        </w:rPr>
      </w:pPr>
    </w:p>
    <w:p w:rsidR="00854A82" w:rsidRDefault="00854A82" w:rsidP="00854A82">
      <w:pPr>
        <w:rPr>
          <w:rFonts w:asciiTheme="minorHAnsi" w:hAnsiTheme="minorHAnsi" w:cstheme="minorHAnsi"/>
          <w:b/>
          <w:color w:val="003880"/>
          <w:sz w:val="24"/>
          <w:szCs w:val="24"/>
        </w:rPr>
      </w:pPr>
    </w:p>
    <w:p w:rsidR="00854A82" w:rsidRDefault="00854A82" w:rsidP="00854A82">
      <w:pPr>
        <w:rPr>
          <w:rFonts w:asciiTheme="minorHAnsi" w:hAnsiTheme="minorHAnsi" w:cstheme="minorHAnsi"/>
          <w:b/>
          <w:color w:val="003880"/>
          <w:sz w:val="24"/>
          <w:szCs w:val="24"/>
        </w:rPr>
      </w:pPr>
    </w:p>
    <w:p w:rsidR="00854A82" w:rsidRDefault="00854A82" w:rsidP="00854A82">
      <w:pPr>
        <w:rPr>
          <w:rFonts w:asciiTheme="minorHAnsi" w:hAnsiTheme="minorHAnsi" w:cstheme="minorHAnsi"/>
          <w:b/>
          <w:color w:val="003880"/>
          <w:sz w:val="24"/>
          <w:szCs w:val="24"/>
        </w:rPr>
      </w:pPr>
    </w:p>
    <w:p w:rsidR="00854A82" w:rsidRDefault="00854A82" w:rsidP="00854A82">
      <w:pPr>
        <w:rPr>
          <w:rFonts w:asciiTheme="minorHAnsi" w:hAnsiTheme="minorHAnsi" w:cstheme="minorHAnsi"/>
          <w:b/>
          <w:color w:val="003880"/>
          <w:sz w:val="24"/>
          <w:szCs w:val="24"/>
        </w:rPr>
      </w:pPr>
    </w:p>
    <w:p w:rsidR="00854A82" w:rsidRDefault="00854A82" w:rsidP="00854A82">
      <w:pPr>
        <w:rPr>
          <w:rFonts w:asciiTheme="minorHAnsi" w:hAnsiTheme="minorHAnsi" w:cstheme="minorHAnsi"/>
          <w:b/>
          <w:color w:val="003880"/>
          <w:sz w:val="24"/>
          <w:szCs w:val="24"/>
        </w:rPr>
      </w:pPr>
    </w:p>
    <w:p w:rsidR="00854A82" w:rsidRDefault="00854A82" w:rsidP="00854A82">
      <w:pPr>
        <w:rPr>
          <w:rFonts w:asciiTheme="minorHAnsi" w:hAnsiTheme="minorHAnsi" w:cstheme="minorHAnsi"/>
          <w:b/>
          <w:color w:val="003880"/>
          <w:sz w:val="24"/>
          <w:szCs w:val="24"/>
        </w:rPr>
      </w:pPr>
    </w:p>
    <w:p w:rsidR="00854A82" w:rsidRDefault="00854A82" w:rsidP="00854A82">
      <w:pPr>
        <w:rPr>
          <w:rFonts w:asciiTheme="minorHAnsi" w:hAnsiTheme="minorHAnsi" w:cstheme="minorHAnsi"/>
          <w:b/>
          <w:color w:val="003880"/>
          <w:sz w:val="24"/>
          <w:szCs w:val="24"/>
        </w:rPr>
      </w:pPr>
    </w:p>
    <w:p w:rsidR="00854A82" w:rsidRDefault="00854A82" w:rsidP="00854A82">
      <w:pPr>
        <w:rPr>
          <w:rFonts w:asciiTheme="minorHAnsi" w:hAnsiTheme="minorHAnsi" w:cstheme="minorHAnsi"/>
          <w:b/>
          <w:color w:val="003880"/>
          <w:sz w:val="24"/>
          <w:szCs w:val="24"/>
        </w:rPr>
      </w:pPr>
    </w:p>
    <w:p w:rsidR="00854A82" w:rsidRDefault="00854A82" w:rsidP="00854A82">
      <w:pPr>
        <w:rPr>
          <w:rFonts w:asciiTheme="minorHAnsi" w:hAnsiTheme="minorHAnsi" w:cstheme="minorHAnsi"/>
          <w:b/>
          <w:color w:val="003880"/>
          <w:sz w:val="24"/>
          <w:szCs w:val="24"/>
        </w:rPr>
      </w:pPr>
    </w:p>
    <w:p w:rsidR="00854A82" w:rsidRPr="00267BC5" w:rsidRDefault="00854A82" w:rsidP="00576504">
      <w:pPr>
        <w:spacing w:after="0"/>
        <w:rPr>
          <w:rFonts w:asciiTheme="minorHAnsi" w:hAnsiTheme="minorHAnsi" w:cstheme="minorHAnsi"/>
          <w:b/>
          <w:color w:val="003880"/>
          <w:sz w:val="24"/>
          <w:szCs w:val="24"/>
        </w:rPr>
      </w:pPr>
      <w:r w:rsidRPr="00267BC5">
        <w:rPr>
          <w:rFonts w:asciiTheme="minorHAnsi" w:hAnsiTheme="minorHAnsi" w:cstheme="minorHAnsi"/>
          <w:b/>
          <w:noProof/>
          <w:color w:val="003880"/>
          <w:sz w:val="24"/>
          <w:szCs w:val="24"/>
          <w:lang w:val="en-AU" w:eastAsia="en-AU"/>
        </w:rPr>
        <w:drawing>
          <wp:anchor distT="0" distB="0" distL="114300" distR="114300" simplePos="0" relativeHeight="251662336" behindDoc="0" locked="1" layoutInCell="0" allowOverlap="1" wp14:anchorId="1F860DFF" wp14:editId="74D3A7E8">
            <wp:simplePos x="0" y="0"/>
            <wp:positionH relativeFrom="column">
              <wp:posOffset>-567690</wp:posOffset>
            </wp:positionH>
            <wp:positionV relativeFrom="page">
              <wp:posOffset>10022205</wp:posOffset>
            </wp:positionV>
            <wp:extent cx="7086600" cy="4019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ORK\EPOS\REPORT &amp; STATIONARY\emf\Watermark sky blue 50.em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86600" cy="401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7BC5">
        <w:rPr>
          <w:rFonts w:asciiTheme="minorHAnsi" w:hAnsiTheme="minorHAnsi" w:cstheme="minorHAnsi"/>
          <w:b/>
          <w:noProof/>
          <w:color w:val="003880"/>
          <w:sz w:val="24"/>
          <w:szCs w:val="24"/>
          <w:lang w:val="en-AU" w:eastAsia="en-AU"/>
        </w:rPr>
        <w:drawing>
          <wp:anchor distT="0" distB="0" distL="114300" distR="114300" simplePos="0" relativeHeight="251661312" behindDoc="0" locked="1" layoutInCell="1" allowOverlap="1" wp14:anchorId="76DD58ED" wp14:editId="24A980CC">
            <wp:simplePos x="0" y="0"/>
            <wp:positionH relativeFrom="column">
              <wp:posOffset>-883920</wp:posOffset>
            </wp:positionH>
            <wp:positionV relativeFrom="paragraph">
              <wp:posOffset>-990600</wp:posOffset>
            </wp:positionV>
            <wp:extent cx="3840480" cy="246380"/>
            <wp:effectExtent l="0" t="0" r="7620" b="1270"/>
            <wp:wrapNone/>
            <wp:docPr id="13" name="Picture 13" descr="F:\WORK\EPOS\REPORT &amp; STATIONARY\emf\Red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ORK\EPOS\REPORT &amp; STATIONARY\emf\Red stripe.em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flipH="1">
                      <a:off x="0" y="0"/>
                      <a:ext cx="3840480" cy="246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7BC5">
        <w:rPr>
          <w:rFonts w:asciiTheme="minorHAnsi" w:hAnsiTheme="minorHAnsi" w:cstheme="minorHAnsi"/>
          <w:b/>
          <w:color w:val="003880"/>
          <w:sz w:val="24"/>
          <w:szCs w:val="24"/>
        </w:rPr>
        <w:t>Australia’s Education Partnership with Indonesia</w:t>
      </w:r>
    </w:p>
    <w:p w:rsidR="00854A82" w:rsidRPr="00267BC5" w:rsidRDefault="00854A82" w:rsidP="00576504">
      <w:pPr>
        <w:spacing w:after="0"/>
        <w:rPr>
          <w:b/>
          <w:color w:val="003880"/>
          <w:sz w:val="24"/>
          <w:szCs w:val="24"/>
        </w:rPr>
      </w:pPr>
      <w:r w:rsidRPr="00267BC5">
        <w:rPr>
          <w:b/>
          <w:color w:val="003880"/>
          <w:sz w:val="24"/>
          <w:szCs w:val="24"/>
        </w:rPr>
        <w:t xml:space="preserve">Education Partnership </w:t>
      </w:r>
      <w:r>
        <w:rPr>
          <w:b/>
          <w:color w:val="003880"/>
          <w:sz w:val="24"/>
          <w:szCs w:val="24"/>
        </w:rPr>
        <w:t>Performance Oversight and Monitoring</w:t>
      </w:r>
    </w:p>
    <w:p w:rsidR="00854A82" w:rsidRPr="00552173" w:rsidRDefault="00854A82" w:rsidP="00576504">
      <w:pPr>
        <w:spacing w:after="0"/>
        <w:rPr>
          <w:b/>
          <w:sz w:val="20"/>
        </w:rPr>
      </w:pPr>
    </w:p>
    <w:p w:rsidR="00854A82" w:rsidRPr="00191799" w:rsidRDefault="00854A82" w:rsidP="00576504">
      <w:pPr>
        <w:spacing w:after="0"/>
        <w:rPr>
          <w:b/>
          <w:color w:val="595959" w:themeColor="text1" w:themeTint="A6"/>
          <w:sz w:val="20"/>
        </w:rPr>
      </w:pPr>
    </w:p>
    <w:p w:rsidR="00854A82" w:rsidRDefault="00854A82" w:rsidP="00576504">
      <w:pPr>
        <w:spacing w:after="0"/>
        <w:rPr>
          <w:b/>
          <w:color w:val="595959" w:themeColor="text1" w:themeTint="A6"/>
          <w:sz w:val="20"/>
        </w:rPr>
      </w:pPr>
      <w:r>
        <w:rPr>
          <w:b/>
          <w:color w:val="595959" w:themeColor="text1" w:themeTint="A6"/>
          <w:sz w:val="20"/>
        </w:rPr>
        <w:t>EP-POM</w:t>
      </w:r>
    </w:p>
    <w:p w:rsidR="00854A82" w:rsidRPr="00191799" w:rsidRDefault="00854A82" w:rsidP="00576504">
      <w:pPr>
        <w:spacing w:after="0"/>
        <w:rPr>
          <w:b/>
          <w:color w:val="595959" w:themeColor="text1" w:themeTint="A6"/>
          <w:sz w:val="20"/>
        </w:rPr>
      </w:pPr>
      <w:r>
        <w:rPr>
          <w:b/>
          <w:color w:val="595959" w:themeColor="text1" w:themeTint="A6"/>
          <w:sz w:val="20"/>
        </w:rPr>
        <w:t>19</w:t>
      </w:r>
      <w:r w:rsidRPr="00A227F0">
        <w:rPr>
          <w:b/>
          <w:color w:val="595959" w:themeColor="text1" w:themeTint="A6"/>
          <w:sz w:val="20"/>
          <w:vertAlign w:val="superscript"/>
        </w:rPr>
        <w:t>th</w:t>
      </w:r>
      <w:r>
        <w:rPr>
          <w:b/>
          <w:color w:val="595959" w:themeColor="text1" w:themeTint="A6"/>
          <w:sz w:val="20"/>
        </w:rPr>
        <w:t xml:space="preserve"> floor Ratu Plaza Building</w:t>
      </w:r>
    </w:p>
    <w:p w:rsidR="00854A82" w:rsidRPr="00191799" w:rsidRDefault="00854A82" w:rsidP="00576504">
      <w:pPr>
        <w:spacing w:after="0"/>
        <w:rPr>
          <w:b/>
          <w:color w:val="595959" w:themeColor="text1" w:themeTint="A6"/>
          <w:sz w:val="20"/>
        </w:rPr>
      </w:pPr>
      <w:r>
        <w:rPr>
          <w:b/>
          <w:color w:val="595959" w:themeColor="text1" w:themeTint="A6"/>
          <w:sz w:val="20"/>
        </w:rPr>
        <w:t>Jl. Jend.</w:t>
      </w:r>
      <w:r w:rsidRPr="00191799">
        <w:rPr>
          <w:b/>
          <w:color w:val="595959" w:themeColor="text1" w:themeTint="A6"/>
          <w:sz w:val="20"/>
        </w:rPr>
        <w:t xml:space="preserve"> Sudirman</w:t>
      </w:r>
      <w:r>
        <w:rPr>
          <w:b/>
          <w:color w:val="595959" w:themeColor="text1" w:themeTint="A6"/>
          <w:sz w:val="20"/>
        </w:rPr>
        <w:t xml:space="preserve"> No. 9</w:t>
      </w:r>
    </w:p>
    <w:p w:rsidR="00854A82" w:rsidRPr="00191799" w:rsidRDefault="00854A82" w:rsidP="00576504">
      <w:pPr>
        <w:spacing w:after="0"/>
        <w:rPr>
          <w:b/>
          <w:color w:val="595959" w:themeColor="text1" w:themeTint="A6"/>
          <w:sz w:val="20"/>
        </w:rPr>
      </w:pPr>
      <w:r w:rsidRPr="00191799">
        <w:rPr>
          <w:b/>
          <w:color w:val="595959" w:themeColor="text1" w:themeTint="A6"/>
          <w:sz w:val="20"/>
        </w:rPr>
        <w:t>Jakarta</w:t>
      </w:r>
      <w:r>
        <w:rPr>
          <w:b/>
          <w:color w:val="595959" w:themeColor="text1" w:themeTint="A6"/>
          <w:sz w:val="20"/>
        </w:rPr>
        <w:t xml:space="preserve"> 10270</w:t>
      </w:r>
    </w:p>
    <w:p w:rsidR="00854A82" w:rsidRPr="00191799" w:rsidRDefault="00854A82" w:rsidP="00576504">
      <w:pPr>
        <w:spacing w:after="0"/>
        <w:rPr>
          <w:b/>
          <w:color w:val="595959" w:themeColor="text1" w:themeTint="A6"/>
          <w:sz w:val="20"/>
        </w:rPr>
      </w:pPr>
      <w:r w:rsidRPr="00191799">
        <w:rPr>
          <w:b/>
          <w:color w:val="595959" w:themeColor="text1" w:themeTint="A6"/>
          <w:sz w:val="20"/>
        </w:rPr>
        <w:t xml:space="preserve">T: 021 </w:t>
      </w:r>
      <w:r>
        <w:rPr>
          <w:b/>
          <w:color w:val="595959" w:themeColor="text1" w:themeTint="A6"/>
          <w:sz w:val="20"/>
        </w:rPr>
        <w:t>720 6616</w:t>
      </w:r>
      <w:r w:rsidRPr="00191799">
        <w:rPr>
          <w:b/>
          <w:color w:val="595959" w:themeColor="text1" w:themeTint="A6"/>
          <w:sz w:val="20"/>
        </w:rPr>
        <w:t xml:space="preserve"> </w:t>
      </w:r>
    </w:p>
    <w:p w:rsidR="00854A82" w:rsidRPr="00191799" w:rsidRDefault="00854A82" w:rsidP="00576504">
      <w:pPr>
        <w:spacing w:after="0"/>
        <w:rPr>
          <w:b/>
          <w:color w:val="595959" w:themeColor="text1" w:themeTint="A6"/>
          <w:sz w:val="20"/>
        </w:rPr>
      </w:pPr>
      <w:r w:rsidRPr="00191799">
        <w:rPr>
          <w:b/>
          <w:color w:val="595959" w:themeColor="text1" w:themeTint="A6"/>
          <w:sz w:val="20"/>
        </w:rPr>
        <w:t>F:</w:t>
      </w:r>
      <w:r w:rsidRPr="00191799">
        <w:rPr>
          <w:color w:val="595959" w:themeColor="text1" w:themeTint="A6"/>
        </w:rPr>
        <w:t xml:space="preserve"> </w:t>
      </w:r>
      <w:r w:rsidRPr="00191799">
        <w:rPr>
          <w:b/>
          <w:color w:val="595959" w:themeColor="text1" w:themeTint="A6"/>
          <w:sz w:val="20"/>
        </w:rPr>
        <w:t xml:space="preserve">021 </w:t>
      </w:r>
      <w:r>
        <w:rPr>
          <w:b/>
          <w:color w:val="595959" w:themeColor="text1" w:themeTint="A6"/>
          <w:sz w:val="20"/>
        </w:rPr>
        <w:t>720 6616 ext.100</w:t>
      </w:r>
    </w:p>
    <w:p w:rsidR="00854A82" w:rsidRPr="00191799" w:rsidRDefault="00854A82" w:rsidP="00576504">
      <w:pPr>
        <w:spacing w:after="0"/>
        <w:rPr>
          <w:b/>
          <w:color w:val="595959" w:themeColor="text1" w:themeTint="A6"/>
          <w:sz w:val="20"/>
        </w:rPr>
      </w:pPr>
      <w:r w:rsidRPr="00191799">
        <w:rPr>
          <w:b/>
          <w:color w:val="595959" w:themeColor="text1" w:themeTint="A6"/>
          <w:sz w:val="20"/>
        </w:rPr>
        <w:t xml:space="preserve">E: </w:t>
      </w:r>
      <w:r>
        <w:rPr>
          <w:b/>
          <w:color w:val="595959" w:themeColor="text1" w:themeTint="A6"/>
          <w:sz w:val="20"/>
        </w:rPr>
        <w:t>simon.milligan@ep-pom.com</w:t>
      </w:r>
    </w:p>
    <w:p w:rsidR="00854A82" w:rsidRPr="00191799" w:rsidRDefault="00854A82" w:rsidP="00576504">
      <w:pPr>
        <w:spacing w:after="0"/>
        <w:rPr>
          <w:b/>
          <w:color w:val="595959" w:themeColor="text1" w:themeTint="A6"/>
          <w:sz w:val="20"/>
        </w:rPr>
      </w:pPr>
    </w:p>
    <w:p w:rsidR="00854A82" w:rsidRPr="00191799" w:rsidRDefault="00854A82" w:rsidP="00576504">
      <w:pPr>
        <w:spacing w:after="0"/>
        <w:rPr>
          <w:b/>
          <w:color w:val="595959" w:themeColor="text1" w:themeTint="A6"/>
          <w:sz w:val="18"/>
          <w:szCs w:val="18"/>
        </w:rPr>
      </w:pPr>
      <w:r w:rsidRPr="00191799">
        <w:rPr>
          <w:b/>
          <w:color w:val="595959" w:themeColor="text1" w:themeTint="A6"/>
          <w:sz w:val="18"/>
          <w:szCs w:val="18"/>
        </w:rPr>
        <w:t xml:space="preserve">Australian Aid – managed by </w:t>
      </w:r>
      <w:r>
        <w:rPr>
          <w:b/>
          <w:color w:val="595959" w:themeColor="text1" w:themeTint="A6"/>
          <w:sz w:val="18"/>
          <w:szCs w:val="18"/>
        </w:rPr>
        <w:t>GRM International Pty Ltd</w:t>
      </w:r>
    </w:p>
    <w:p w:rsidR="00854A82" w:rsidRPr="00191799" w:rsidRDefault="00854A82" w:rsidP="00576504">
      <w:pPr>
        <w:spacing w:after="0"/>
        <w:rPr>
          <w:b/>
          <w:color w:val="595959" w:themeColor="text1" w:themeTint="A6"/>
          <w:sz w:val="24"/>
          <w:szCs w:val="24"/>
        </w:rPr>
      </w:pPr>
    </w:p>
    <w:p w:rsidR="00854A82" w:rsidRPr="001449DE" w:rsidRDefault="00854A82" w:rsidP="00576504">
      <w:pPr>
        <w:spacing w:after="0"/>
      </w:pPr>
      <w:r w:rsidRPr="00191799">
        <w:rPr>
          <w:b/>
          <w:color w:val="595959" w:themeColor="text1" w:themeTint="A6"/>
          <w:sz w:val="24"/>
          <w:szCs w:val="24"/>
        </w:rPr>
        <w:t>www.kemitraanpendidikan.or.id</w:t>
      </w:r>
    </w:p>
    <w:sectPr w:rsidR="00854A82" w:rsidRPr="001449DE" w:rsidSect="009B6D6D">
      <w:headerReference w:type="first" r:id="rId108"/>
      <w:footerReference w:type="first" r:id="rId109"/>
      <w:footnotePr>
        <w:numRestart w:val="eachSect"/>
      </w:footnotePr>
      <w:endnotePr>
        <w:numRestart w:val="eachSect"/>
      </w:endnotePr>
      <w:pgSz w:w="11909" w:h="16834" w:code="9"/>
      <w:pgMar w:top="357" w:right="1440" w:bottom="1304" w:left="1440" w:header="431" w:footer="425"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46E5DE8" w15:done="0"/>
  <w15:commentEx w15:paraId="1CD4CF7C" w15:done="0"/>
  <w15:commentEx w15:paraId="2B2889D6" w15:done="0"/>
  <w15:commentEx w15:paraId="4D3C9CA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6549" w:rsidRDefault="00F66549">
      <w:r>
        <w:separator/>
      </w:r>
    </w:p>
  </w:endnote>
  <w:endnote w:type="continuationSeparator" w:id="0">
    <w:p w:rsidR="00F66549" w:rsidRDefault="00F66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Bold">
    <w:panose1 w:val="020B0704020202020204"/>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HelveticaNeueLT Std">
    <w:panose1 w:val="00000000000000000000"/>
    <w:charset w:val="00"/>
    <w:family w:val="swiss"/>
    <w:notTrueType/>
    <w:pitch w:val="variable"/>
    <w:sig w:usb0="800000AF" w:usb1="4000204A" w:usb2="00000000" w:usb3="00000000" w:csb0="00000001" w:csb1="00000000"/>
  </w:font>
  <w:font w:name="MinioMM_485 SB 585 NO 11 OP">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Gill Sans">
    <w:charset w:val="00"/>
    <w:family w:val="swiss"/>
    <w:pitch w:val="variable"/>
    <w:sig w:usb0="80000067" w:usb1="00000000" w:usb2="00000000" w:usb3="00000000" w:csb0="00000001" w:csb1="00000000"/>
  </w:font>
  <w:font w:name="Cardo">
    <w:charset w:val="00"/>
    <w:family w:val="roman"/>
    <w:pitch w:val="variable"/>
    <w:sig w:usb0="E40008FF" w:usb1="5201E0FB" w:usb2="04608000" w:usb3="00000000" w:csb0="000000BB" w:csb1="00000000"/>
  </w:font>
  <w:font w:name="Agency FB">
    <w:panose1 w:val="020B050302020202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C1D" w:rsidRDefault="00FE7C1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49" w:rsidRPr="0032365A" w:rsidRDefault="00F66549" w:rsidP="0032365A">
    <w:pPr>
      <w:pBdr>
        <w:top w:val="single" w:sz="4" w:space="1" w:color="auto"/>
      </w:pBdr>
      <w:ind w:right="29"/>
      <w:rPr>
        <w:rFonts w:ascii="Arial Narrow" w:hAnsi="Arial Narrow"/>
        <w:b/>
        <w:caps/>
        <w:color w:val="7F7F7F"/>
        <w:sz w:val="20"/>
      </w:rPr>
    </w:pPr>
    <w:r w:rsidRPr="00AF7AFA">
      <w:rPr>
        <w:rFonts w:asciiTheme="minorHAnsi" w:hAnsiTheme="minorHAnsi"/>
        <w:b/>
        <w:caps/>
        <w:color w:val="7F7F7F"/>
        <w:sz w:val="20"/>
      </w:rPr>
      <w:t>ANNU</w:t>
    </w:r>
    <w:r>
      <w:rPr>
        <w:rFonts w:asciiTheme="minorHAnsi" w:hAnsiTheme="minorHAnsi"/>
        <w:b/>
        <w:caps/>
        <w:color w:val="7F7F7F"/>
        <w:sz w:val="20"/>
      </w:rPr>
      <w:t>AL SECTOR financial REPORT (2012)</w:t>
    </w:r>
    <w:r>
      <w:rPr>
        <w:rFonts w:ascii="Arial Narrow" w:hAnsi="Arial Narrow"/>
        <w:b/>
        <w:caps/>
        <w:color w:val="7F7F7F"/>
        <w:sz w:val="20"/>
      </w:rPr>
      <w:ptab w:relativeTo="margin" w:alignment="right" w:leader="none"/>
    </w:r>
    <w:r w:rsidRPr="00AF7AFA">
      <w:rPr>
        <w:rFonts w:ascii="Arial Narrow" w:hAnsi="Arial Narrow"/>
        <w:b/>
        <w:caps/>
        <w:color w:val="7F7F7F"/>
        <w:sz w:val="20"/>
      </w:rPr>
      <w:fldChar w:fldCharType="begin"/>
    </w:r>
    <w:r w:rsidRPr="00AF7AFA">
      <w:rPr>
        <w:rFonts w:ascii="Arial Narrow" w:hAnsi="Arial Narrow"/>
        <w:b/>
        <w:caps/>
        <w:color w:val="7F7F7F"/>
        <w:sz w:val="20"/>
      </w:rPr>
      <w:instrText xml:space="preserve"> PAGE   \* MERGEFORMAT </w:instrText>
    </w:r>
    <w:r w:rsidRPr="00AF7AFA">
      <w:rPr>
        <w:rFonts w:ascii="Arial Narrow" w:hAnsi="Arial Narrow"/>
        <w:b/>
        <w:caps/>
        <w:color w:val="7F7F7F"/>
        <w:sz w:val="20"/>
      </w:rPr>
      <w:fldChar w:fldCharType="separate"/>
    </w:r>
    <w:r w:rsidR="00FE7C1D" w:rsidRPr="00FE7C1D">
      <w:rPr>
        <w:rFonts w:ascii="Arial Narrow" w:hAnsi="Arial Narrow"/>
        <w:b/>
        <w:noProof/>
        <w:color w:val="7F7F7F"/>
        <w:sz w:val="20"/>
      </w:rPr>
      <w:t>7</w:t>
    </w:r>
    <w:r w:rsidRPr="00AF7AFA">
      <w:rPr>
        <w:rFonts w:ascii="Arial Narrow" w:hAnsi="Arial Narrow"/>
        <w:b/>
        <w:caps/>
        <w:noProof/>
        <w:color w:val="7F7F7F"/>
        <w:sz w:val="2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49" w:rsidRPr="00DB55DD" w:rsidRDefault="00F66549" w:rsidP="00DB55DD">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49" w:rsidRPr="0032365A" w:rsidRDefault="00F66549" w:rsidP="0032365A">
    <w:pPr>
      <w:pBdr>
        <w:top w:val="single" w:sz="4" w:space="1" w:color="auto"/>
      </w:pBdr>
      <w:ind w:right="29"/>
      <w:rPr>
        <w:rFonts w:ascii="Arial Narrow" w:hAnsi="Arial Narrow"/>
        <w:b/>
        <w:caps/>
        <w:color w:val="7F7F7F"/>
        <w:sz w:val="20"/>
      </w:rPr>
    </w:pPr>
    <w:r w:rsidRPr="00AF7AFA">
      <w:rPr>
        <w:rFonts w:asciiTheme="minorHAnsi" w:hAnsiTheme="minorHAnsi"/>
        <w:b/>
        <w:caps/>
        <w:color w:val="7F7F7F"/>
        <w:sz w:val="20"/>
      </w:rPr>
      <w:t>ANNU</w:t>
    </w:r>
    <w:r>
      <w:rPr>
        <w:rFonts w:asciiTheme="minorHAnsi" w:hAnsiTheme="minorHAnsi"/>
        <w:b/>
        <w:caps/>
        <w:color w:val="7F7F7F"/>
        <w:sz w:val="20"/>
      </w:rPr>
      <w:t>AL SECTOR financial REPORT (2012)</w:t>
    </w:r>
    <w:r>
      <w:rPr>
        <w:rFonts w:ascii="Arial Narrow" w:hAnsi="Arial Narrow"/>
        <w:b/>
        <w:caps/>
        <w:color w:val="7F7F7F"/>
        <w:sz w:val="20"/>
      </w:rPr>
      <w:ptab w:relativeTo="margin" w:alignment="right" w:leader="none"/>
    </w:r>
    <w:r w:rsidRPr="00AF7AFA">
      <w:rPr>
        <w:rFonts w:ascii="Arial Narrow" w:hAnsi="Arial Narrow"/>
        <w:b/>
        <w:caps/>
        <w:color w:val="7F7F7F"/>
        <w:sz w:val="20"/>
      </w:rPr>
      <w:fldChar w:fldCharType="begin"/>
    </w:r>
    <w:r w:rsidRPr="00AF7AFA">
      <w:rPr>
        <w:rFonts w:ascii="Arial Narrow" w:hAnsi="Arial Narrow"/>
        <w:b/>
        <w:caps/>
        <w:color w:val="7F7F7F"/>
        <w:sz w:val="20"/>
      </w:rPr>
      <w:instrText xml:space="preserve"> PAGE   \* MERGEFORMAT </w:instrText>
    </w:r>
    <w:r w:rsidRPr="00AF7AFA">
      <w:rPr>
        <w:rFonts w:ascii="Arial Narrow" w:hAnsi="Arial Narrow"/>
        <w:b/>
        <w:caps/>
        <w:color w:val="7F7F7F"/>
        <w:sz w:val="20"/>
      </w:rPr>
      <w:fldChar w:fldCharType="separate"/>
    </w:r>
    <w:r w:rsidR="00FE7C1D" w:rsidRPr="00FE7C1D">
      <w:rPr>
        <w:rFonts w:ascii="Arial Narrow" w:hAnsi="Arial Narrow"/>
        <w:b/>
        <w:noProof/>
        <w:color w:val="7F7F7F"/>
        <w:sz w:val="20"/>
      </w:rPr>
      <w:t>18</w:t>
    </w:r>
    <w:r w:rsidRPr="00AF7AFA">
      <w:rPr>
        <w:rFonts w:ascii="Arial Narrow" w:hAnsi="Arial Narrow"/>
        <w:b/>
        <w:caps/>
        <w:noProof/>
        <w:color w:val="7F7F7F"/>
        <w:sz w:val="2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49" w:rsidRPr="00AF7AFA" w:rsidRDefault="00F66549" w:rsidP="00AF7AFA">
    <w:pPr>
      <w:pBdr>
        <w:top w:val="single" w:sz="4" w:space="1" w:color="auto"/>
      </w:pBdr>
      <w:ind w:right="29"/>
      <w:rPr>
        <w:rFonts w:ascii="Arial Narrow" w:hAnsi="Arial Narrow"/>
        <w:b/>
        <w:caps/>
        <w:color w:val="7F7F7F"/>
        <w:sz w:val="20"/>
      </w:rPr>
    </w:pPr>
    <w:r w:rsidRPr="00AF7AFA">
      <w:rPr>
        <w:rFonts w:asciiTheme="minorHAnsi" w:hAnsiTheme="minorHAnsi"/>
        <w:b/>
        <w:caps/>
        <w:color w:val="7F7F7F"/>
        <w:sz w:val="20"/>
      </w:rPr>
      <w:t>ANNU</w:t>
    </w:r>
    <w:r>
      <w:rPr>
        <w:rFonts w:asciiTheme="minorHAnsi" w:hAnsiTheme="minorHAnsi"/>
        <w:b/>
        <w:caps/>
        <w:color w:val="7F7F7F"/>
        <w:sz w:val="20"/>
      </w:rPr>
      <w:t>AL SECTOR FINANCIAL REPORT (2012)</w:t>
    </w:r>
    <w:r>
      <w:rPr>
        <w:rFonts w:ascii="Arial Narrow" w:hAnsi="Arial Narrow"/>
        <w:b/>
        <w:caps/>
        <w:color w:val="7F7F7F"/>
        <w:sz w:val="20"/>
      </w:rPr>
      <w:ptab w:relativeTo="margin" w:alignment="right" w:leader="none"/>
    </w:r>
    <w:r w:rsidRPr="00AF7AFA">
      <w:rPr>
        <w:rFonts w:ascii="Arial Narrow" w:hAnsi="Arial Narrow"/>
        <w:b/>
        <w:caps/>
        <w:color w:val="7F7F7F"/>
        <w:sz w:val="20"/>
      </w:rPr>
      <w:fldChar w:fldCharType="begin"/>
    </w:r>
    <w:r w:rsidRPr="00AF7AFA">
      <w:rPr>
        <w:rFonts w:ascii="Arial Narrow" w:hAnsi="Arial Narrow"/>
        <w:b/>
        <w:caps/>
        <w:color w:val="7F7F7F"/>
        <w:sz w:val="20"/>
      </w:rPr>
      <w:instrText xml:space="preserve"> PAGE   \* MERGEFORMAT </w:instrText>
    </w:r>
    <w:r w:rsidRPr="00AF7AFA">
      <w:rPr>
        <w:rFonts w:ascii="Arial Narrow" w:hAnsi="Arial Narrow"/>
        <w:b/>
        <w:caps/>
        <w:color w:val="7F7F7F"/>
        <w:sz w:val="20"/>
      </w:rPr>
      <w:fldChar w:fldCharType="separate"/>
    </w:r>
    <w:r w:rsidR="00FE7C1D">
      <w:rPr>
        <w:rFonts w:ascii="Arial Narrow" w:hAnsi="Arial Narrow"/>
        <w:b/>
        <w:caps/>
        <w:noProof/>
        <w:color w:val="7F7F7F"/>
        <w:sz w:val="20"/>
      </w:rPr>
      <w:t>59</w:t>
    </w:r>
    <w:r w:rsidRPr="00AF7AFA">
      <w:rPr>
        <w:rFonts w:ascii="Arial Narrow" w:hAnsi="Arial Narrow"/>
        <w:b/>
        <w:caps/>
        <w:noProof/>
        <w:color w:val="7F7F7F"/>
        <w:sz w:val="20"/>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49" w:rsidRPr="006B7952" w:rsidRDefault="00F66549" w:rsidP="006B7952">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49" w:rsidRPr="0032365A" w:rsidRDefault="00F66549" w:rsidP="0032365A">
    <w:pPr>
      <w:pBdr>
        <w:top w:val="single" w:sz="4" w:space="1" w:color="auto"/>
      </w:pBdr>
      <w:ind w:right="29"/>
      <w:rPr>
        <w:rFonts w:ascii="Arial Narrow" w:hAnsi="Arial Narrow"/>
        <w:b/>
        <w:caps/>
        <w:color w:val="7F7F7F"/>
        <w:sz w:val="20"/>
      </w:rPr>
    </w:pPr>
    <w:r w:rsidRPr="00AF7AFA">
      <w:rPr>
        <w:rFonts w:asciiTheme="minorHAnsi" w:hAnsiTheme="minorHAnsi"/>
        <w:b/>
        <w:caps/>
        <w:color w:val="7F7F7F"/>
        <w:sz w:val="20"/>
      </w:rPr>
      <w:t>ANNU</w:t>
    </w:r>
    <w:r>
      <w:rPr>
        <w:rFonts w:asciiTheme="minorHAnsi" w:hAnsiTheme="minorHAnsi"/>
        <w:b/>
        <w:caps/>
        <w:color w:val="7F7F7F"/>
        <w:sz w:val="20"/>
      </w:rPr>
      <w:t>AL SECTOR financial REPORT (2012)</w:t>
    </w:r>
    <w:r>
      <w:rPr>
        <w:rFonts w:ascii="Arial Narrow" w:hAnsi="Arial Narrow"/>
        <w:b/>
        <w:caps/>
        <w:color w:val="7F7F7F"/>
        <w:sz w:val="20"/>
      </w:rPr>
      <w:ptab w:relativeTo="margin" w:alignment="right" w:leader="none"/>
    </w:r>
    <w:r w:rsidRPr="00AF7AFA">
      <w:rPr>
        <w:rFonts w:ascii="Arial Narrow" w:hAnsi="Arial Narrow"/>
        <w:b/>
        <w:caps/>
        <w:color w:val="7F7F7F"/>
        <w:sz w:val="20"/>
      </w:rPr>
      <w:fldChar w:fldCharType="begin"/>
    </w:r>
    <w:r w:rsidRPr="00AF7AFA">
      <w:rPr>
        <w:rFonts w:ascii="Arial Narrow" w:hAnsi="Arial Narrow"/>
        <w:b/>
        <w:caps/>
        <w:color w:val="7F7F7F"/>
        <w:sz w:val="20"/>
      </w:rPr>
      <w:instrText xml:space="preserve"> PAGE   \* MERGEFORMAT </w:instrText>
    </w:r>
    <w:r w:rsidRPr="00AF7AFA">
      <w:rPr>
        <w:rFonts w:ascii="Arial Narrow" w:hAnsi="Arial Narrow"/>
        <w:b/>
        <w:caps/>
        <w:color w:val="7F7F7F"/>
        <w:sz w:val="20"/>
      </w:rPr>
      <w:fldChar w:fldCharType="separate"/>
    </w:r>
    <w:r w:rsidR="00FE7C1D" w:rsidRPr="00FE7C1D">
      <w:rPr>
        <w:rFonts w:ascii="Arial Narrow" w:hAnsi="Arial Narrow"/>
        <w:b/>
        <w:noProof/>
        <w:color w:val="7F7F7F"/>
        <w:sz w:val="20"/>
      </w:rPr>
      <w:t>58</w:t>
    </w:r>
    <w:r w:rsidRPr="00AF7AFA">
      <w:rPr>
        <w:rFonts w:ascii="Arial Narrow" w:hAnsi="Arial Narrow"/>
        <w:b/>
        <w:caps/>
        <w:noProof/>
        <w:color w:val="7F7F7F"/>
        <w:sz w:val="20"/>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49" w:rsidRPr="00AF7AFA" w:rsidRDefault="00F66549" w:rsidP="00AF7AFA">
    <w:pPr>
      <w:pBdr>
        <w:top w:val="single" w:sz="4" w:space="1" w:color="auto"/>
      </w:pBdr>
      <w:ind w:right="29"/>
      <w:rPr>
        <w:rFonts w:ascii="Arial Narrow" w:hAnsi="Arial Narrow"/>
        <w:b/>
        <w:caps/>
        <w:color w:val="7F7F7F"/>
        <w:sz w:val="20"/>
      </w:rPr>
    </w:pPr>
    <w:r w:rsidRPr="00AF7AFA">
      <w:rPr>
        <w:rFonts w:asciiTheme="minorHAnsi" w:hAnsiTheme="minorHAnsi"/>
        <w:b/>
        <w:caps/>
        <w:color w:val="7F7F7F"/>
        <w:sz w:val="20"/>
      </w:rPr>
      <w:t>ANNU</w:t>
    </w:r>
    <w:r>
      <w:rPr>
        <w:rFonts w:asciiTheme="minorHAnsi" w:hAnsiTheme="minorHAnsi"/>
        <w:b/>
        <w:caps/>
        <w:color w:val="7F7F7F"/>
        <w:sz w:val="20"/>
      </w:rPr>
      <w:t>AL SECTOR FINANCIAL REPORT (2012)</w:t>
    </w:r>
    <w:r>
      <w:rPr>
        <w:rFonts w:ascii="Arial Narrow" w:hAnsi="Arial Narrow"/>
        <w:b/>
        <w:caps/>
        <w:color w:val="7F7F7F"/>
        <w:sz w:val="20"/>
      </w:rPr>
      <w:ptab w:relativeTo="margin" w:alignment="right" w:leader="none"/>
    </w:r>
    <w:r w:rsidRPr="00AF7AFA">
      <w:rPr>
        <w:rFonts w:ascii="Arial Narrow" w:hAnsi="Arial Narrow"/>
        <w:b/>
        <w:caps/>
        <w:color w:val="7F7F7F"/>
        <w:sz w:val="20"/>
      </w:rPr>
      <w:fldChar w:fldCharType="begin"/>
    </w:r>
    <w:r w:rsidRPr="00AF7AFA">
      <w:rPr>
        <w:rFonts w:ascii="Arial Narrow" w:hAnsi="Arial Narrow"/>
        <w:b/>
        <w:caps/>
        <w:color w:val="7F7F7F"/>
        <w:sz w:val="20"/>
      </w:rPr>
      <w:instrText xml:space="preserve"> PAGE   \* MERGEFORMAT </w:instrText>
    </w:r>
    <w:r w:rsidRPr="00AF7AFA">
      <w:rPr>
        <w:rFonts w:ascii="Arial Narrow" w:hAnsi="Arial Narrow"/>
        <w:b/>
        <w:caps/>
        <w:color w:val="7F7F7F"/>
        <w:sz w:val="20"/>
      </w:rPr>
      <w:fldChar w:fldCharType="separate"/>
    </w:r>
    <w:r w:rsidR="00FE7C1D">
      <w:rPr>
        <w:rFonts w:ascii="Arial Narrow" w:hAnsi="Arial Narrow"/>
        <w:b/>
        <w:caps/>
        <w:noProof/>
        <w:color w:val="7F7F7F"/>
        <w:sz w:val="20"/>
      </w:rPr>
      <w:t>63</w:t>
    </w:r>
    <w:r w:rsidRPr="00AF7AFA">
      <w:rPr>
        <w:rFonts w:ascii="Arial Narrow" w:hAnsi="Arial Narrow"/>
        <w:b/>
        <w:caps/>
        <w:noProof/>
        <w:color w:val="7F7F7F"/>
        <w:sz w:val="20"/>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49" w:rsidRPr="004B7458" w:rsidRDefault="00F66549" w:rsidP="004B7458">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49" w:rsidRPr="0032365A" w:rsidRDefault="00F66549" w:rsidP="0032365A">
    <w:pPr>
      <w:pBdr>
        <w:top w:val="single" w:sz="4" w:space="1" w:color="auto"/>
      </w:pBdr>
      <w:ind w:right="29"/>
      <w:rPr>
        <w:rFonts w:ascii="Arial Narrow" w:hAnsi="Arial Narrow"/>
        <w:b/>
        <w:caps/>
        <w:color w:val="7F7F7F"/>
        <w:sz w:val="20"/>
      </w:rPr>
    </w:pPr>
    <w:r w:rsidRPr="00AF7AFA">
      <w:rPr>
        <w:rFonts w:asciiTheme="minorHAnsi" w:hAnsiTheme="minorHAnsi"/>
        <w:b/>
        <w:caps/>
        <w:color w:val="7F7F7F"/>
        <w:sz w:val="20"/>
      </w:rPr>
      <w:t>ANNU</w:t>
    </w:r>
    <w:r>
      <w:rPr>
        <w:rFonts w:asciiTheme="minorHAnsi" w:hAnsiTheme="minorHAnsi"/>
        <w:b/>
        <w:caps/>
        <w:color w:val="7F7F7F"/>
        <w:sz w:val="20"/>
      </w:rPr>
      <w:t>AL SECTOR financial REPORT (2012)</w:t>
    </w:r>
    <w:r>
      <w:rPr>
        <w:rFonts w:ascii="Arial Narrow" w:hAnsi="Arial Narrow"/>
        <w:b/>
        <w:caps/>
        <w:color w:val="7F7F7F"/>
        <w:sz w:val="20"/>
      </w:rPr>
      <w:ptab w:relativeTo="margin" w:alignment="right" w:leader="none"/>
    </w:r>
    <w:r w:rsidRPr="00AF7AFA">
      <w:rPr>
        <w:rFonts w:ascii="Arial Narrow" w:hAnsi="Arial Narrow"/>
        <w:b/>
        <w:caps/>
        <w:color w:val="7F7F7F"/>
        <w:sz w:val="20"/>
      </w:rPr>
      <w:fldChar w:fldCharType="begin"/>
    </w:r>
    <w:r w:rsidRPr="00AF7AFA">
      <w:rPr>
        <w:rFonts w:ascii="Arial Narrow" w:hAnsi="Arial Narrow"/>
        <w:b/>
        <w:caps/>
        <w:color w:val="7F7F7F"/>
        <w:sz w:val="20"/>
      </w:rPr>
      <w:instrText xml:space="preserve"> PAGE   \* MERGEFORMAT </w:instrText>
    </w:r>
    <w:r w:rsidRPr="00AF7AFA">
      <w:rPr>
        <w:rFonts w:ascii="Arial Narrow" w:hAnsi="Arial Narrow"/>
        <w:b/>
        <w:caps/>
        <w:color w:val="7F7F7F"/>
        <w:sz w:val="20"/>
      </w:rPr>
      <w:fldChar w:fldCharType="separate"/>
    </w:r>
    <w:r w:rsidR="00FE7C1D" w:rsidRPr="00FE7C1D">
      <w:rPr>
        <w:rFonts w:ascii="Arial Narrow" w:hAnsi="Arial Narrow"/>
        <w:b/>
        <w:noProof/>
        <w:color w:val="7F7F7F"/>
        <w:sz w:val="20"/>
      </w:rPr>
      <w:t>67</w:t>
    </w:r>
    <w:r w:rsidRPr="00AF7AFA">
      <w:rPr>
        <w:rFonts w:ascii="Arial Narrow" w:hAnsi="Arial Narrow"/>
        <w:b/>
        <w:caps/>
        <w:noProof/>
        <w:color w:val="7F7F7F"/>
        <w:sz w:val="20"/>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49" w:rsidRPr="00AF7AFA" w:rsidRDefault="00F66549" w:rsidP="00AF7AFA">
    <w:pPr>
      <w:pBdr>
        <w:top w:val="single" w:sz="4" w:space="1" w:color="auto"/>
      </w:pBdr>
      <w:ind w:right="29"/>
      <w:rPr>
        <w:rFonts w:ascii="Arial Narrow" w:hAnsi="Arial Narrow"/>
        <w:b/>
        <w:caps/>
        <w:color w:val="7F7F7F"/>
        <w:sz w:val="20"/>
      </w:rPr>
    </w:pPr>
    <w:r w:rsidRPr="00AF7AFA">
      <w:rPr>
        <w:rFonts w:asciiTheme="minorHAnsi" w:hAnsiTheme="minorHAnsi"/>
        <w:b/>
        <w:caps/>
        <w:color w:val="7F7F7F"/>
        <w:sz w:val="20"/>
      </w:rPr>
      <w:t>ANNU</w:t>
    </w:r>
    <w:r>
      <w:rPr>
        <w:rFonts w:asciiTheme="minorHAnsi" w:hAnsiTheme="minorHAnsi"/>
        <w:b/>
        <w:caps/>
        <w:color w:val="7F7F7F"/>
        <w:sz w:val="20"/>
      </w:rPr>
      <w:t>AL SECTOR FINANCIAL REPORT (2012)</w:t>
    </w:r>
    <w:r>
      <w:rPr>
        <w:rFonts w:ascii="Arial Narrow" w:hAnsi="Arial Narrow"/>
        <w:b/>
        <w:caps/>
        <w:color w:val="7F7F7F"/>
        <w:sz w:val="20"/>
      </w:rPr>
      <w:ptab w:relativeTo="margin" w:alignment="right" w:leader="none"/>
    </w:r>
    <w:r w:rsidRPr="00AF7AFA">
      <w:rPr>
        <w:rFonts w:ascii="Arial Narrow" w:hAnsi="Arial Narrow"/>
        <w:b/>
        <w:caps/>
        <w:color w:val="7F7F7F"/>
        <w:sz w:val="20"/>
      </w:rPr>
      <w:fldChar w:fldCharType="begin"/>
    </w:r>
    <w:r w:rsidRPr="00AF7AFA">
      <w:rPr>
        <w:rFonts w:ascii="Arial Narrow" w:hAnsi="Arial Narrow"/>
        <w:b/>
        <w:caps/>
        <w:color w:val="7F7F7F"/>
        <w:sz w:val="20"/>
      </w:rPr>
      <w:instrText xml:space="preserve"> PAGE   \* MERGEFORMAT </w:instrText>
    </w:r>
    <w:r w:rsidRPr="00AF7AFA">
      <w:rPr>
        <w:rFonts w:ascii="Arial Narrow" w:hAnsi="Arial Narrow"/>
        <w:b/>
        <w:caps/>
        <w:color w:val="7F7F7F"/>
        <w:sz w:val="20"/>
      </w:rPr>
      <w:fldChar w:fldCharType="separate"/>
    </w:r>
    <w:r w:rsidR="00FE7C1D">
      <w:rPr>
        <w:rFonts w:ascii="Arial Narrow" w:hAnsi="Arial Narrow"/>
        <w:b/>
        <w:caps/>
        <w:noProof/>
        <w:color w:val="7F7F7F"/>
        <w:sz w:val="20"/>
      </w:rPr>
      <w:t>66</w:t>
    </w:r>
    <w:r w:rsidRPr="00AF7AFA">
      <w:rPr>
        <w:rFonts w:ascii="Arial Narrow" w:hAnsi="Arial Narrow"/>
        <w:b/>
        <w:caps/>
        <w:noProof/>
        <w:color w:val="7F7F7F"/>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C1D" w:rsidRDefault="00FE7C1D">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49" w:rsidRPr="00AF7AFA" w:rsidRDefault="00F66549" w:rsidP="00AF7AFA">
    <w:pPr>
      <w:pBdr>
        <w:top w:val="single" w:sz="4" w:space="1" w:color="auto"/>
      </w:pBdr>
      <w:ind w:right="29"/>
      <w:rPr>
        <w:rFonts w:ascii="Arial Narrow" w:hAnsi="Arial Narrow"/>
        <w:b/>
        <w:caps/>
        <w:color w:val="7F7F7F"/>
        <w:sz w:val="20"/>
      </w:rPr>
    </w:pPr>
    <w:r w:rsidRPr="00AF7AFA">
      <w:rPr>
        <w:rFonts w:asciiTheme="minorHAnsi" w:hAnsiTheme="minorHAnsi"/>
        <w:b/>
        <w:caps/>
        <w:color w:val="7F7F7F"/>
        <w:sz w:val="20"/>
      </w:rPr>
      <w:t>ANNU</w:t>
    </w:r>
    <w:r>
      <w:rPr>
        <w:rFonts w:asciiTheme="minorHAnsi" w:hAnsiTheme="minorHAnsi"/>
        <w:b/>
        <w:caps/>
        <w:color w:val="7F7F7F"/>
        <w:sz w:val="20"/>
      </w:rPr>
      <w:t>AL SECTOR FINANCIAL REPORT (2012)</w:t>
    </w:r>
    <w:r>
      <w:rPr>
        <w:rFonts w:ascii="Arial Narrow" w:hAnsi="Arial Narrow"/>
        <w:b/>
        <w:caps/>
        <w:color w:val="7F7F7F"/>
        <w:sz w:val="20"/>
      </w:rPr>
      <w:ptab w:relativeTo="margin" w:alignment="right" w:leader="none"/>
    </w:r>
    <w:r w:rsidRPr="00AF7AFA">
      <w:rPr>
        <w:rFonts w:ascii="Arial Narrow" w:hAnsi="Arial Narrow"/>
        <w:b/>
        <w:caps/>
        <w:color w:val="7F7F7F"/>
        <w:sz w:val="20"/>
      </w:rPr>
      <w:fldChar w:fldCharType="begin"/>
    </w:r>
    <w:r w:rsidRPr="00AF7AFA">
      <w:rPr>
        <w:rFonts w:ascii="Arial Narrow" w:hAnsi="Arial Narrow"/>
        <w:b/>
        <w:caps/>
        <w:color w:val="7F7F7F"/>
        <w:sz w:val="20"/>
      </w:rPr>
      <w:instrText xml:space="preserve"> PAGE   \* MERGEFORMAT </w:instrText>
    </w:r>
    <w:r w:rsidRPr="00AF7AFA">
      <w:rPr>
        <w:rFonts w:ascii="Arial Narrow" w:hAnsi="Arial Narrow"/>
        <w:b/>
        <w:caps/>
        <w:color w:val="7F7F7F"/>
        <w:sz w:val="20"/>
      </w:rPr>
      <w:fldChar w:fldCharType="separate"/>
    </w:r>
    <w:r w:rsidR="00FE7C1D">
      <w:rPr>
        <w:rFonts w:ascii="Arial Narrow" w:hAnsi="Arial Narrow"/>
        <w:b/>
        <w:caps/>
        <w:noProof/>
        <w:color w:val="7F7F7F"/>
        <w:sz w:val="20"/>
      </w:rPr>
      <w:t>76</w:t>
    </w:r>
    <w:r w:rsidRPr="00AF7AFA">
      <w:rPr>
        <w:rFonts w:ascii="Arial Narrow" w:hAnsi="Arial Narrow"/>
        <w:b/>
        <w:caps/>
        <w:noProof/>
        <w:color w:val="7F7F7F"/>
        <w:sz w:val="20"/>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49" w:rsidRPr="00576504" w:rsidRDefault="00F66549" w:rsidP="0057650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C1D" w:rsidRDefault="00FE7C1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49" w:rsidRPr="00AF7AFA" w:rsidRDefault="00F66549" w:rsidP="00AF7AFA">
    <w:pPr>
      <w:pBdr>
        <w:top w:val="single" w:sz="4" w:space="1" w:color="auto"/>
      </w:pBdr>
      <w:ind w:right="29"/>
      <w:rPr>
        <w:rFonts w:ascii="Arial Narrow" w:hAnsi="Arial Narrow"/>
        <w:b/>
        <w:caps/>
        <w:color w:val="7F7F7F"/>
        <w:sz w:val="20"/>
      </w:rPr>
    </w:pPr>
    <w:r w:rsidRPr="00AF7AFA">
      <w:rPr>
        <w:rFonts w:asciiTheme="minorHAnsi" w:hAnsiTheme="minorHAnsi"/>
        <w:b/>
        <w:caps/>
        <w:color w:val="7F7F7F"/>
        <w:sz w:val="20"/>
      </w:rPr>
      <w:t>ANNU</w:t>
    </w:r>
    <w:r>
      <w:rPr>
        <w:rFonts w:asciiTheme="minorHAnsi" w:hAnsiTheme="minorHAnsi"/>
        <w:b/>
        <w:caps/>
        <w:color w:val="7F7F7F"/>
        <w:sz w:val="20"/>
      </w:rPr>
      <w:t>AL SECTOR financial REPORT (2012)</w:t>
    </w:r>
    <w:r>
      <w:rPr>
        <w:rFonts w:ascii="Arial Narrow" w:hAnsi="Arial Narrow"/>
        <w:b/>
        <w:caps/>
        <w:color w:val="7F7F7F"/>
        <w:sz w:val="20"/>
      </w:rPr>
      <w:ptab w:relativeTo="margin" w:alignment="right" w:leader="none"/>
    </w:r>
    <w:r w:rsidRPr="00AF7AFA">
      <w:rPr>
        <w:rFonts w:ascii="Arial Narrow" w:hAnsi="Arial Narrow"/>
        <w:b/>
        <w:caps/>
        <w:color w:val="7F7F7F"/>
        <w:sz w:val="20"/>
      </w:rPr>
      <w:fldChar w:fldCharType="begin"/>
    </w:r>
    <w:r w:rsidRPr="00AF7AFA">
      <w:rPr>
        <w:rFonts w:ascii="Arial Narrow" w:hAnsi="Arial Narrow"/>
        <w:b/>
        <w:caps/>
        <w:color w:val="7F7F7F"/>
        <w:sz w:val="20"/>
      </w:rPr>
      <w:instrText xml:space="preserve"> PAGE   \* MERGEFORMAT </w:instrText>
    </w:r>
    <w:r w:rsidRPr="00AF7AFA">
      <w:rPr>
        <w:rFonts w:ascii="Arial Narrow" w:hAnsi="Arial Narrow"/>
        <w:b/>
        <w:caps/>
        <w:color w:val="7F7F7F"/>
        <w:sz w:val="20"/>
      </w:rPr>
      <w:fldChar w:fldCharType="separate"/>
    </w:r>
    <w:r w:rsidR="00FE7C1D" w:rsidRPr="00FE7C1D">
      <w:rPr>
        <w:rFonts w:ascii="Arial Narrow" w:hAnsi="Arial Narrow"/>
        <w:b/>
        <w:noProof/>
        <w:color w:val="7F7F7F"/>
        <w:sz w:val="20"/>
      </w:rPr>
      <w:t>xiii</w:t>
    </w:r>
    <w:r w:rsidRPr="00AF7AFA">
      <w:rPr>
        <w:rFonts w:ascii="Arial Narrow" w:hAnsi="Arial Narrow"/>
        <w:b/>
        <w:caps/>
        <w:noProof/>
        <w:color w:val="7F7F7F"/>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49" w:rsidRPr="0032365A" w:rsidRDefault="00F66549" w:rsidP="0032365A">
    <w:pPr>
      <w:pBdr>
        <w:top w:val="single" w:sz="4" w:space="1" w:color="auto"/>
      </w:pBdr>
      <w:ind w:right="29"/>
      <w:rPr>
        <w:rFonts w:ascii="Arial Narrow" w:hAnsi="Arial Narrow"/>
        <w:b/>
        <w:caps/>
        <w:color w:val="7F7F7F"/>
        <w:sz w:val="20"/>
      </w:rPr>
    </w:pPr>
    <w:r w:rsidRPr="00AF7AFA">
      <w:rPr>
        <w:rFonts w:asciiTheme="minorHAnsi" w:hAnsiTheme="minorHAnsi"/>
        <w:b/>
        <w:caps/>
        <w:color w:val="7F7F7F"/>
        <w:sz w:val="20"/>
      </w:rPr>
      <w:t>ANNU</w:t>
    </w:r>
    <w:r>
      <w:rPr>
        <w:rFonts w:asciiTheme="minorHAnsi" w:hAnsiTheme="minorHAnsi"/>
        <w:b/>
        <w:caps/>
        <w:color w:val="7F7F7F"/>
        <w:sz w:val="20"/>
      </w:rPr>
      <w:t>AL SECTOR financial REPORT (2012)</w:t>
    </w:r>
    <w:r>
      <w:rPr>
        <w:rFonts w:ascii="Arial Narrow" w:hAnsi="Arial Narrow"/>
        <w:b/>
        <w:caps/>
        <w:color w:val="7F7F7F"/>
        <w:sz w:val="20"/>
      </w:rPr>
      <w:ptab w:relativeTo="margin" w:alignment="right" w:leader="none"/>
    </w:r>
    <w:r w:rsidRPr="00AF7AFA">
      <w:rPr>
        <w:rFonts w:ascii="Arial Narrow" w:hAnsi="Arial Narrow"/>
        <w:b/>
        <w:caps/>
        <w:color w:val="7F7F7F"/>
        <w:sz w:val="20"/>
      </w:rPr>
      <w:fldChar w:fldCharType="begin"/>
    </w:r>
    <w:r w:rsidRPr="00AF7AFA">
      <w:rPr>
        <w:rFonts w:ascii="Arial Narrow" w:hAnsi="Arial Narrow"/>
        <w:b/>
        <w:caps/>
        <w:color w:val="7F7F7F"/>
        <w:sz w:val="20"/>
      </w:rPr>
      <w:instrText xml:space="preserve"> PAGE   \* MERGEFORMAT </w:instrText>
    </w:r>
    <w:r w:rsidRPr="00AF7AFA">
      <w:rPr>
        <w:rFonts w:ascii="Arial Narrow" w:hAnsi="Arial Narrow"/>
        <w:b/>
        <w:caps/>
        <w:color w:val="7F7F7F"/>
        <w:sz w:val="20"/>
      </w:rPr>
      <w:fldChar w:fldCharType="separate"/>
    </w:r>
    <w:r w:rsidR="00FE7C1D" w:rsidRPr="00FE7C1D">
      <w:rPr>
        <w:rFonts w:ascii="Arial Narrow" w:hAnsi="Arial Narrow"/>
        <w:b/>
        <w:noProof/>
        <w:color w:val="7F7F7F"/>
        <w:sz w:val="20"/>
      </w:rPr>
      <w:t>vii</w:t>
    </w:r>
    <w:r w:rsidRPr="00AF7AFA">
      <w:rPr>
        <w:rFonts w:ascii="Arial Narrow" w:hAnsi="Arial Narrow"/>
        <w:b/>
        <w:caps/>
        <w:noProof/>
        <w:color w:val="7F7F7F"/>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49" w:rsidRPr="00AF7AFA" w:rsidRDefault="00F66549" w:rsidP="00AF7AFA">
    <w:pPr>
      <w:pBdr>
        <w:top w:val="single" w:sz="4" w:space="1" w:color="auto"/>
      </w:pBdr>
      <w:ind w:right="29"/>
      <w:rPr>
        <w:rFonts w:ascii="Arial Narrow" w:hAnsi="Arial Narrow"/>
        <w:b/>
        <w:caps/>
        <w:color w:val="7F7F7F"/>
        <w:sz w:val="20"/>
      </w:rPr>
    </w:pPr>
    <w:r w:rsidRPr="00AF7AFA">
      <w:rPr>
        <w:rFonts w:asciiTheme="minorHAnsi" w:hAnsiTheme="minorHAnsi"/>
        <w:b/>
        <w:caps/>
        <w:color w:val="7F7F7F"/>
        <w:sz w:val="20"/>
      </w:rPr>
      <w:t>ANNU</w:t>
    </w:r>
    <w:r>
      <w:rPr>
        <w:rFonts w:asciiTheme="minorHAnsi" w:hAnsiTheme="minorHAnsi"/>
        <w:b/>
        <w:caps/>
        <w:color w:val="7F7F7F"/>
        <w:sz w:val="20"/>
      </w:rPr>
      <w:t>AL SECTOR FINANCIAL REPORT (2012)</w:t>
    </w:r>
    <w:r>
      <w:rPr>
        <w:rFonts w:ascii="Arial Narrow" w:hAnsi="Arial Narrow"/>
        <w:b/>
        <w:caps/>
        <w:color w:val="7F7F7F"/>
        <w:sz w:val="20"/>
      </w:rPr>
      <w:ptab w:relativeTo="margin" w:alignment="right" w:leader="none"/>
    </w:r>
    <w:r w:rsidRPr="00AF7AFA">
      <w:rPr>
        <w:rFonts w:ascii="Arial Narrow" w:hAnsi="Arial Narrow"/>
        <w:b/>
        <w:caps/>
        <w:color w:val="7F7F7F"/>
        <w:sz w:val="20"/>
      </w:rPr>
      <w:fldChar w:fldCharType="begin"/>
    </w:r>
    <w:r w:rsidRPr="00AF7AFA">
      <w:rPr>
        <w:rFonts w:ascii="Arial Narrow" w:hAnsi="Arial Narrow"/>
        <w:b/>
        <w:caps/>
        <w:color w:val="7F7F7F"/>
        <w:sz w:val="20"/>
      </w:rPr>
      <w:instrText xml:space="preserve"> PAGE   \* MERGEFORMAT </w:instrText>
    </w:r>
    <w:r w:rsidRPr="00AF7AFA">
      <w:rPr>
        <w:rFonts w:ascii="Arial Narrow" w:hAnsi="Arial Narrow"/>
        <w:b/>
        <w:caps/>
        <w:color w:val="7F7F7F"/>
        <w:sz w:val="20"/>
      </w:rPr>
      <w:fldChar w:fldCharType="separate"/>
    </w:r>
    <w:r w:rsidR="00FE7C1D">
      <w:rPr>
        <w:rFonts w:ascii="Arial Narrow" w:hAnsi="Arial Narrow"/>
        <w:b/>
        <w:caps/>
        <w:noProof/>
        <w:color w:val="7F7F7F"/>
        <w:sz w:val="20"/>
      </w:rPr>
      <w:t>56</w:t>
    </w:r>
    <w:r w:rsidRPr="00AF7AFA">
      <w:rPr>
        <w:rFonts w:ascii="Arial Narrow" w:hAnsi="Arial Narrow"/>
        <w:b/>
        <w:caps/>
        <w:noProof/>
        <w:color w:val="7F7F7F"/>
        <w:sz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49" w:rsidRPr="00EF388E" w:rsidRDefault="00F66549" w:rsidP="00EF388E">
    <w:r>
      <w:rPr>
        <w:noProof/>
        <w:color w:val="000000" w:themeColor="text1"/>
        <w:sz w:val="28"/>
        <w:szCs w:val="28"/>
        <w:lang w:val="en-AU" w:eastAsia="en-AU"/>
      </w:rPr>
      <w:drawing>
        <wp:anchor distT="0" distB="0" distL="114300" distR="114300" simplePos="0" relativeHeight="251673600" behindDoc="1" locked="0" layoutInCell="1" allowOverlap="1" wp14:anchorId="48B9C75A" wp14:editId="1A21989F">
          <wp:simplePos x="0" y="0"/>
          <wp:positionH relativeFrom="page">
            <wp:posOffset>-8890</wp:posOffset>
          </wp:positionH>
          <wp:positionV relativeFrom="page">
            <wp:posOffset>-9525</wp:posOffset>
          </wp:positionV>
          <wp:extent cx="7580630" cy="10709275"/>
          <wp:effectExtent l="0" t="0" r="1270" b="0"/>
          <wp:wrapNone/>
          <wp:docPr id="2646" name="Picture 2646" descr="D:\WORK\EPOS AusAid\130212 FINAL\Templates 2\Reports\130228 Report Contents-Chapter-Div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EPOS AusAid\130212 FINAL\Templates 2\Reports\130228 Report Contents-Chapter-Divid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80630" cy="1070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365A">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49" w:rsidRPr="0032365A" w:rsidRDefault="00F66549" w:rsidP="0032365A">
    <w:pPr>
      <w:pBdr>
        <w:top w:val="single" w:sz="4" w:space="1" w:color="auto"/>
      </w:pBdr>
      <w:ind w:right="29"/>
      <w:rPr>
        <w:rFonts w:ascii="Arial Narrow" w:hAnsi="Arial Narrow"/>
        <w:b/>
        <w:caps/>
        <w:color w:val="7F7F7F"/>
        <w:sz w:val="20"/>
      </w:rPr>
    </w:pPr>
    <w:r w:rsidRPr="00AF7AFA">
      <w:rPr>
        <w:rFonts w:asciiTheme="minorHAnsi" w:hAnsiTheme="minorHAnsi"/>
        <w:b/>
        <w:caps/>
        <w:color w:val="7F7F7F"/>
        <w:sz w:val="20"/>
      </w:rPr>
      <w:t>ANNU</w:t>
    </w:r>
    <w:r>
      <w:rPr>
        <w:rFonts w:asciiTheme="minorHAnsi" w:hAnsiTheme="minorHAnsi"/>
        <w:b/>
        <w:caps/>
        <w:color w:val="7F7F7F"/>
        <w:sz w:val="20"/>
      </w:rPr>
      <w:t>AL SECTOR financial REPORT (2012)</w:t>
    </w:r>
    <w:r>
      <w:rPr>
        <w:rFonts w:ascii="Arial Narrow" w:hAnsi="Arial Narrow"/>
        <w:b/>
        <w:caps/>
        <w:color w:val="7F7F7F"/>
        <w:sz w:val="20"/>
      </w:rPr>
      <w:ptab w:relativeTo="margin" w:alignment="right" w:leader="none"/>
    </w:r>
    <w:r w:rsidRPr="00AF7AFA">
      <w:rPr>
        <w:rFonts w:ascii="Arial Narrow" w:hAnsi="Arial Narrow"/>
        <w:b/>
        <w:caps/>
        <w:color w:val="7F7F7F"/>
        <w:sz w:val="20"/>
      </w:rPr>
      <w:fldChar w:fldCharType="begin"/>
    </w:r>
    <w:r w:rsidRPr="00AF7AFA">
      <w:rPr>
        <w:rFonts w:ascii="Arial Narrow" w:hAnsi="Arial Narrow"/>
        <w:b/>
        <w:caps/>
        <w:color w:val="7F7F7F"/>
        <w:sz w:val="20"/>
      </w:rPr>
      <w:instrText xml:space="preserve"> PAGE   \* MERGEFORMAT </w:instrText>
    </w:r>
    <w:r w:rsidRPr="00AF7AFA">
      <w:rPr>
        <w:rFonts w:ascii="Arial Narrow" w:hAnsi="Arial Narrow"/>
        <w:b/>
        <w:caps/>
        <w:color w:val="7F7F7F"/>
        <w:sz w:val="20"/>
      </w:rPr>
      <w:fldChar w:fldCharType="separate"/>
    </w:r>
    <w:r w:rsidR="00FE7C1D" w:rsidRPr="00FE7C1D">
      <w:rPr>
        <w:rFonts w:ascii="Arial Narrow" w:hAnsi="Arial Narrow"/>
        <w:b/>
        <w:noProof/>
        <w:color w:val="7F7F7F"/>
        <w:sz w:val="20"/>
      </w:rPr>
      <w:t>2</w:t>
    </w:r>
    <w:r w:rsidRPr="00AF7AFA">
      <w:rPr>
        <w:rFonts w:ascii="Arial Narrow" w:hAnsi="Arial Narrow"/>
        <w:b/>
        <w:caps/>
        <w:noProof/>
        <w:color w:val="7F7F7F"/>
        <w:sz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49" w:rsidRPr="00EF388E" w:rsidRDefault="00F66549" w:rsidP="00EF38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6549" w:rsidRDefault="00F66549">
      <w:r>
        <w:separator/>
      </w:r>
    </w:p>
  </w:footnote>
  <w:footnote w:type="continuationSeparator" w:id="0">
    <w:p w:rsidR="00F66549" w:rsidRDefault="00F66549">
      <w:r>
        <w:continuationSeparator/>
      </w:r>
    </w:p>
    <w:p w:rsidR="00F66549" w:rsidRDefault="00F66549"/>
    <w:p w:rsidR="00F66549" w:rsidRDefault="00F66549" w:rsidP="00633791"/>
    <w:p w:rsidR="00F66549" w:rsidRDefault="00F66549" w:rsidP="001F37C9"/>
    <w:p w:rsidR="00F66549" w:rsidRDefault="00F66549" w:rsidP="001C41DC"/>
    <w:p w:rsidR="00F66549" w:rsidRDefault="00F66549"/>
  </w:footnote>
  <w:footnote w:id="1">
    <w:p w:rsidR="00F66549" w:rsidRPr="005419F4" w:rsidRDefault="00F66549" w:rsidP="00EF388E">
      <w:pPr>
        <w:pStyle w:val="FootnoteText"/>
        <w:ind w:left="170" w:hanging="170"/>
        <w:jc w:val="both"/>
        <w:rPr>
          <w:rFonts w:asciiTheme="minorHAnsi" w:hAnsiTheme="minorHAnsi"/>
          <w:szCs w:val="18"/>
        </w:rPr>
      </w:pPr>
      <w:r w:rsidRPr="005419F4">
        <w:rPr>
          <w:rStyle w:val="FootnoteReference"/>
          <w:rFonts w:asciiTheme="minorHAnsi" w:hAnsiTheme="minorHAnsi"/>
          <w:sz w:val="20"/>
          <w:szCs w:val="18"/>
        </w:rPr>
        <w:footnoteRef/>
      </w:r>
      <w:r>
        <w:rPr>
          <w:rFonts w:asciiTheme="minorHAnsi" w:hAnsiTheme="minorHAnsi"/>
          <w:szCs w:val="18"/>
        </w:rPr>
        <w:tab/>
      </w:r>
      <w:r w:rsidRPr="005419F4">
        <w:rPr>
          <w:rFonts w:asciiTheme="minorHAnsi" w:hAnsiTheme="minorHAnsi"/>
          <w:szCs w:val="18"/>
        </w:rPr>
        <w:t xml:space="preserve">Conceptually, “lead and lag indicators” have originated in the development of performance scorecards for use by business analysts. They are adapted here for use </w:t>
      </w:r>
      <w:r w:rsidRPr="005419F4">
        <w:rPr>
          <w:rFonts w:asciiTheme="minorHAnsi" w:hAnsiTheme="minorHAnsi"/>
          <w:szCs w:val="18"/>
          <w:lang w:val="en-AU"/>
        </w:rPr>
        <w:t>within</w:t>
      </w:r>
      <w:r w:rsidRPr="005419F4">
        <w:rPr>
          <w:rFonts w:asciiTheme="minorHAnsi" w:hAnsiTheme="minorHAnsi"/>
          <w:szCs w:val="18"/>
        </w:rPr>
        <w:t xml:space="preserve"> the education sector.</w:t>
      </w:r>
    </w:p>
  </w:footnote>
  <w:footnote w:id="2">
    <w:p w:rsidR="00F66549" w:rsidRPr="00EF388E" w:rsidRDefault="00F66549" w:rsidP="00EF388E">
      <w:pPr>
        <w:pStyle w:val="FootnoteText"/>
        <w:ind w:left="170" w:hanging="170"/>
        <w:jc w:val="both"/>
        <w:rPr>
          <w:rFonts w:asciiTheme="minorHAnsi" w:hAnsiTheme="minorHAnsi"/>
          <w:szCs w:val="20"/>
          <w:lang w:val="en-AU"/>
        </w:rPr>
      </w:pPr>
      <w:r w:rsidRPr="00EF388E">
        <w:rPr>
          <w:rStyle w:val="FootnoteReference"/>
          <w:rFonts w:asciiTheme="minorHAnsi" w:hAnsiTheme="minorHAnsi"/>
          <w:sz w:val="20"/>
          <w:szCs w:val="20"/>
        </w:rPr>
        <w:footnoteRef/>
      </w:r>
      <w:r>
        <w:rPr>
          <w:rFonts w:asciiTheme="minorHAnsi" w:hAnsiTheme="minorHAnsi"/>
          <w:szCs w:val="20"/>
        </w:rPr>
        <w:tab/>
      </w:r>
      <w:r w:rsidRPr="00EF388E">
        <w:rPr>
          <w:rFonts w:asciiTheme="minorHAnsi" w:hAnsiTheme="minorHAnsi"/>
          <w:szCs w:val="20"/>
        </w:rPr>
        <w:t>The official method for calculating the incidence of poverty in Indonesia is the basic needs approach developed by the BPS. The method is based on consumption related aspects of poverty with a poverty line determined using average consumption in Rupiah for a list of basic essential food items and non-food bundle items. An individual who is below the poverty line is considered to be poor. The PO index is the proportion of all people living below that poverty line</w:t>
      </w:r>
    </w:p>
  </w:footnote>
  <w:footnote w:id="3">
    <w:p w:rsidR="00F66549" w:rsidRPr="008045B0" w:rsidRDefault="00F66549" w:rsidP="008045B0">
      <w:pPr>
        <w:pStyle w:val="FootnoteText"/>
        <w:ind w:left="170" w:hanging="170"/>
        <w:jc w:val="both"/>
        <w:rPr>
          <w:rFonts w:asciiTheme="minorHAnsi" w:hAnsiTheme="minorHAnsi"/>
          <w:szCs w:val="20"/>
          <w:lang w:val="en-AU"/>
        </w:rPr>
      </w:pPr>
      <w:r w:rsidRPr="008045B0">
        <w:rPr>
          <w:rStyle w:val="FootnoteReference"/>
          <w:rFonts w:asciiTheme="minorHAnsi" w:hAnsiTheme="minorHAnsi"/>
          <w:sz w:val="20"/>
          <w:szCs w:val="20"/>
        </w:rPr>
        <w:footnoteRef/>
      </w:r>
      <w:r>
        <w:rPr>
          <w:rFonts w:asciiTheme="minorHAnsi" w:hAnsiTheme="minorHAnsi"/>
          <w:szCs w:val="20"/>
        </w:rPr>
        <w:tab/>
      </w:r>
      <w:r w:rsidRPr="008045B0">
        <w:rPr>
          <w:rFonts w:asciiTheme="minorHAnsi" w:hAnsiTheme="minorHAnsi"/>
          <w:szCs w:val="20"/>
          <w:lang w:val="en-AU"/>
        </w:rPr>
        <w:t>National level data captures expenditures from all Ministries, not just MOEC and MORA</w:t>
      </w:r>
      <w:r>
        <w:rPr>
          <w:rFonts w:asciiTheme="minorHAnsi" w:hAnsiTheme="minorHAnsi"/>
          <w:szCs w:val="20"/>
          <w:lang w:val="en-A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C1D" w:rsidRDefault="00FE7C1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49" w:rsidRPr="0032365A" w:rsidRDefault="00F66549" w:rsidP="0032365A">
    <w:pPr>
      <w:pStyle w:val="Header"/>
    </w:pPr>
    <w:r w:rsidRPr="00F0409A">
      <w:rPr>
        <w:i/>
        <w:noProof/>
        <w:color w:val="595959" w:themeColor="text1" w:themeTint="A6"/>
        <w:sz w:val="18"/>
        <w:szCs w:val="18"/>
        <w:lang w:val="en-AU" w:eastAsia="en-AU"/>
      </w:rPr>
      <w:drawing>
        <wp:anchor distT="0" distB="0" distL="114300" distR="114300" simplePos="0" relativeHeight="251677696" behindDoc="1" locked="0" layoutInCell="1" allowOverlap="1" wp14:anchorId="30C252CC" wp14:editId="29EF21B8">
          <wp:simplePos x="0" y="0"/>
          <wp:positionH relativeFrom="page">
            <wp:align>right</wp:align>
          </wp:positionH>
          <wp:positionV relativeFrom="paragraph">
            <wp:posOffset>303575</wp:posOffset>
          </wp:positionV>
          <wp:extent cx="7571232" cy="475488"/>
          <wp:effectExtent l="0" t="0" r="0" b="1270"/>
          <wp:wrapNone/>
          <wp:docPr id="2650" name="Picture 2650"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232" cy="4754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49" w:rsidRPr="0032365A" w:rsidRDefault="00F66549" w:rsidP="0032365A">
    <w:pPr>
      <w:pStyle w:val="Header"/>
    </w:pPr>
    <w:r>
      <w:rPr>
        <w:noProof/>
        <w:color w:val="000000" w:themeColor="text1"/>
        <w:sz w:val="28"/>
        <w:szCs w:val="28"/>
        <w:lang w:val="en-AU" w:eastAsia="en-AU"/>
      </w:rPr>
      <w:drawing>
        <wp:anchor distT="0" distB="0" distL="114300" distR="114300" simplePos="0" relativeHeight="251683840" behindDoc="1" locked="0" layoutInCell="1" allowOverlap="1" wp14:anchorId="55ED5FDE" wp14:editId="0E83A131">
          <wp:simplePos x="0" y="0"/>
          <wp:positionH relativeFrom="page">
            <wp:posOffset>-8890</wp:posOffset>
          </wp:positionH>
          <wp:positionV relativeFrom="page">
            <wp:posOffset>-9525</wp:posOffset>
          </wp:positionV>
          <wp:extent cx="7580630" cy="10709275"/>
          <wp:effectExtent l="0" t="0" r="1270" b="0"/>
          <wp:wrapNone/>
          <wp:docPr id="2651" name="Picture 2651" descr="D:\WORK\EPOS AusAid\130212 FINAL\Templates 2\Reports\130228 Report Contents-Chapter-Div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EPOS AusAid\130212 FINAL\Templates 2\Reports\130228 Report Contents-Chapter-Divid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80630" cy="1070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409A">
      <w:rPr>
        <w:i/>
        <w:noProof/>
        <w:color w:val="595959" w:themeColor="text1" w:themeTint="A6"/>
        <w:sz w:val="18"/>
        <w:szCs w:val="18"/>
        <w:lang w:val="en-AU" w:eastAsia="en-AU"/>
      </w:rPr>
      <w:drawing>
        <wp:anchor distT="0" distB="0" distL="114300" distR="114300" simplePos="0" relativeHeight="251681792" behindDoc="1" locked="0" layoutInCell="1" allowOverlap="1" wp14:anchorId="6ACB8A99" wp14:editId="1D90F975">
          <wp:simplePos x="0" y="0"/>
          <wp:positionH relativeFrom="page">
            <wp:align>right</wp:align>
          </wp:positionH>
          <wp:positionV relativeFrom="paragraph">
            <wp:posOffset>303575</wp:posOffset>
          </wp:positionV>
          <wp:extent cx="7571232" cy="475488"/>
          <wp:effectExtent l="0" t="0" r="0" b="1270"/>
          <wp:wrapNone/>
          <wp:docPr id="2652" name="Picture 2652"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1232" cy="4754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49" w:rsidRPr="0032365A" w:rsidRDefault="00F66549" w:rsidP="0032365A">
    <w:pPr>
      <w:pStyle w:val="Header"/>
    </w:pPr>
    <w:r w:rsidRPr="00F0409A">
      <w:rPr>
        <w:i/>
        <w:noProof/>
        <w:color w:val="595959" w:themeColor="text1" w:themeTint="A6"/>
        <w:sz w:val="18"/>
        <w:szCs w:val="18"/>
        <w:lang w:val="en-AU" w:eastAsia="en-AU"/>
      </w:rPr>
      <w:drawing>
        <wp:anchor distT="0" distB="0" distL="114300" distR="114300" simplePos="0" relativeHeight="251685888" behindDoc="1" locked="0" layoutInCell="1" allowOverlap="1" wp14:anchorId="5DBECA4E" wp14:editId="7B63F324">
          <wp:simplePos x="0" y="0"/>
          <wp:positionH relativeFrom="page">
            <wp:align>right</wp:align>
          </wp:positionH>
          <wp:positionV relativeFrom="paragraph">
            <wp:posOffset>303575</wp:posOffset>
          </wp:positionV>
          <wp:extent cx="7571232" cy="475488"/>
          <wp:effectExtent l="0" t="0" r="0" b="1270"/>
          <wp:wrapNone/>
          <wp:docPr id="2653" name="Picture 2653"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232" cy="4754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49" w:rsidRDefault="00F66549">
    <w:pPr>
      <w:pStyle w:val="Header"/>
    </w:pPr>
  </w:p>
  <w:p w:rsidR="00F66549" w:rsidRDefault="00F66549">
    <w:pPr>
      <w:pStyle w:val="Header"/>
    </w:pPr>
  </w:p>
  <w:p w:rsidR="00F66549" w:rsidRDefault="00F66549">
    <w:pPr>
      <w:pStyle w:val="Header"/>
    </w:pPr>
  </w:p>
  <w:p w:rsidR="00F66549" w:rsidRDefault="00F66549">
    <w:pPr>
      <w:pStyle w:val="Header"/>
    </w:pPr>
    <w:r w:rsidRPr="00F0409A">
      <w:rPr>
        <w:i/>
        <w:noProof/>
        <w:color w:val="595959" w:themeColor="text1" w:themeTint="A6"/>
        <w:sz w:val="18"/>
        <w:szCs w:val="18"/>
        <w:lang w:val="en-AU" w:eastAsia="en-AU"/>
      </w:rPr>
      <w:drawing>
        <wp:anchor distT="0" distB="0" distL="114300" distR="114300" simplePos="0" relativeHeight="251687936" behindDoc="1" locked="0" layoutInCell="1" allowOverlap="1" wp14:anchorId="44739FFE" wp14:editId="22CDAD1D">
          <wp:simplePos x="0" y="0"/>
          <wp:positionH relativeFrom="page">
            <wp:align>right</wp:align>
          </wp:positionH>
          <wp:positionV relativeFrom="page">
            <wp:posOffset>575945</wp:posOffset>
          </wp:positionV>
          <wp:extent cx="7570800" cy="475200"/>
          <wp:effectExtent l="0" t="0" r="0" b="1270"/>
          <wp:wrapNone/>
          <wp:docPr id="2654" name="Picture 2654"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800" cy="475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49" w:rsidRPr="0032365A" w:rsidRDefault="00F66549" w:rsidP="0032365A">
    <w:pPr>
      <w:pStyle w:val="Header"/>
    </w:pPr>
    <w:r>
      <w:rPr>
        <w:noProof/>
        <w:color w:val="000000" w:themeColor="text1"/>
        <w:sz w:val="28"/>
        <w:szCs w:val="28"/>
        <w:lang w:val="en-AU" w:eastAsia="en-AU"/>
      </w:rPr>
      <w:drawing>
        <wp:anchor distT="0" distB="0" distL="114300" distR="114300" simplePos="0" relativeHeight="251694080" behindDoc="1" locked="0" layoutInCell="1" allowOverlap="1" wp14:anchorId="47770335" wp14:editId="3BC2E1A5">
          <wp:simplePos x="0" y="0"/>
          <wp:positionH relativeFrom="page">
            <wp:posOffset>-8890</wp:posOffset>
          </wp:positionH>
          <wp:positionV relativeFrom="page">
            <wp:posOffset>-9525</wp:posOffset>
          </wp:positionV>
          <wp:extent cx="7580630" cy="10709275"/>
          <wp:effectExtent l="0" t="0" r="1270" b="0"/>
          <wp:wrapNone/>
          <wp:docPr id="2655" name="Picture 2655" descr="D:\WORK\EPOS AusAid\130212 FINAL\Templates 2\Reports\130228 Report Contents-Chapter-Div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EPOS AusAid\130212 FINAL\Templates 2\Reports\130228 Report Contents-Chapter-Divid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80630" cy="1070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409A">
      <w:rPr>
        <w:i/>
        <w:noProof/>
        <w:color w:val="595959" w:themeColor="text1" w:themeTint="A6"/>
        <w:sz w:val="18"/>
        <w:szCs w:val="18"/>
        <w:lang w:val="en-AU" w:eastAsia="en-AU"/>
      </w:rPr>
      <w:drawing>
        <wp:anchor distT="0" distB="0" distL="114300" distR="114300" simplePos="0" relativeHeight="251692032" behindDoc="1" locked="0" layoutInCell="1" allowOverlap="1" wp14:anchorId="3E57452B" wp14:editId="35054E60">
          <wp:simplePos x="0" y="0"/>
          <wp:positionH relativeFrom="page">
            <wp:align>right</wp:align>
          </wp:positionH>
          <wp:positionV relativeFrom="paragraph">
            <wp:posOffset>303575</wp:posOffset>
          </wp:positionV>
          <wp:extent cx="7571232" cy="475488"/>
          <wp:effectExtent l="0" t="0" r="0" b="1270"/>
          <wp:wrapNone/>
          <wp:docPr id="2656" name="Picture 2656"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1232" cy="4754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49" w:rsidRPr="0032365A" w:rsidRDefault="00F66549" w:rsidP="0032365A">
    <w:pPr>
      <w:pStyle w:val="Header"/>
    </w:pPr>
    <w:r w:rsidRPr="00F0409A">
      <w:rPr>
        <w:i/>
        <w:noProof/>
        <w:color w:val="595959" w:themeColor="text1" w:themeTint="A6"/>
        <w:sz w:val="18"/>
        <w:szCs w:val="18"/>
        <w:lang w:val="en-AU" w:eastAsia="en-AU"/>
      </w:rPr>
      <w:drawing>
        <wp:anchor distT="0" distB="0" distL="114300" distR="114300" simplePos="0" relativeHeight="251689984" behindDoc="1" locked="0" layoutInCell="1" allowOverlap="1" wp14:anchorId="279C84DB" wp14:editId="3AA18014">
          <wp:simplePos x="0" y="0"/>
          <wp:positionH relativeFrom="page">
            <wp:align>right</wp:align>
          </wp:positionH>
          <wp:positionV relativeFrom="paragraph">
            <wp:posOffset>303575</wp:posOffset>
          </wp:positionV>
          <wp:extent cx="7571232" cy="475488"/>
          <wp:effectExtent l="0" t="0" r="0" b="1270"/>
          <wp:wrapNone/>
          <wp:docPr id="2657" name="Picture 2657"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232" cy="4754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49" w:rsidRDefault="00F66549">
    <w:pPr>
      <w:pStyle w:val="Header"/>
    </w:pPr>
  </w:p>
  <w:p w:rsidR="00F66549" w:rsidRDefault="00F66549">
    <w:pPr>
      <w:pStyle w:val="Header"/>
    </w:pPr>
  </w:p>
  <w:p w:rsidR="00F66549" w:rsidRDefault="00F66549">
    <w:pPr>
      <w:pStyle w:val="Header"/>
    </w:pPr>
  </w:p>
  <w:p w:rsidR="00F66549" w:rsidRDefault="00F66549">
    <w:pPr>
      <w:pStyle w:val="Header"/>
    </w:pPr>
    <w:r w:rsidRPr="00F0409A">
      <w:rPr>
        <w:i/>
        <w:noProof/>
        <w:color w:val="595959" w:themeColor="text1" w:themeTint="A6"/>
        <w:sz w:val="18"/>
        <w:szCs w:val="18"/>
        <w:lang w:val="en-AU" w:eastAsia="en-AU"/>
      </w:rPr>
      <w:drawing>
        <wp:anchor distT="0" distB="0" distL="114300" distR="114300" simplePos="0" relativeHeight="251708416" behindDoc="1" locked="0" layoutInCell="1" allowOverlap="1" wp14:anchorId="60BB53C8" wp14:editId="0D8A1BAA">
          <wp:simplePos x="0" y="0"/>
          <wp:positionH relativeFrom="page">
            <wp:align>right</wp:align>
          </wp:positionH>
          <wp:positionV relativeFrom="page">
            <wp:posOffset>575945</wp:posOffset>
          </wp:positionV>
          <wp:extent cx="7570800" cy="475200"/>
          <wp:effectExtent l="0" t="0" r="0" b="1270"/>
          <wp:wrapNone/>
          <wp:docPr id="2658" name="Picture 2658"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800" cy="475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49" w:rsidRPr="0032365A" w:rsidRDefault="00F66549" w:rsidP="0032365A">
    <w:pPr>
      <w:pStyle w:val="Header"/>
    </w:pPr>
    <w:r>
      <w:rPr>
        <w:noProof/>
        <w:color w:val="000000" w:themeColor="text1"/>
        <w:sz w:val="28"/>
        <w:szCs w:val="28"/>
        <w:lang w:val="en-AU" w:eastAsia="en-AU"/>
      </w:rPr>
      <w:drawing>
        <wp:anchor distT="0" distB="0" distL="114300" distR="114300" simplePos="0" relativeHeight="251700224" behindDoc="1" locked="0" layoutInCell="1" allowOverlap="1" wp14:anchorId="065413D7" wp14:editId="6289D2BB">
          <wp:simplePos x="0" y="0"/>
          <wp:positionH relativeFrom="page">
            <wp:posOffset>-8890</wp:posOffset>
          </wp:positionH>
          <wp:positionV relativeFrom="page">
            <wp:posOffset>-9525</wp:posOffset>
          </wp:positionV>
          <wp:extent cx="7580630" cy="10709275"/>
          <wp:effectExtent l="0" t="0" r="1270" b="0"/>
          <wp:wrapNone/>
          <wp:docPr id="19" name="Picture 19" descr="D:\WORK\EPOS AusAid\130212 FINAL\Templates 2\Reports\130228 Report Contents-Chapter-Div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EPOS AusAid\130212 FINAL\Templates 2\Reports\130228 Report Contents-Chapter-Divid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80630" cy="1070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409A">
      <w:rPr>
        <w:i/>
        <w:noProof/>
        <w:color w:val="595959" w:themeColor="text1" w:themeTint="A6"/>
        <w:sz w:val="18"/>
        <w:szCs w:val="18"/>
        <w:lang w:val="en-AU" w:eastAsia="en-AU"/>
      </w:rPr>
      <w:drawing>
        <wp:anchor distT="0" distB="0" distL="114300" distR="114300" simplePos="0" relativeHeight="251698176" behindDoc="1" locked="0" layoutInCell="1" allowOverlap="1" wp14:anchorId="5C662F8A" wp14:editId="573AB8A4">
          <wp:simplePos x="0" y="0"/>
          <wp:positionH relativeFrom="page">
            <wp:align>right</wp:align>
          </wp:positionH>
          <wp:positionV relativeFrom="paragraph">
            <wp:posOffset>303575</wp:posOffset>
          </wp:positionV>
          <wp:extent cx="7571232" cy="475488"/>
          <wp:effectExtent l="0" t="0" r="0" b="1270"/>
          <wp:wrapNone/>
          <wp:docPr id="90" name="Picture 90"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1232" cy="4754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49" w:rsidRPr="0032365A" w:rsidRDefault="00F66549" w:rsidP="0032365A">
    <w:pPr>
      <w:pStyle w:val="Header"/>
    </w:pPr>
    <w:r w:rsidRPr="00F0409A">
      <w:rPr>
        <w:i/>
        <w:noProof/>
        <w:color w:val="595959" w:themeColor="text1" w:themeTint="A6"/>
        <w:sz w:val="18"/>
        <w:szCs w:val="18"/>
        <w:lang w:val="en-AU" w:eastAsia="en-AU"/>
      </w:rPr>
      <w:drawing>
        <wp:anchor distT="0" distB="0" distL="114300" distR="114300" simplePos="0" relativeHeight="251696128" behindDoc="1" locked="0" layoutInCell="1" allowOverlap="1" wp14:anchorId="4ED9B571" wp14:editId="1112A0BF">
          <wp:simplePos x="0" y="0"/>
          <wp:positionH relativeFrom="page">
            <wp:align>right</wp:align>
          </wp:positionH>
          <wp:positionV relativeFrom="paragraph">
            <wp:posOffset>303575</wp:posOffset>
          </wp:positionV>
          <wp:extent cx="7571232" cy="475488"/>
          <wp:effectExtent l="0" t="0" r="0" b="1270"/>
          <wp:wrapNone/>
          <wp:docPr id="89" name="Picture 89"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232" cy="4754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49" w:rsidRDefault="00F66549">
    <w:pPr>
      <w:pStyle w:val="Header"/>
    </w:pPr>
    <w:r w:rsidRPr="00F0409A">
      <w:rPr>
        <w:i/>
        <w:noProof/>
        <w:color w:val="595959" w:themeColor="text1" w:themeTint="A6"/>
        <w:sz w:val="18"/>
        <w:szCs w:val="18"/>
        <w:lang w:val="en-AU" w:eastAsia="en-AU"/>
      </w:rPr>
      <w:drawing>
        <wp:anchor distT="0" distB="0" distL="114300" distR="114300" simplePos="0" relativeHeight="251702272" behindDoc="1" locked="0" layoutInCell="1" allowOverlap="1" wp14:anchorId="12AD7A0F" wp14:editId="24304D8B">
          <wp:simplePos x="0" y="0"/>
          <wp:positionH relativeFrom="page">
            <wp:align>right</wp:align>
          </wp:positionH>
          <wp:positionV relativeFrom="page">
            <wp:posOffset>575945</wp:posOffset>
          </wp:positionV>
          <wp:extent cx="7570800" cy="475200"/>
          <wp:effectExtent l="0" t="0" r="0" b="1270"/>
          <wp:wrapNone/>
          <wp:docPr id="91" name="Picture 91"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800" cy="475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C1D" w:rsidRDefault="00FE7C1D">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49" w:rsidRDefault="00F66549">
    <w:pPr>
      <w:pStyle w:val="Header"/>
    </w:pPr>
  </w:p>
  <w:p w:rsidR="00F66549" w:rsidRDefault="00F66549">
    <w:pPr>
      <w:pStyle w:val="Header"/>
    </w:pPr>
  </w:p>
  <w:p w:rsidR="00F66549" w:rsidRDefault="00F66549">
    <w:pPr>
      <w:pStyle w:val="Header"/>
    </w:pPr>
  </w:p>
  <w:p w:rsidR="00F66549" w:rsidRDefault="00F66549">
    <w:pPr>
      <w:pStyle w:val="Header"/>
    </w:pPr>
    <w:r w:rsidRPr="00F0409A">
      <w:rPr>
        <w:i/>
        <w:noProof/>
        <w:color w:val="595959" w:themeColor="text1" w:themeTint="A6"/>
        <w:sz w:val="18"/>
        <w:szCs w:val="18"/>
        <w:lang w:val="en-AU" w:eastAsia="en-AU"/>
      </w:rPr>
      <w:drawing>
        <wp:anchor distT="0" distB="0" distL="114300" distR="114300" simplePos="0" relativeHeight="251704320" behindDoc="1" locked="0" layoutInCell="1" allowOverlap="1" wp14:anchorId="40D7F331" wp14:editId="37997DA9">
          <wp:simplePos x="0" y="0"/>
          <wp:positionH relativeFrom="page">
            <wp:align>right</wp:align>
          </wp:positionH>
          <wp:positionV relativeFrom="page">
            <wp:posOffset>575945</wp:posOffset>
          </wp:positionV>
          <wp:extent cx="7570800" cy="475200"/>
          <wp:effectExtent l="0" t="0" r="0" b="1270"/>
          <wp:wrapNone/>
          <wp:docPr id="94" name="Picture 94"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800" cy="475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49" w:rsidRPr="0032365A" w:rsidRDefault="00F66549" w:rsidP="0032365A">
    <w:pPr>
      <w:pStyle w:val="Header"/>
    </w:pPr>
    <w:r w:rsidRPr="00F0409A">
      <w:rPr>
        <w:i/>
        <w:noProof/>
        <w:color w:val="595959" w:themeColor="text1" w:themeTint="A6"/>
        <w:sz w:val="18"/>
        <w:szCs w:val="18"/>
        <w:lang w:val="en-AU" w:eastAsia="en-AU"/>
      </w:rPr>
      <w:drawing>
        <wp:anchor distT="0" distB="0" distL="114300" distR="114300" simplePos="0" relativeHeight="251706368" behindDoc="1" locked="0" layoutInCell="1" allowOverlap="1" wp14:anchorId="0F89B153" wp14:editId="3064810A">
          <wp:simplePos x="0" y="0"/>
          <wp:positionH relativeFrom="page">
            <wp:align>right</wp:align>
          </wp:positionH>
          <wp:positionV relativeFrom="paragraph">
            <wp:posOffset>303575</wp:posOffset>
          </wp:positionV>
          <wp:extent cx="7571232" cy="475488"/>
          <wp:effectExtent l="0" t="0" r="0" b="1270"/>
          <wp:wrapNone/>
          <wp:docPr id="95" name="Picture 95"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232" cy="4754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7C1D" w:rsidRDefault="00FE7C1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49" w:rsidRDefault="00F66549">
    <w:pPr>
      <w:pStyle w:val="Header"/>
    </w:pPr>
  </w:p>
  <w:p w:rsidR="00F66549" w:rsidRDefault="00F66549">
    <w:pPr>
      <w:pStyle w:val="Header"/>
    </w:pPr>
  </w:p>
  <w:p w:rsidR="00F66549" w:rsidRDefault="00F66549">
    <w:pPr>
      <w:pStyle w:val="Header"/>
    </w:pPr>
  </w:p>
  <w:p w:rsidR="00F66549" w:rsidRDefault="00F66549">
    <w:pPr>
      <w:pStyle w:val="Header"/>
    </w:pPr>
    <w:r w:rsidRPr="00F0409A">
      <w:rPr>
        <w:i/>
        <w:noProof/>
        <w:color w:val="595959" w:themeColor="text1" w:themeTint="A6"/>
        <w:sz w:val="18"/>
        <w:szCs w:val="18"/>
        <w:lang w:val="en-AU" w:eastAsia="en-AU"/>
      </w:rPr>
      <w:drawing>
        <wp:anchor distT="0" distB="0" distL="114300" distR="114300" simplePos="0" relativeHeight="251665408" behindDoc="1" locked="0" layoutInCell="1" allowOverlap="1" wp14:anchorId="4778A13F" wp14:editId="79CECBFE">
          <wp:simplePos x="0" y="0"/>
          <wp:positionH relativeFrom="page">
            <wp:align>right</wp:align>
          </wp:positionH>
          <wp:positionV relativeFrom="page">
            <wp:posOffset>575945</wp:posOffset>
          </wp:positionV>
          <wp:extent cx="7570800" cy="475200"/>
          <wp:effectExtent l="0" t="0" r="0" b="1270"/>
          <wp:wrapNone/>
          <wp:docPr id="71" name="Picture 71"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800" cy="475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49" w:rsidRPr="0032365A" w:rsidRDefault="00F66549" w:rsidP="0032365A">
    <w:pPr>
      <w:pStyle w:val="Header"/>
    </w:pPr>
    <w:r w:rsidRPr="00F0409A">
      <w:rPr>
        <w:i/>
        <w:noProof/>
        <w:color w:val="595959" w:themeColor="text1" w:themeTint="A6"/>
        <w:sz w:val="18"/>
        <w:szCs w:val="18"/>
        <w:lang w:val="en-AU" w:eastAsia="en-AU"/>
      </w:rPr>
      <w:drawing>
        <wp:anchor distT="0" distB="0" distL="114300" distR="114300" simplePos="0" relativeHeight="251667456" behindDoc="1" locked="0" layoutInCell="1" allowOverlap="1" wp14:anchorId="0D74D4E0" wp14:editId="561743C1">
          <wp:simplePos x="0" y="0"/>
          <wp:positionH relativeFrom="page">
            <wp:align>right</wp:align>
          </wp:positionH>
          <wp:positionV relativeFrom="paragraph">
            <wp:posOffset>303575</wp:posOffset>
          </wp:positionV>
          <wp:extent cx="7571232" cy="475488"/>
          <wp:effectExtent l="0" t="0" r="0" b="1270"/>
          <wp:wrapNone/>
          <wp:docPr id="72" name="Picture 72"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232" cy="4754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49" w:rsidRDefault="00F66549">
    <w:pPr>
      <w:pStyle w:val="Header"/>
    </w:pPr>
  </w:p>
  <w:p w:rsidR="00F66549" w:rsidRDefault="00F66549">
    <w:pPr>
      <w:pStyle w:val="Header"/>
    </w:pPr>
  </w:p>
  <w:p w:rsidR="00F66549" w:rsidRDefault="00F66549">
    <w:pPr>
      <w:pStyle w:val="Header"/>
    </w:pPr>
  </w:p>
  <w:p w:rsidR="00F66549" w:rsidRDefault="00F66549">
    <w:pPr>
      <w:pStyle w:val="Header"/>
    </w:pPr>
    <w:r w:rsidRPr="00F0409A">
      <w:rPr>
        <w:i/>
        <w:noProof/>
        <w:color w:val="595959" w:themeColor="text1" w:themeTint="A6"/>
        <w:sz w:val="18"/>
        <w:szCs w:val="18"/>
        <w:lang w:val="en-AU" w:eastAsia="en-AU"/>
      </w:rPr>
      <w:drawing>
        <wp:anchor distT="0" distB="0" distL="114300" distR="114300" simplePos="0" relativeHeight="251663360" behindDoc="1" locked="0" layoutInCell="1" allowOverlap="1" wp14:anchorId="5C1DECED" wp14:editId="031720FC">
          <wp:simplePos x="0" y="0"/>
          <wp:positionH relativeFrom="page">
            <wp:align>right</wp:align>
          </wp:positionH>
          <wp:positionV relativeFrom="page">
            <wp:posOffset>575945</wp:posOffset>
          </wp:positionV>
          <wp:extent cx="7570800" cy="475200"/>
          <wp:effectExtent l="0" t="0" r="0" b="1270"/>
          <wp:wrapNone/>
          <wp:docPr id="2644" name="Picture 2644"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800" cy="475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49" w:rsidRPr="0032365A" w:rsidRDefault="00F66549" w:rsidP="0032365A">
    <w:pPr>
      <w:pStyle w:val="Header"/>
    </w:pPr>
    <w:r w:rsidRPr="00F0409A">
      <w:rPr>
        <w:i/>
        <w:noProof/>
        <w:color w:val="595959" w:themeColor="text1" w:themeTint="A6"/>
        <w:sz w:val="18"/>
        <w:szCs w:val="18"/>
        <w:lang w:val="en-AU" w:eastAsia="en-AU"/>
      </w:rPr>
      <w:drawing>
        <wp:anchor distT="0" distB="0" distL="114300" distR="114300" simplePos="0" relativeHeight="251671552" behindDoc="1" locked="0" layoutInCell="1" allowOverlap="1" wp14:anchorId="295911B4" wp14:editId="5908FC09">
          <wp:simplePos x="0" y="0"/>
          <wp:positionH relativeFrom="page">
            <wp:align>right</wp:align>
          </wp:positionH>
          <wp:positionV relativeFrom="paragraph">
            <wp:posOffset>303575</wp:posOffset>
          </wp:positionV>
          <wp:extent cx="7571232" cy="475488"/>
          <wp:effectExtent l="0" t="0" r="0" b="1270"/>
          <wp:wrapNone/>
          <wp:docPr id="2645" name="Picture 2645"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232" cy="4754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49" w:rsidRPr="0032365A" w:rsidRDefault="00F66549" w:rsidP="0032365A">
    <w:pPr>
      <w:pStyle w:val="Header"/>
    </w:pPr>
    <w:r w:rsidRPr="00F0409A">
      <w:rPr>
        <w:i/>
        <w:noProof/>
        <w:color w:val="595959" w:themeColor="text1" w:themeTint="A6"/>
        <w:sz w:val="18"/>
        <w:szCs w:val="18"/>
        <w:lang w:val="en-AU" w:eastAsia="en-AU"/>
      </w:rPr>
      <w:drawing>
        <wp:anchor distT="0" distB="0" distL="114300" distR="114300" simplePos="0" relativeHeight="251669504" behindDoc="1" locked="0" layoutInCell="1" allowOverlap="1" wp14:anchorId="15E8C5D6" wp14:editId="1DFA4D74">
          <wp:simplePos x="0" y="0"/>
          <wp:positionH relativeFrom="page">
            <wp:align>right</wp:align>
          </wp:positionH>
          <wp:positionV relativeFrom="paragraph">
            <wp:posOffset>303575</wp:posOffset>
          </wp:positionV>
          <wp:extent cx="7571232" cy="475488"/>
          <wp:effectExtent l="0" t="0" r="0" b="1270"/>
          <wp:wrapNone/>
          <wp:docPr id="2647" name="Picture 2647"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232" cy="4754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549" w:rsidRPr="0032365A" w:rsidRDefault="00F66549" w:rsidP="0032365A">
    <w:pPr>
      <w:pStyle w:val="Header"/>
    </w:pPr>
    <w:r>
      <w:rPr>
        <w:noProof/>
        <w:color w:val="000000" w:themeColor="text1"/>
        <w:sz w:val="28"/>
        <w:szCs w:val="28"/>
        <w:lang w:val="en-AU" w:eastAsia="en-AU"/>
      </w:rPr>
      <w:drawing>
        <wp:anchor distT="0" distB="0" distL="114300" distR="114300" simplePos="0" relativeHeight="251679744" behindDoc="1" locked="0" layoutInCell="1" allowOverlap="1" wp14:anchorId="267A2326" wp14:editId="36A331A3">
          <wp:simplePos x="0" y="0"/>
          <wp:positionH relativeFrom="page">
            <wp:posOffset>-8890</wp:posOffset>
          </wp:positionH>
          <wp:positionV relativeFrom="page">
            <wp:posOffset>-9525</wp:posOffset>
          </wp:positionV>
          <wp:extent cx="7580630" cy="10709275"/>
          <wp:effectExtent l="0" t="0" r="1270" b="0"/>
          <wp:wrapNone/>
          <wp:docPr id="2648" name="Picture 2648" descr="D:\WORK\EPOS AusAid\130212 FINAL\Templates 2\Reports\130228 Report Contents-Chapter-Div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ORK\EPOS AusAid\130212 FINAL\Templates 2\Reports\130228 Report Contents-Chapter-Divid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80630" cy="1070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409A">
      <w:rPr>
        <w:i/>
        <w:noProof/>
        <w:color w:val="595959" w:themeColor="text1" w:themeTint="A6"/>
        <w:sz w:val="18"/>
        <w:szCs w:val="18"/>
        <w:lang w:val="en-AU" w:eastAsia="en-AU"/>
      </w:rPr>
      <w:drawing>
        <wp:anchor distT="0" distB="0" distL="114300" distR="114300" simplePos="0" relativeHeight="251675648" behindDoc="1" locked="0" layoutInCell="1" allowOverlap="1" wp14:anchorId="2DB402F9" wp14:editId="6DE2CC3E">
          <wp:simplePos x="0" y="0"/>
          <wp:positionH relativeFrom="page">
            <wp:posOffset>-4445</wp:posOffset>
          </wp:positionH>
          <wp:positionV relativeFrom="paragraph">
            <wp:posOffset>303530</wp:posOffset>
          </wp:positionV>
          <wp:extent cx="7571232" cy="475488"/>
          <wp:effectExtent l="0" t="0" r="0" b="1270"/>
          <wp:wrapNone/>
          <wp:docPr id="2649" name="Picture 2649" descr="F:\WORK\EPOS\REPORT &amp; STATIONARY\emf\Grey strip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ORK\EPOS\REPORT &amp; STATIONARY\emf\Grey stripe.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1232" cy="4754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947E169A"/>
    <w:lvl w:ilvl="0">
      <w:start w:val="1"/>
      <w:numFmt w:val="decimal"/>
      <w:pStyle w:val="ListNumber2"/>
      <w:lvlText w:val="%1."/>
      <w:lvlJc w:val="left"/>
      <w:pPr>
        <w:tabs>
          <w:tab w:val="num" w:pos="643"/>
        </w:tabs>
        <w:ind w:left="643" w:hanging="360"/>
      </w:pPr>
      <w:rPr>
        <w:rFonts w:cs="Times New Roman"/>
      </w:rPr>
    </w:lvl>
  </w:abstractNum>
  <w:abstractNum w:abstractNumId="1">
    <w:nsid w:val="FFFFFF82"/>
    <w:multiLevelType w:val="singleLevel"/>
    <w:tmpl w:val="D844302A"/>
    <w:lvl w:ilvl="0">
      <w:start w:val="1"/>
      <w:numFmt w:val="bullet"/>
      <w:pStyle w:val="ListBullet3"/>
      <w:lvlText w:val=""/>
      <w:lvlJc w:val="left"/>
      <w:pPr>
        <w:tabs>
          <w:tab w:val="num" w:pos="926"/>
        </w:tabs>
        <w:ind w:left="926" w:hanging="360"/>
      </w:pPr>
      <w:rPr>
        <w:rFonts w:ascii="Symbol" w:hAnsi="Symbol" w:hint="default"/>
      </w:rPr>
    </w:lvl>
  </w:abstractNum>
  <w:abstractNum w:abstractNumId="2">
    <w:nsid w:val="FFFFFF88"/>
    <w:multiLevelType w:val="singleLevel"/>
    <w:tmpl w:val="C6902776"/>
    <w:lvl w:ilvl="0">
      <w:start w:val="1"/>
      <w:numFmt w:val="decimal"/>
      <w:lvlText w:val="%1."/>
      <w:lvlJc w:val="left"/>
      <w:pPr>
        <w:tabs>
          <w:tab w:val="num" w:pos="360"/>
        </w:tabs>
        <w:ind w:left="360" w:hanging="360"/>
      </w:pPr>
      <w:rPr>
        <w:rFonts w:cs="Times New Roman"/>
      </w:rPr>
    </w:lvl>
  </w:abstractNum>
  <w:abstractNum w:abstractNumId="3">
    <w:nsid w:val="FFFFFF89"/>
    <w:multiLevelType w:val="singleLevel"/>
    <w:tmpl w:val="0DF48996"/>
    <w:lvl w:ilvl="0">
      <w:start w:val="1"/>
      <w:numFmt w:val="bullet"/>
      <w:pStyle w:val="ListBullet"/>
      <w:lvlText w:val=""/>
      <w:lvlJc w:val="left"/>
      <w:pPr>
        <w:tabs>
          <w:tab w:val="num" w:pos="1440"/>
        </w:tabs>
        <w:ind w:left="1440" w:hanging="720"/>
      </w:pPr>
      <w:rPr>
        <w:rFonts w:ascii="Symbol" w:hAnsi="Symbol" w:hint="default"/>
      </w:rPr>
    </w:lvl>
  </w:abstractNum>
  <w:abstractNum w:abstractNumId="4">
    <w:nsid w:val="004C2087"/>
    <w:multiLevelType w:val="hybridMultilevel"/>
    <w:tmpl w:val="92CADAA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nsid w:val="07BD7E60"/>
    <w:multiLevelType w:val="hybridMultilevel"/>
    <w:tmpl w:val="4A6C89F2"/>
    <w:lvl w:ilvl="0" w:tplc="7E946A66">
      <w:start w:val="1"/>
      <w:numFmt w:val="decimal"/>
      <w:lvlText w:val="%1."/>
      <w:lvlJc w:val="left"/>
      <w:pPr>
        <w:ind w:left="720" w:hanging="360"/>
      </w:pPr>
      <w:rPr>
        <w:rFonts w:asciiTheme="minorHAnsi" w:hAnsiTheme="minorHAnsi" w:cstheme="minorHAnsi" w:hint="default"/>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9F11C02"/>
    <w:multiLevelType w:val="hybridMultilevel"/>
    <w:tmpl w:val="7BE0B7B8"/>
    <w:lvl w:ilvl="0" w:tplc="0C09000F">
      <w:start w:val="1"/>
      <w:numFmt w:val="decimal"/>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7">
    <w:nsid w:val="147C1EA6"/>
    <w:multiLevelType w:val="hybridMultilevel"/>
    <w:tmpl w:val="7BE0B7B8"/>
    <w:lvl w:ilvl="0" w:tplc="0C09000F">
      <w:start w:val="1"/>
      <w:numFmt w:val="decimal"/>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8">
    <w:nsid w:val="167413D0"/>
    <w:multiLevelType w:val="hybridMultilevel"/>
    <w:tmpl w:val="7BE0B7B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18D275BD"/>
    <w:multiLevelType w:val="hybridMultilevel"/>
    <w:tmpl w:val="328A4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11B4877"/>
    <w:multiLevelType w:val="singleLevel"/>
    <w:tmpl w:val="E29291F8"/>
    <w:lvl w:ilvl="0">
      <w:start w:val="1"/>
      <w:numFmt w:val="bullet"/>
      <w:pStyle w:val="Bullet1"/>
      <w:lvlText w:val=""/>
      <w:lvlJc w:val="left"/>
      <w:pPr>
        <w:tabs>
          <w:tab w:val="num" w:pos="288"/>
        </w:tabs>
        <w:ind w:left="288" w:hanging="288"/>
      </w:pPr>
      <w:rPr>
        <w:rFonts w:ascii="Wingdings" w:hAnsi="Wingdings" w:cs="Times New Roman" w:hint="default"/>
        <w:b w:val="0"/>
        <w:i w:val="0"/>
        <w:sz w:val="24"/>
        <w:szCs w:val="24"/>
      </w:rPr>
    </w:lvl>
  </w:abstractNum>
  <w:abstractNum w:abstractNumId="11">
    <w:nsid w:val="27687D99"/>
    <w:multiLevelType w:val="multilevel"/>
    <w:tmpl w:val="0A188BEE"/>
    <w:lvl w:ilvl="0">
      <w:start w:val="1"/>
      <w:numFmt w:val="decimal"/>
      <w:pStyle w:val="CaptionT"/>
      <w:lvlText w:val="Table %1. "/>
      <w:lvlJc w:val="left"/>
      <w:pPr>
        <w:tabs>
          <w:tab w:val="num" w:pos="786"/>
        </w:tabs>
        <w:ind w:left="786" w:hanging="360"/>
      </w:pPr>
      <w:rPr>
        <w:rFonts w:ascii="Cambria" w:hAnsi="Cambria" w:cs="Times New Roman" w:hint="default"/>
        <w:b w:val="0"/>
        <w:i/>
        <w:sz w:val="18"/>
        <w:szCs w:val="18"/>
      </w:rPr>
    </w:lvl>
    <w:lvl w:ilvl="1">
      <w:start w:val="1"/>
      <w:numFmt w:val="decimal"/>
      <w:lvlText w:val="%1.%2."/>
      <w:lvlJc w:val="left"/>
      <w:pPr>
        <w:tabs>
          <w:tab w:val="num" w:pos="1218"/>
        </w:tabs>
        <w:ind w:left="1218" w:hanging="432"/>
      </w:pPr>
      <w:rPr>
        <w:rFonts w:cs="Times New Roman" w:hint="default"/>
      </w:rPr>
    </w:lvl>
    <w:lvl w:ilvl="2">
      <w:start w:val="1"/>
      <w:numFmt w:val="decimal"/>
      <w:lvlText w:val="%1.%2.%3."/>
      <w:lvlJc w:val="left"/>
      <w:pPr>
        <w:tabs>
          <w:tab w:val="num" w:pos="1650"/>
        </w:tabs>
        <w:ind w:left="1650" w:hanging="504"/>
      </w:pPr>
      <w:rPr>
        <w:rFonts w:cs="Times New Roman" w:hint="default"/>
      </w:rPr>
    </w:lvl>
    <w:lvl w:ilvl="3">
      <w:start w:val="1"/>
      <w:numFmt w:val="decimal"/>
      <w:lvlText w:val="%1.%2.%3.%4."/>
      <w:lvlJc w:val="left"/>
      <w:pPr>
        <w:tabs>
          <w:tab w:val="num" w:pos="2226"/>
        </w:tabs>
        <w:ind w:left="2154" w:hanging="648"/>
      </w:pPr>
      <w:rPr>
        <w:rFonts w:cs="Times New Roman" w:hint="default"/>
      </w:rPr>
    </w:lvl>
    <w:lvl w:ilvl="4">
      <w:start w:val="1"/>
      <w:numFmt w:val="decimal"/>
      <w:lvlText w:val="%1.%2.%3.%4.%5."/>
      <w:lvlJc w:val="left"/>
      <w:pPr>
        <w:tabs>
          <w:tab w:val="num" w:pos="2946"/>
        </w:tabs>
        <w:ind w:left="2658" w:hanging="792"/>
      </w:pPr>
      <w:rPr>
        <w:rFonts w:cs="Times New Roman" w:hint="default"/>
      </w:rPr>
    </w:lvl>
    <w:lvl w:ilvl="5">
      <w:start w:val="1"/>
      <w:numFmt w:val="decimal"/>
      <w:lvlText w:val="%1.%2.%3.%4.%5.%6."/>
      <w:lvlJc w:val="left"/>
      <w:pPr>
        <w:tabs>
          <w:tab w:val="num" w:pos="3306"/>
        </w:tabs>
        <w:ind w:left="3162" w:hanging="936"/>
      </w:pPr>
      <w:rPr>
        <w:rFonts w:cs="Times New Roman" w:hint="default"/>
      </w:rPr>
    </w:lvl>
    <w:lvl w:ilvl="6">
      <w:start w:val="1"/>
      <w:numFmt w:val="decimal"/>
      <w:lvlText w:val="%1.%2.%3.%4.%5.%6.%7."/>
      <w:lvlJc w:val="left"/>
      <w:pPr>
        <w:tabs>
          <w:tab w:val="num" w:pos="4026"/>
        </w:tabs>
        <w:ind w:left="3666" w:hanging="1080"/>
      </w:pPr>
      <w:rPr>
        <w:rFonts w:cs="Times New Roman" w:hint="default"/>
      </w:rPr>
    </w:lvl>
    <w:lvl w:ilvl="7">
      <w:start w:val="1"/>
      <w:numFmt w:val="decimal"/>
      <w:lvlText w:val="%1.%2.%3.%4.%5.%6.%7.%8."/>
      <w:lvlJc w:val="left"/>
      <w:pPr>
        <w:tabs>
          <w:tab w:val="num" w:pos="4386"/>
        </w:tabs>
        <w:ind w:left="4170" w:hanging="1224"/>
      </w:pPr>
      <w:rPr>
        <w:rFonts w:cs="Times New Roman" w:hint="default"/>
      </w:rPr>
    </w:lvl>
    <w:lvl w:ilvl="8">
      <w:start w:val="1"/>
      <w:numFmt w:val="decimal"/>
      <w:lvlText w:val="%1.%2.%3.%4.%5.%6.%7.%8.%9."/>
      <w:lvlJc w:val="left"/>
      <w:pPr>
        <w:tabs>
          <w:tab w:val="num" w:pos="5106"/>
        </w:tabs>
        <w:ind w:left="4746" w:hanging="1440"/>
      </w:pPr>
      <w:rPr>
        <w:rFonts w:cs="Times New Roman" w:hint="default"/>
      </w:rPr>
    </w:lvl>
  </w:abstractNum>
  <w:abstractNum w:abstractNumId="12">
    <w:nsid w:val="37544AE5"/>
    <w:multiLevelType w:val="hybridMultilevel"/>
    <w:tmpl w:val="F04C27AC"/>
    <w:lvl w:ilvl="0" w:tplc="34588BD2">
      <w:start w:val="1"/>
      <w:numFmt w:val="decimal"/>
      <w:pStyle w:val="SectionNumber"/>
      <w:lvlText w:val="%1"/>
      <w:lvlJc w:val="right"/>
      <w:pPr>
        <w:tabs>
          <w:tab w:val="num" w:pos="720"/>
        </w:tabs>
        <w:ind w:left="720" w:hanging="360"/>
      </w:pPr>
      <w:rPr>
        <w:rFonts w:ascii="Verdana" w:hAnsi="Verdana" w:cs="Times New Roman" w:hint="default"/>
        <w:color w:val="000000"/>
        <w:sz w:val="96"/>
        <w:szCs w:val="96"/>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3">
    <w:nsid w:val="37AC6F26"/>
    <w:multiLevelType w:val="hybridMultilevel"/>
    <w:tmpl w:val="FAAC47F6"/>
    <w:lvl w:ilvl="0" w:tplc="F5B60A02">
      <w:start w:val="1"/>
      <w:numFmt w:val="bullet"/>
      <w:pStyle w:val="List1"/>
      <w:lvlText w:val=""/>
      <w:lvlJc w:val="left"/>
      <w:pPr>
        <w:tabs>
          <w:tab w:val="num" w:pos="1080"/>
        </w:tabs>
        <w:ind w:left="108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4">
    <w:nsid w:val="3D0C3138"/>
    <w:multiLevelType w:val="hybridMultilevel"/>
    <w:tmpl w:val="C6542A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416D3DD0"/>
    <w:multiLevelType w:val="hybridMultilevel"/>
    <w:tmpl w:val="06FC372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436A7126"/>
    <w:multiLevelType w:val="hybridMultilevel"/>
    <w:tmpl w:val="3104ACDA"/>
    <w:lvl w:ilvl="0" w:tplc="FDE01EF6">
      <w:start w:val="1"/>
      <w:numFmt w:val="decimal"/>
      <w:pStyle w:val="StyleSPI"/>
      <w:lvlText w:val="SPI %1.     "/>
      <w:lvlJc w:val="left"/>
      <w:pPr>
        <w:tabs>
          <w:tab w:val="num" w:pos="1401"/>
        </w:tabs>
        <w:ind w:left="1401" w:hanging="360"/>
      </w:pPr>
      <w:rPr>
        <w:rFonts w:ascii="Arial Bold" w:hAnsi="Arial Bold" w:cs="Times New Roman" w:hint="default"/>
        <w:b/>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43A66F4E"/>
    <w:multiLevelType w:val="hybridMultilevel"/>
    <w:tmpl w:val="7BE0B7B8"/>
    <w:lvl w:ilvl="0" w:tplc="0C09000F">
      <w:start w:val="1"/>
      <w:numFmt w:val="decimal"/>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18">
    <w:nsid w:val="44BF1B41"/>
    <w:multiLevelType w:val="multilevel"/>
    <w:tmpl w:val="75DAC440"/>
    <w:lvl w:ilvl="0">
      <w:start w:val="1"/>
      <w:numFmt w:val="decimal"/>
      <w:lvlText w:val="%1."/>
      <w:lvlJc w:val="left"/>
    </w:lvl>
    <w:lvl w:ilvl="1">
      <w:start w:val="1"/>
      <w:numFmt w:val="upperLetter"/>
      <w:lvlText w:val="%2."/>
      <w:lvlJc w:val="left"/>
      <w:pPr>
        <w:ind w:left="578"/>
      </w:pPr>
      <w:rPr>
        <w:rFonts w:cs="Times New Roman"/>
      </w:rPr>
    </w:lvl>
    <w:lvl w:ilvl="2">
      <w:start w:val="1"/>
      <w:numFmt w:val="decimal"/>
      <w:lvlText w:val="%3."/>
      <w:lvlJc w:val="left"/>
      <w:pPr>
        <w:ind w:left="1298"/>
      </w:pPr>
      <w:rPr>
        <w:rFonts w:cs="Times New Roman"/>
      </w:rPr>
    </w:lvl>
    <w:lvl w:ilvl="3">
      <w:start w:val="1"/>
      <w:numFmt w:val="lowerLetter"/>
      <w:lvlText w:val="%4)"/>
      <w:lvlJc w:val="left"/>
      <w:pPr>
        <w:ind w:left="2018"/>
      </w:pPr>
      <w:rPr>
        <w:rFonts w:cs="Times New Roman"/>
      </w:rPr>
    </w:lvl>
    <w:lvl w:ilvl="4">
      <w:start w:val="1"/>
      <w:numFmt w:val="decimal"/>
      <w:lvlText w:val="(%5)"/>
      <w:lvlJc w:val="left"/>
      <w:pPr>
        <w:ind w:left="2738"/>
      </w:pPr>
      <w:rPr>
        <w:rFonts w:cs="Times New Roman"/>
      </w:rPr>
    </w:lvl>
    <w:lvl w:ilvl="5">
      <w:start w:val="1"/>
      <w:numFmt w:val="lowerLetter"/>
      <w:lvlText w:val="(%6)"/>
      <w:lvlJc w:val="left"/>
      <w:pPr>
        <w:ind w:left="3458"/>
      </w:pPr>
      <w:rPr>
        <w:rFonts w:cs="Times New Roman"/>
      </w:rPr>
    </w:lvl>
    <w:lvl w:ilvl="6">
      <w:start w:val="1"/>
      <w:numFmt w:val="lowerRoman"/>
      <w:lvlText w:val="(%7)"/>
      <w:lvlJc w:val="left"/>
      <w:pPr>
        <w:ind w:left="4178"/>
      </w:pPr>
      <w:rPr>
        <w:rFonts w:cs="Times New Roman"/>
      </w:rPr>
    </w:lvl>
    <w:lvl w:ilvl="7">
      <w:start w:val="1"/>
      <w:numFmt w:val="lowerLetter"/>
      <w:lvlText w:val="(%8)"/>
      <w:lvlJc w:val="left"/>
      <w:pPr>
        <w:ind w:left="4898"/>
      </w:pPr>
      <w:rPr>
        <w:rFonts w:cs="Times New Roman"/>
      </w:rPr>
    </w:lvl>
    <w:lvl w:ilvl="8">
      <w:start w:val="1"/>
      <w:numFmt w:val="lowerRoman"/>
      <w:lvlText w:val="(%9)"/>
      <w:lvlJc w:val="left"/>
      <w:pPr>
        <w:ind w:left="5618"/>
      </w:pPr>
      <w:rPr>
        <w:rFonts w:cs="Times New Roman"/>
      </w:rPr>
    </w:lvl>
  </w:abstractNum>
  <w:abstractNum w:abstractNumId="19">
    <w:nsid w:val="489D7366"/>
    <w:multiLevelType w:val="multilevel"/>
    <w:tmpl w:val="F4864DDE"/>
    <w:lvl w:ilvl="0">
      <w:start w:val="1"/>
      <w:numFmt w:val="decimal"/>
      <w:pStyle w:val="Figureheader"/>
      <w:lvlText w:val="Figure %1. "/>
      <w:lvlJc w:val="left"/>
      <w:pPr>
        <w:tabs>
          <w:tab w:val="num" w:pos="785"/>
        </w:tabs>
        <w:ind w:left="785" w:hanging="360"/>
      </w:pPr>
      <w:rPr>
        <w:rFonts w:ascii="Garamond" w:hAnsi="Garamond" w:cs="Times New Roman" w:hint="default"/>
        <w:b/>
        <w:i w:val="0"/>
        <w:sz w:val="20"/>
        <w:szCs w:val="20"/>
      </w:rPr>
    </w:lvl>
    <w:lvl w:ilvl="1">
      <w:start w:val="1"/>
      <w:numFmt w:val="decimal"/>
      <w:lvlText w:val="%1.%2."/>
      <w:lvlJc w:val="left"/>
      <w:pPr>
        <w:tabs>
          <w:tab w:val="num" w:pos="517"/>
        </w:tabs>
        <w:ind w:left="517" w:hanging="432"/>
      </w:pPr>
      <w:rPr>
        <w:rFonts w:cs="Times New Roman" w:hint="default"/>
      </w:rPr>
    </w:lvl>
    <w:lvl w:ilvl="2">
      <w:start w:val="1"/>
      <w:numFmt w:val="decimal"/>
      <w:lvlText w:val="%1.%2.%3."/>
      <w:lvlJc w:val="left"/>
      <w:pPr>
        <w:tabs>
          <w:tab w:val="num" w:pos="949"/>
        </w:tabs>
        <w:ind w:left="949" w:hanging="504"/>
      </w:pPr>
      <w:rPr>
        <w:rFonts w:cs="Times New Roman" w:hint="default"/>
      </w:rPr>
    </w:lvl>
    <w:lvl w:ilvl="3">
      <w:start w:val="1"/>
      <w:numFmt w:val="decimal"/>
      <w:lvlText w:val="%1.%2.%3.%4."/>
      <w:lvlJc w:val="left"/>
      <w:pPr>
        <w:tabs>
          <w:tab w:val="num" w:pos="1525"/>
        </w:tabs>
        <w:ind w:left="1453" w:hanging="648"/>
      </w:pPr>
      <w:rPr>
        <w:rFonts w:cs="Times New Roman" w:hint="default"/>
      </w:rPr>
    </w:lvl>
    <w:lvl w:ilvl="4">
      <w:start w:val="1"/>
      <w:numFmt w:val="decimal"/>
      <w:lvlText w:val="%1.%2.%3.%4.%5."/>
      <w:lvlJc w:val="left"/>
      <w:pPr>
        <w:tabs>
          <w:tab w:val="num" w:pos="2245"/>
        </w:tabs>
        <w:ind w:left="1957" w:hanging="792"/>
      </w:pPr>
      <w:rPr>
        <w:rFonts w:cs="Times New Roman" w:hint="default"/>
      </w:rPr>
    </w:lvl>
    <w:lvl w:ilvl="5">
      <w:start w:val="1"/>
      <w:numFmt w:val="decimal"/>
      <w:lvlText w:val="%1.%2.%3.%4.%5.%6."/>
      <w:lvlJc w:val="left"/>
      <w:pPr>
        <w:tabs>
          <w:tab w:val="num" w:pos="2605"/>
        </w:tabs>
        <w:ind w:left="2461" w:hanging="936"/>
      </w:pPr>
      <w:rPr>
        <w:rFonts w:cs="Times New Roman" w:hint="default"/>
      </w:rPr>
    </w:lvl>
    <w:lvl w:ilvl="6">
      <w:start w:val="1"/>
      <w:numFmt w:val="decimal"/>
      <w:lvlText w:val="%1.%2.%3.%4.%5.%6.%7."/>
      <w:lvlJc w:val="left"/>
      <w:pPr>
        <w:tabs>
          <w:tab w:val="num" w:pos="3325"/>
        </w:tabs>
        <w:ind w:left="2965" w:hanging="1080"/>
      </w:pPr>
      <w:rPr>
        <w:rFonts w:cs="Times New Roman" w:hint="default"/>
      </w:rPr>
    </w:lvl>
    <w:lvl w:ilvl="7">
      <w:start w:val="1"/>
      <w:numFmt w:val="decimal"/>
      <w:lvlText w:val="%1.%2.%3.%4.%5.%6.%7.%8."/>
      <w:lvlJc w:val="left"/>
      <w:pPr>
        <w:tabs>
          <w:tab w:val="num" w:pos="3685"/>
        </w:tabs>
        <w:ind w:left="3469" w:hanging="1224"/>
      </w:pPr>
      <w:rPr>
        <w:rFonts w:cs="Times New Roman" w:hint="default"/>
      </w:rPr>
    </w:lvl>
    <w:lvl w:ilvl="8">
      <w:start w:val="1"/>
      <w:numFmt w:val="decimal"/>
      <w:lvlText w:val="%1.%2.%3.%4.%5.%6.%7.%8.%9."/>
      <w:lvlJc w:val="left"/>
      <w:pPr>
        <w:tabs>
          <w:tab w:val="num" w:pos="4405"/>
        </w:tabs>
        <w:ind w:left="4045" w:hanging="1440"/>
      </w:pPr>
      <w:rPr>
        <w:rFonts w:cs="Times New Roman" w:hint="default"/>
      </w:rPr>
    </w:lvl>
  </w:abstractNum>
  <w:abstractNum w:abstractNumId="20">
    <w:nsid w:val="498537F1"/>
    <w:multiLevelType w:val="multilevel"/>
    <w:tmpl w:val="664019F4"/>
    <w:lvl w:ilvl="0">
      <w:start w:val="1"/>
      <w:numFmt w:val="decimal"/>
      <w:pStyle w:val="Tableheader"/>
      <w:lvlText w:val="Table %1. "/>
      <w:lvlJc w:val="left"/>
      <w:pPr>
        <w:tabs>
          <w:tab w:val="num" w:pos="781"/>
        </w:tabs>
        <w:ind w:left="781" w:hanging="360"/>
      </w:pPr>
      <w:rPr>
        <w:rFonts w:ascii="Garamond" w:hAnsi="Garamond" w:cs="Times New Roman" w:hint="default"/>
        <w:b/>
        <w:i w:val="0"/>
        <w:sz w:val="20"/>
        <w:szCs w:val="20"/>
      </w:rPr>
    </w:lvl>
    <w:lvl w:ilvl="1">
      <w:start w:val="1"/>
      <w:numFmt w:val="decimal"/>
      <w:lvlText w:val="%1.%2."/>
      <w:lvlJc w:val="left"/>
      <w:pPr>
        <w:tabs>
          <w:tab w:val="num" w:pos="1213"/>
        </w:tabs>
        <w:ind w:left="1213" w:hanging="432"/>
      </w:pPr>
      <w:rPr>
        <w:rFonts w:cs="Times New Roman" w:hint="default"/>
      </w:rPr>
    </w:lvl>
    <w:lvl w:ilvl="2">
      <w:start w:val="1"/>
      <w:numFmt w:val="decimal"/>
      <w:lvlText w:val="%1.%2.%3."/>
      <w:lvlJc w:val="left"/>
      <w:pPr>
        <w:tabs>
          <w:tab w:val="num" w:pos="1861"/>
        </w:tabs>
        <w:ind w:left="1645" w:hanging="504"/>
      </w:pPr>
      <w:rPr>
        <w:rFonts w:cs="Times New Roman" w:hint="default"/>
      </w:rPr>
    </w:lvl>
    <w:lvl w:ilvl="3">
      <w:start w:val="1"/>
      <w:numFmt w:val="decimal"/>
      <w:lvlText w:val="%1.%2.%3.%4."/>
      <w:lvlJc w:val="left"/>
      <w:pPr>
        <w:tabs>
          <w:tab w:val="num" w:pos="2221"/>
        </w:tabs>
        <w:ind w:left="2149" w:hanging="648"/>
      </w:pPr>
      <w:rPr>
        <w:rFonts w:cs="Times New Roman" w:hint="default"/>
      </w:rPr>
    </w:lvl>
    <w:lvl w:ilvl="4">
      <w:start w:val="1"/>
      <w:numFmt w:val="decimal"/>
      <w:lvlText w:val="%1.%2.%3.%4.%5."/>
      <w:lvlJc w:val="left"/>
      <w:pPr>
        <w:tabs>
          <w:tab w:val="num" w:pos="2941"/>
        </w:tabs>
        <w:ind w:left="2653" w:hanging="792"/>
      </w:pPr>
      <w:rPr>
        <w:rFonts w:cs="Times New Roman" w:hint="default"/>
      </w:rPr>
    </w:lvl>
    <w:lvl w:ilvl="5">
      <w:start w:val="1"/>
      <w:numFmt w:val="decimal"/>
      <w:lvlText w:val="%1.%2.%3.%4.%5.%6."/>
      <w:lvlJc w:val="left"/>
      <w:pPr>
        <w:tabs>
          <w:tab w:val="num" w:pos="3301"/>
        </w:tabs>
        <w:ind w:left="3157" w:hanging="936"/>
      </w:pPr>
      <w:rPr>
        <w:rFonts w:cs="Times New Roman" w:hint="default"/>
      </w:rPr>
    </w:lvl>
    <w:lvl w:ilvl="6">
      <w:start w:val="1"/>
      <w:numFmt w:val="decimal"/>
      <w:lvlText w:val="%1.%2.%3.%4.%5.%6.%7."/>
      <w:lvlJc w:val="left"/>
      <w:pPr>
        <w:tabs>
          <w:tab w:val="num" w:pos="4021"/>
        </w:tabs>
        <w:ind w:left="3661" w:hanging="1080"/>
      </w:pPr>
      <w:rPr>
        <w:rFonts w:cs="Times New Roman" w:hint="default"/>
      </w:rPr>
    </w:lvl>
    <w:lvl w:ilvl="7">
      <w:start w:val="1"/>
      <w:numFmt w:val="decimal"/>
      <w:lvlText w:val="%1.%2.%3.%4.%5.%6.%7.%8."/>
      <w:lvlJc w:val="left"/>
      <w:pPr>
        <w:tabs>
          <w:tab w:val="num" w:pos="4381"/>
        </w:tabs>
        <w:ind w:left="4165" w:hanging="1224"/>
      </w:pPr>
      <w:rPr>
        <w:rFonts w:cs="Times New Roman" w:hint="default"/>
      </w:rPr>
    </w:lvl>
    <w:lvl w:ilvl="8">
      <w:start w:val="1"/>
      <w:numFmt w:val="decimal"/>
      <w:lvlText w:val="%1.%2.%3.%4.%5.%6.%7.%8.%9."/>
      <w:lvlJc w:val="left"/>
      <w:pPr>
        <w:tabs>
          <w:tab w:val="num" w:pos="5101"/>
        </w:tabs>
        <w:ind w:left="4741" w:hanging="1440"/>
      </w:pPr>
      <w:rPr>
        <w:rFonts w:cs="Times New Roman" w:hint="default"/>
      </w:rPr>
    </w:lvl>
  </w:abstractNum>
  <w:abstractNum w:abstractNumId="21">
    <w:nsid w:val="4BBC2762"/>
    <w:multiLevelType w:val="hybridMultilevel"/>
    <w:tmpl w:val="A5BCBE38"/>
    <w:lvl w:ilvl="0" w:tplc="087CF562">
      <w:start w:val="1"/>
      <w:numFmt w:val="decimal"/>
      <w:pStyle w:val="SPI"/>
      <w:lvlText w:val="SPI %1.     "/>
      <w:lvlJc w:val="left"/>
      <w:pPr>
        <w:tabs>
          <w:tab w:val="num" w:pos="1401"/>
        </w:tabs>
        <w:ind w:left="1401" w:hanging="360"/>
      </w:pPr>
      <w:rPr>
        <w:rFonts w:ascii="Arial Bold" w:hAnsi="Arial Bold" w:cs="Times New Roman" w:hint="default"/>
        <w:b/>
        <w:i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4C732E0C"/>
    <w:multiLevelType w:val="hybridMultilevel"/>
    <w:tmpl w:val="0BA40DF8"/>
    <w:lvl w:ilvl="0" w:tplc="234C9FF6">
      <w:start w:val="1"/>
      <w:numFmt w:val="decimal"/>
      <w:lvlText w:val="Figure %1:"/>
      <w:lvlJc w:val="left"/>
      <w:pPr>
        <w:ind w:left="360" w:hanging="360"/>
      </w:pPr>
      <w:rPr>
        <w:rFonts w:cs="Times New Roman" w:hint="default"/>
        <w:b w:val="0"/>
      </w:rPr>
    </w:lvl>
    <w:lvl w:ilvl="1" w:tplc="0C090019">
      <w:start w:val="1"/>
      <w:numFmt w:val="lowerLetter"/>
      <w:lvlText w:val="%2."/>
      <w:lvlJc w:val="left"/>
      <w:pPr>
        <w:ind w:left="1014" w:hanging="360"/>
      </w:pPr>
      <w:rPr>
        <w:rFonts w:cs="Times New Roman"/>
      </w:rPr>
    </w:lvl>
    <w:lvl w:ilvl="2" w:tplc="0C09001B" w:tentative="1">
      <w:start w:val="1"/>
      <w:numFmt w:val="lowerRoman"/>
      <w:lvlText w:val="%3."/>
      <w:lvlJc w:val="right"/>
      <w:pPr>
        <w:ind w:left="1734" w:hanging="180"/>
      </w:pPr>
      <w:rPr>
        <w:rFonts w:cs="Times New Roman"/>
      </w:rPr>
    </w:lvl>
    <w:lvl w:ilvl="3" w:tplc="0C09000F" w:tentative="1">
      <w:start w:val="1"/>
      <w:numFmt w:val="decimal"/>
      <w:lvlText w:val="%4."/>
      <w:lvlJc w:val="left"/>
      <w:pPr>
        <w:ind w:left="2454" w:hanging="360"/>
      </w:pPr>
      <w:rPr>
        <w:rFonts w:cs="Times New Roman"/>
      </w:rPr>
    </w:lvl>
    <w:lvl w:ilvl="4" w:tplc="0C090019" w:tentative="1">
      <w:start w:val="1"/>
      <w:numFmt w:val="lowerLetter"/>
      <w:lvlText w:val="%5."/>
      <w:lvlJc w:val="left"/>
      <w:pPr>
        <w:ind w:left="3174" w:hanging="360"/>
      </w:pPr>
      <w:rPr>
        <w:rFonts w:cs="Times New Roman"/>
      </w:rPr>
    </w:lvl>
    <w:lvl w:ilvl="5" w:tplc="0C09001B" w:tentative="1">
      <w:start w:val="1"/>
      <w:numFmt w:val="lowerRoman"/>
      <w:lvlText w:val="%6."/>
      <w:lvlJc w:val="right"/>
      <w:pPr>
        <w:ind w:left="3894" w:hanging="180"/>
      </w:pPr>
      <w:rPr>
        <w:rFonts w:cs="Times New Roman"/>
      </w:rPr>
    </w:lvl>
    <w:lvl w:ilvl="6" w:tplc="0C09000F" w:tentative="1">
      <w:start w:val="1"/>
      <w:numFmt w:val="decimal"/>
      <w:lvlText w:val="%7."/>
      <w:lvlJc w:val="left"/>
      <w:pPr>
        <w:ind w:left="4614" w:hanging="360"/>
      </w:pPr>
      <w:rPr>
        <w:rFonts w:cs="Times New Roman"/>
      </w:rPr>
    </w:lvl>
    <w:lvl w:ilvl="7" w:tplc="0C090019" w:tentative="1">
      <w:start w:val="1"/>
      <w:numFmt w:val="lowerLetter"/>
      <w:lvlText w:val="%8."/>
      <w:lvlJc w:val="left"/>
      <w:pPr>
        <w:ind w:left="5334" w:hanging="360"/>
      </w:pPr>
      <w:rPr>
        <w:rFonts w:cs="Times New Roman"/>
      </w:rPr>
    </w:lvl>
    <w:lvl w:ilvl="8" w:tplc="0C09001B" w:tentative="1">
      <w:start w:val="1"/>
      <w:numFmt w:val="lowerRoman"/>
      <w:lvlText w:val="%9."/>
      <w:lvlJc w:val="right"/>
      <w:pPr>
        <w:ind w:left="6054" w:hanging="180"/>
      </w:pPr>
      <w:rPr>
        <w:rFonts w:cs="Times New Roman"/>
      </w:rPr>
    </w:lvl>
  </w:abstractNum>
  <w:abstractNum w:abstractNumId="23">
    <w:nsid w:val="4D190A80"/>
    <w:multiLevelType w:val="hybridMultilevel"/>
    <w:tmpl w:val="141A67D4"/>
    <w:lvl w:ilvl="0" w:tplc="A88ECBE4">
      <w:start w:val="1"/>
      <w:numFmt w:val="decimal"/>
      <w:pStyle w:val="CaptionA"/>
      <w:lvlText w:val="Annex  %1.   "/>
      <w:lvlJc w:val="left"/>
      <w:pPr>
        <w:tabs>
          <w:tab w:val="num" w:pos="1138"/>
        </w:tabs>
      </w:pPr>
      <w:rPr>
        <w:rFonts w:ascii="Arial Bold" w:hAnsi="Arial Bold" w:cs="Times New Roman" w:hint="default"/>
        <w:b/>
        <w:i/>
        <w:sz w:val="21"/>
        <w:szCs w:val="21"/>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4F716C1A"/>
    <w:multiLevelType w:val="hybridMultilevel"/>
    <w:tmpl w:val="276E0AF2"/>
    <w:lvl w:ilvl="0" w:tplc="1E448106">
      <w:start w:val="1"/>
      <w:numFmt w:val="decimal"/>
      <w:lvlText w:val="Figure %1:"/>
      <w:lvlJc w:val="left"/>
      <w:pPr>
        <w:ind w:left="360" w:hanging="360"/>
      </w:pPr>
      <w:rPr>
        <w:rFonts w:cs="Times New Roman" w:hint="default"/>
        <w:b w:val="0"/>
      </w:rPr>
    </w:lvl>
    <w:lvl w:ilvl="1" w:tplc="0C090019">
      <w:start w:val="1"/>
      <w:numFmt w:val="lowerLetter"/>
      <w:lvlText w:val="%2."/>
      <w:lvlJc w:val="left"/>
      <w:pPr>
        <w:ind w:left="1014" w:hanging="360"/>
      </w:pPr>
      <w:rPr>
        <w:rFonts w:cs="Times New Roman"/>
      </w:rPr>
    </w:lvl>
    <w:lvl w:ilvl="2" w:tplc="0C09001B" w:tentative="1">
      <w:start w:val="1"/>
      <w:numFmt w:val="lowerRoman"/>
      <w:lvlText w:val="%3."/>
      <w:lvlJc w:val="right"/>
      <w:pPr>
        <w:ind w:left="1734" w:hanging="180"/>
      </w:pPr>
      <w:rPr>
        <w:rFonts w:cs="Times New Roman"/>
      </w:rPr>
    </w:lvl>
    <w:lvl w:ilvl="3" w:tplc="0C09000F" w:tentative="1">
      <w:start w:val="1"/>
      <w:numFmt w:val="decimal"/>
      <w:lvlText w:val="%4."/>
      <w:lvlJc w:val="left"/>
      <w:pPr>
        <w:ind w:left="2454" w:hanging="360"/>
      </w:pPr>
      <w:rPr>
        <w:rFonts w:cs="Times New Roman"/>
      </w:rPr>
    </w:lvl>
    <w:lvl w:ilvl="4" w:tplc="0C090019" w:tentative="1">
      <w:start w:val="1"/>
      <w:numFmt w:val="lowerLetter"/>
      <w:lvlText w:val="%5."/>
      <w:lvlJc w:val="left"/>
      <w:pPr>
        <w:ind w:left="3174" w:hanging="360"/>
      </w:pPr>
      <w:rPr>
        <w:rFonts w:cs="Times New Roman"/>
      </w:rPr>
    </w:lvl>
    <w:lvl w:ilvl="5" w:tplc="0C09001B" w:tentative="1">
      <w:start w:val="1"/>
      <w:numFmt w:val="lowerRoman"/>
      <w:lvlText w:val="%6."/>
      <w:lvlJc w:val="right"/>
      <w:pPr>
        <w:ind w:left="3894" w:hanging="180"/>
      </w:pPr>
      <w:rPr>
        <w:rFonts w:cs="Times New Roman"/>
      </w:rPr>
    </w:lvl>
    <w:lvl w:ilvl="6" w:tplc="0C09000F" w:tentative="1">
      <w:start w:val="1"/>
      <w:numFmt w:val="decimal"/>
      <w:lvlText w:val="%7."/>
      <w:lvlJc w:val="left"/>
      <w:pPr>
        <w:ind w:left="4614" w:hanging="360"/>
      </w:pPr>
      <w:rPr>
        <w:rFonts w:cs="Times New Roman"/>
      </w:rPr>
    </w:lvl>
    <w:lvl w:ilvl="7" w:tplc="0C090019" w:tentative="1">
      <w:start w:val="1"/>
      <w:numFmt w:val="lowerLetter"/>
      <w:lvlText w:val="%8."/>
      <w:lvlJc w:val="left"/>
      <w:pPr>
        <w:ind w:left="5334" w:hanging="360"/>
      </w:pPr>
      <w:rPr>
        <w:rFonts w:cs="Times New Roman"/>
      </w:rPr>
    </w:lvl>
    <w:lvl w:ilvl="8" w:tplc="0C09001B" w:tentative="1">
      <w:start w:val="1"/>
      <w:numFmt w:val="lowerRoman"/>
      <w:lvlText w:val="%9."/>
      <w:lvlJc w:val="right"/>
      <w:pPr>
        <w:ind w:left="6054" w:hanging="180"/>
      </w:pPr>
      <w:rPr>
        <w:rFonts w:cs="Times New Roman"/>
      </w:rPr>
    </w:lvl>
  </w:abstractNum>
  <w:abstractNum w:abstractNumId="25">
    <w:nsid w:val="4FDF61CB"/>
    <w:multiLevelType w:val="multilevel"/>
    <w:tmpl w:val="A1C231A6"/>
    <w:lvl w:ilvl="0">
      <w:start w:val="1"/>
      <w:numFmt w:val="decimal"/>
      <w:pStyle w:val="CaptionF"/>
      <w:lvlText w:val="Figure %1. "/>
      <w:lvlJc w:val="left"/>
      <w:pPr>
        <w:tabs>
          <w:tab w:val="num" w:pos="360"/>
        </w:tabs>
        <w:ind w:left="360" w:hanging="360"/>
      </w:pPr>
      <w:rPr>
        <w:rFonts w:ascii="Arial" w:hAnsi="Arial" w:cs="Arial" w:hint="default"/>
        <w:b/>
        <w:i w:val="0"/>
        <w:sz w:val="20"/>
        <w:szCs w:val="20"/>
      </w:rPr>
    </w:lvl>
    <w:lvl w:ilvl="1">
      <w:start w:val="1"/>
      <w:numFmt w:val="decimal"/>
      <w:pStyle w:val="StyleHeading2Centered"/>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6">
    <w:nsid w:val="513E7B2F"/>
    <w:multiLevelType w:val="multilevel"/>
    <w:tmpl w:val="0409001F"/>
    <w:styleLink w:val="111111"/>
    <w:lvl w:ilvl="0">
      <w:start w:val="1"/>
      <w:numFmt w:val="decimal"/>
      <w:pStyle w:val="Bodytextnumbered"/>
      <w:lvlText w:val="%1."/>
      <w:lvlJc w:val="left"/>
      <w:pPr>
        <w:tabs>
          <w:tab w:val="num" w:pos="720"/>
        </w:tabs>
        <w:ind w:left="360" w:hanging="360"/>
      </w:pPr>
      <w:rPr>
        <w:rFonts w:cs="Times New Roman"/>
      </w:rPr>
    </w:lvl>
    <w:lvl w:ilvl="1">
      <w:start w:val="1"/>
      <w:numFmt w:val="decimal"/>
      <w:lvlText w:val="%1.%2."/>
      <w:lvlJc w:val="left"/>
      <w:pPr>
        <w:tabs>
          <w:tab w:val="num" w:pos="1440"/>
        </w:tabs>
        <w:ind w:left="792" w:hanging="432"/>
      </w:pPr>
      <w:rPr>
        <w:rFonts w:cs="Times New Roman"/>
      </w:rPr>
    </w:lvl>
    <w:lvl w:ilvl="2">
      <w:start w:val="1"/>
      <w:numFmt w:val="decimal"/>
      <w:lvlText w:val="%1.%2.%3."/>
      <w:lvlJc w:val="left"/>
      <w:pPr>
        <w:tabs>
          <w:tab w:val="num" w:pos="2160"/>
        </w:tabs>
        <w:ind w:left="1224" w:hanging="504"/>
      </w:pPr>
      <w:rPr>
        <w:rFonts w:cs="Times New Roman"/>
      </w:rPr>
    </w:lvl>
    <w:lvl w:ilvl="3">
      <w:start w:val="1"/>
      <w:numFmt w:val="decimal"/>
      <w:lvlText w:val="%1.%2.%3.%4."/>
      <w:lvlJc w:val="left"/>
      <w:pPr>
        <w:tabs>
          <w:tab w:val="num" w:pos="2880"/>
        </w:tabs>
        <w:ind w:left="1728" w:hanging="648"/>
      </w:pPr>
      <w:rPr>
        <w:rFonts w:cs="Times New Roman"/>
      </w:rPr>
    </w:lvl>
    <w:lvl w:ilvl="4">
      <w:start w:val="1"/>
      <w:numFmt w:val="decimal"/>
      <w:lvlText w:val="%1.%2.%3.%4.%5."/>
      <w:lvlJc w:val="left"/>
      <w:pPr>
        <w:tabs>
          <w:tab w:val="num" w:pos="3600"/>
        </w:tabs>
        <w:ind w:left="2232" w:hanging="792"/>
      </w:pPr>
      <w:rPr>
        <w:rFonts w:cs="Times New Roman"/>
      </w:rPr>
    </w:lvl>
    <w:lvl w:ilvl="5">
      <w:start w:val="1"/>
      <w:numFmt w:val="decimal"/>
      <w:lvlText w:val="%1.%2.%3.%4.%5.%6."/>
      <w:lvlJc w:val="left"/>
      <w:pPr>
        <w:tabs>
          <w:tab w:val="num" w:pos="4320"/>
        </w:tabs>
        <w:ind w:left="2736" w:hanging="936"/>
      </w:pPr>
      <w:rPr>
        <w:rFonts w:cs="Times New Roman"/>
      </w:rPr>
    </w:lvl>
    <w:lvl w:ilvl="6">
      <w:start w:val="1"/>
      <w:numFmt w:val="decimal"/>
      <w:lvlText w:val="%1.%2.%3.%4.%5.%6.%7."/>
      <w:lvlJc w:val="left"/>
      <w:pPr>
        <w:tabs>
          <w:tab w:val="num" w:pos="5040"/>
        </w:tabs>
        <w:ind w:left="3240" w:hanging="1080"/>
      </w:pPr>
      <w:rPr>
        <w:rFonts w:cs="Times New Roman"/>
      </w:rPr>
    </w:lvl>
    <w:lvl w:ilvl="7">
      <w:start w:val="1"/>
      <w:numFmt w:val="decimal"/>
      <w:lvlText w:val="%1.%2.%3.%4.%5.%6.%7.%8."/>
      <w:lvlJc w:val="left"/>
      <w:pPr>
        <w:tabs>
          <w:tab w:val="num" w:pos="5760"/>
        </w:tabs>
        <w:ind w:left="3744" w:hanging="1224"/>
      </w:pPr>
      <w:rPr>
        <w:rFonts w:cs="Times New Roman"/>
      </w:rPr>
    </w:lvl>
    <w:lvl w:ilvl="8">
      <w:start w:val="1"/>
      <w:numFmt w:val="decimal"/>
      <w:lvlText w:val="%1.%2.%3.%4.%5.%6.%7.%8.%9."/>
      <w:lvlJc w:val="left"/>
      <w:pPr>
        <w:tabs>
          <w:tab w:val="num" w:pos="6480"/>
        </w:tabs>
        <w:ind w:left="4320" w:hanging="1440"/>
      </w:pPr>
      <w:rPr>
        <w:rFonts w:cs="Times New Roman"/>
      </w:rPr>
    </w:lvl>
  </w:abstractNum>
  <w:abstractNum w:abstractNumId="27">
    <w:nsid w:val="530C3DF5"/>
    <w:multiLevelType w:val="hybridMultilevel"/>
    <w:tmpl w:val="F9549C16"/>
    <w:lvl w:ilvl="0" w:tplc="0CC2C732">
      <w:start w:val="1"/>
      <w:numFmt w:val="bullet"/>
      <w:pStyle w:val="Listbullet0"/>
      <w:lvlText w:val=""/>
      <w:lvlJc w:val="left"/>
      <w:pPr>
        <w:ind w:left="720" w:hanging="360"/>
      </w:pPr>
      <w:rPr>
        <w:rFonts w:ascii="Symbol" w:hAnsi="Symbol" w:hint="default"/>
      </w:rPr>
    </w:lvl>
    <w:lvl w:ilvl="1" w:tplc="56440644" w:tentative="1">
      <w:start w:val="1"/>
      <w:numFmt w:val="bullet"/>
      <w:lvlText w:val="o"/>
      <w:lvlJc w:val="left"/>
      <w:pPr>
        <w:ind w:left="1440" w:hanging="360"/>
      </w:pPr>
      <w:rPr>
        <w:rFonts w:ascii="Courier New" w:hAnsi="Courier New" w:hint="default"/>
      </w:rPr>
    </w:lvl>
    <w:lvl w:ilvl="2" w:tplc="D6E4987C" w:tentative="1">
      <w:start w:val="1"/>
      <w:numFmt w:val="bullet"/>
      <w:lvlText w:val=""/>
      <w:lvlJc w:val="left"/>
      <w:pPr>
        <w:ind w:left="2160" w:hanging="360"/>
      </w:pPr>
      <w:rPr>
        <w:rFonts w:ascii="Wingdings" w:hAnsi="Wingdings" w:hint="default"/>
      </w:rPr>
    </w:lvl>
    <w:lvl w:ilvl="3" w:tplc="7ABE611C" w:tentative="1">
      <w:start w:val="1"/>
      <w:numFmt w:val="bullet"/>
      <w:lvlText w:val=""/>
      <w:lvlJc w:val="left"/>
      <w:pPr>
        <w:ind w:left="2880" w:hanging="360"/>
      </w:pPr>
      <w:rPr>
        <w:rFonts w:ascii="Symbol" w:hAnsi="Symbol" w:hint="default"/>
      </w:rPr>
    </w:lvl>
    <w:lvl w:ilvl="4" w:tplc="FED0390C" w:tentative="1">
      <w:start w:val="1"/>
      <w:numFmt w:val="bullet"/>
      <w:lvlText w:val="o"/>
      <w:lvlJc w:val="left"/>
      <w:pPr>
        <w:ind w:left="3600" w:hanging="360"/>
      </w:pPr>
      <w:rPr>
        <w:rFonts w:ascii="Courier New" w:hAnsi="Courier New" w:hint="default"/>
      </w:rPr>
    </w:lvl>
    <w:lvl w:ilvl="5" w:tplc="EDEE43B0" w:tentative="1">
      <w:start w:val="1"/>
      <w:numFmt w:val="bullet"/>
      <w:lvlText w:val=""/>
      <w:lvlJc w:val="left"/>
      <w:pPr>
        <w:ind w:left="4320" w:hanging="360"/>
      </w:pPr>
      <w:rPr>
        <w:rFonts w:ascii="Wingdings" w:hAnsi="Wingdings" w:hint="default"/>
      </w:rPr>
    </w:lvl>
    <w:lvl w:ilvl="6" w:tplc="2ADE1172" w:tentative="1">
      <w:start w:val="1"/>
      <w:numFmt w:val="bullet"/>
      <w:lvlText w:val=""/>
      <w:lvlJc w:val="left"/>
      <w:pPr>
        <w:ind w:left="5040" w:hanging="360"/>
      </w:pPr>
      <w:rPr>
        <w:rFonts w:ascii="Symbol" w:hAnsi="Symbol" w:hint="default"/>
      </w:rPr>
    </w:lvl>
    <w:lvl w:ilvl="7" w:tplc="865E667E" w:tentative="1">
      <w:start w:val="1"/>
      <w:numFmt w:val="bullet"/>
      <w:lvlText w:val="o"/>
      <w:lvlJc w:val="left"/>
      <w:pPr>
        <w:ind w:left="5760" w:hanging="360"/>
      </w:pPr>
      <w:rPr>
        <w:rFonts w:ascii="Courier New" w:hAnsi="Courier New" w:hint="default"/>
      </w:rPr>
    </w:lvl>
    <w:lvl w:ilvl="8" w:tplc="5E80DB10" w:tentative="1">
      <w:start w:val="1"/>
      <w:numFmt w:val="bullet"/>
      <w:lvlText w:val=""/>
      <w:lvlJc w:val="left"/>
      <w:pPr>
        <w:ind w:left="6480" w:hanging="360"/>
      </w:pPr>
      <w:rPr>
        <w:rFonts w:ascii="Wingdings" w:hAnsi="Wingdings" w:hint="default"/>
      </w:rPr>
    </w:lvl>
  </w:abstractNum>
  <w:abstractNum w:abstractNumId="28">
    <w:nsid w:val="53150C89"/>
    <w:multiLevelType w:val="multilevel"/>
    <w:tmpl w:val="647419AC"/>
    <w:lvl w:ilvl="0">
      <w:start w:val="1"/>
      <w:numFmt w:val="upperRoman"/>
      <w:lvlText w:val="%1."/>
      <w:lvlJc w:val="left"/>
      <w:rPr>
        <w:rFonts w:cs="Times New Roman"/>
      </w:rPr>
    </w:lvl>
    <w:lvl w:ilvl="1">
      <w:start w:val="1"/>
      <w:numFmt w:val="upperLetter"/>
      <w:lvlText w:val="%2."/>
      <w:lvlJc w:val="left"/>
      <w:pPr>
        <w:ind w:left="578"/>
      </w:pPr>
      <w:rPr>
        <w:rFonts w:cs="Times New Roman"/>
      </w:rPr>
    </w:lvl>
    <w:lvl w:ilvl="2">
      <w:start w:val="1"/>
      <w:numFmt w:val="decimal"/>
      <w:lvlText w:val="%3."/>
      <w:lvlJc w:val="left"/>
      <w:pPr>
        <w:ind w:left="1298"/>
      </w:pPr>
      <w:rPr>
        <w:rFonts w:cs="Times New Roman"/>
      </w:rPr>
    </w:lvl>
    <w:lvl w:ilvl="3">
      <w:start w:val="1"/>
      <w:numFmt w:val="lowerLetter"/>
      <w:lvlText w:val="%4)"/>
      <w:lvlJc w:val="left"/>
      <w:pPr>
        <w:ind w:left="2018"/>
      </w:pPr>
      <w:rPr>
        <w:rFonts w:cs="Times New Roman"/>
      </w:rPr>
    </w:lvl>
    <w:lvl w:ilvl="4">
      <w:start w:val="1"/>
      <w:numFmt w:val="decimal"/>
      <w:lvlText w:val="(%5)"/>
      <w:lvlJc w:val="left"/>
      <w:pPr>
        <w:ind w:left="2738"/>
      </w:pPr>
      <w:rPr>
        <w:rFonts w:cs="Times New Roman"/>
      </w:rPr>
    </w:lvl>
    <w:lvl w:ilvl="5">
      <w:start w:val="1"/>
      <w:numFmt w:val="lowerLetter"/>
      <w:lvlText w:val="(%6)"/>
      <w:lvlJc w:val="left"/>
      <w:pPr>
        <w:ind w:left="3458"/>
      </w:pPr>
      <w:rPr>
        <w:rFonts w:cs="Times New Roman"/>
      </w:rPr>
    </w:lvl>
    <w:lvl w:ilvl="6">
      <w:start w:val="1"/>
      <w:numFmt w:val="lowerRoman"/>
      <w:lvlText w:val="(%7)"/>
      <w:lvlJc w:val="left"/>
      <w:pPr>
        <w:ind w:left="4178"/>
      </w:pPr>
      <w:rPr>
        <w:rFonts w:cs="Times New Roman"/>
      </w:rPr>
    </w:lvl>
    <w:lvl w:ilvl="7">
      <w:start w:val="1"/>
      <w:numFmt w:val="lowerLetter"/>
      <w:lvlText w:val="(%8)"/>
      <w:lvlJc w:val="left"/>
      <w:pPr>
        <w:ind w:left="4898"/>
      </w:pPr>
      <w:rPr>
        <w:rFonts w:cs="Times New Roman"/>
      </w:rPr>
    </w:lvl>
    <w:lvl w:ilvl="8">
      <w:start w:val="1"/>
      <w:numFmt w:val="lowerRoman"/>
      <w:lvlText w:val="(%9)"/>
      <w:lvlJc w:val="left"/>
      <w:pPr>
        <w:ind w:left="5618"/>
      </w:pPr>
      <w:rPr>
        <w:rFonts w:cs="Times New Roman"/>
      </w:rPr>
    </w:lvl>
  </w:abstractNum>
  <w:abstractNum w:abstractNumId="29">
    <w:nsid w:val="551F60F4"/>
    <w:multiLevelType w:val="hybridMultilevel"/>
    <w:tmpl w:val="7BE0B7B8"/>
    <w:lvl w:ilvl="0" w:tplc="0C09000F">
      <w:start w:val="1"/>
      <w:numFmt w:val="decimal"/>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30">
    <w:nsid w:val="56496C0C"/>
    <w:multiLevelType w:val="hybridMultilevel"/>
    <w:tmpl w:val="FA06497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575B7D2F"/>
    <w:multiLevelType w:val="hybridMultilevel"/>
    <w:tmpl w:val="7BE0B7B8"/>
    <w:lvl w:ilvl="0" w:tplc="0C09000F">
      <w:start w:val="1"/>
      <w:numFmt w:val="decimal"/>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32">
    <w:nsid w:val="5801671D"/>
    <w:multiLevelType w:val="multilevel"/>
    <w:tmpl w:val="23B07024"/>
    <w:lvl w:ilvl="0">
      <w:start w:val="1"/>
      <w:numFmt w:val="decimal"/>
      <w:lvlText w:val="%1"/>
      <w:lvlJc w:val="left"/>
      <w:pPr>
        <w:ind w:left="432" w:hanging="432"/>
      </w:pPr>
    </w:lvl>
    <w:lvl w:ilvl="1">
      <w:start w:val="1"/>
      <w:numFmt w:val="decimal"/>
      <w:lvlText w:val="%1.%2"/>
      <w:lvlJc w:val="left"/>
      <w:pPr>
        <w:ind w:left="2561"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nsid w:val="59381138"/>
    <w:multiLevelType w:val="hybridMultilevel"/>
    <w:tmpl w:val="7BE0B7B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nsid w:val="59CF2DAC"/>
    <w:multiLevelType w:val="hybridMultilevel"/>
    <w:tmpl w:val="B73AACD4"/>
    <w:lvl w:ilvl="0" w:tplc="081670E0">
      <w:start w:val="1"/>
      <w:numFmt w:val="bullet"/>
      <w:pStyle w:val="Bulletswithsinglespacingfont11"/>
      <w:lvlText w:val=""/>
      <w:lvlJc w:val="left"/>
      <w:pPr>
        <w:ind w:left="360" w:hanging="360"/>
      </w:pPr>
      <w:rPr>
        <w:rFonts w:ascii="Symbol" w:hAnsi="Symbol" w:hint="default"/>
        <w:color w:val="4F81B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03D49BB"/>
    <w:multiLevelType w:val="hybridMultilevel"/>
    <w:tmpl w:val="923A3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61B6F58"/>
    <w:multiLevelType w:val="multilevel"/>
    <w:tmpl w:val="5F4EB140"/>
    <w:lvl w:ilvl="0">
      <w:start w:val="1"/>
      <w:numFmt w:val="upperLetter"/>
      <w:pStyle w:val="HeadingAP1"/>
      <w:lvlText w:val="Appendix %1"/>
      <w:lvlJc w:val="left"/>
      <w:pPr>
        <w:tabs>
          <w:tab w:val="num" w:pos="1797"/>
        </w:tabs>
        <w:ind w:left="1797" w:hanging="1797"/>
      </w:pPr>
      <w:rPr>
        <w:rFonts w:hint="default"/>
      </w:rPr>
    </w:lvl>
    <w:lvl w:ilvl="1">
      <w:start w:val="1"/>
      <w:numFmt w:val="decimal"/>
      <w:pStyle w:val="HeadingAP2"/>
      <w:lvlText w:val="%1.%2"/>
      <w:lvlJc w:val="left"/>
      <w:pPr>
        <w:tabs>
          <w:tab w:val="num" w:pos="1009"/>
        </w:tabs>
        <w:ind w:left="1009" w:hanging="1009"/>
      </w:pPr>
      <w:rPr>
        <w:rFonts w:hint="default"/>
      </w:rPr>
    </w:lvl>
    <w:lvl w:ilvl="2">
      <w:start w:val="1"/>
      <w:numFmt w:val="decimal"/>
      <w:pStyle w:val="HeadingAP3"/>
      <w:lvlText w:val="%1.%2.%3"/>
      <w:lvlJc w:val="left"/>
      <w:pPr>
        <w:tabs>
          <w:tab w:val="num" w:pos="1009"/>
        </w:tabs>
        <w:ind w:left="1009" w:hanging="1009"/>
      </w:pPr>
      <w:rPr>
        <w:rFonts w:hint="default"/>
      </w:rPr>
    </w:lvl>
    <w:lvl w:ilvl="3">
      <w:start w:val="1"/>
      <w:numFmt w:val="none"/>
      <w:pStyle w:val="HeadingAP4"/>
      <w:suff w:val="nothing"/>
      <w:lvlText w:val=""/>
      <w:lvlJc w:val="left"/>
      <w:pPr>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7">
    <w:nsid w:val="67D114BB"/>
    <w:multiLevelType w:val="hybridMultilevel"/>
    <w:tmpl w:val="8B96604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8">
    <w:nsid w:val="68205693"/>
    <w:multiLevelType w:val="hybridMultilevel"/>
    <w:tmpl w:val="2B62D3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nsid w:val="6F5A1011"/>
    <w:multiLevelType w:val="multilevel"/>
    <w:tmpl w:val="4A6A241A"/>
    <w:lvl w:ilvl="0">
      <w:start w:val="1"/>
      <w:numFmt w:val="decimal"/>
      <w:pStyle w:val="Heading1"/>
      <w:lvlText w:val="%1"/>
      <w:lvlJc w:val="left"/>
      <w:pPr>
        <w:ind w:left="360" w:hanging="360"/>
      </w:pPr>
      <w:rPr>
        <w:rFonts w:hint="default"/>
      </w:rPr>
    </w:lvl>
    <w:lvl w:ilvl="1">
      <w:start w:val="1"/>
      <w:numFmt w:val="decimal"/>
      <w:pStyle w:val="Heading2"/>
      <w:isLgl/>
      <w:lvlText w:val="%1.%2"/>
      <w:lvlJc w:val="left"/>
      <w:pPr>
        <w:ind w:left="360" w:hanging="360"/>
      </w:pPr>
      <w:rPr>
        <w:rFonts w:hint="default"/>
      </w:rPr>
    </w:lvl>
    <w:lvl w:ilvl="2">
      <w:start w:val="1"/>
      <w:numFmt w:val="decimal"/>
      <w:isLgl/>
      <w:lvlText w:val="%1.%2.%3"/>
      <w:lvlJc w:val="left"/>
      <w:pPr>
        <w:ind w:left="4613" w:hanging="720"/>
      </w:pPr>
      <w:rPr>
        <w:rFonts w:hint="default"/>
      </w:rPr>
    </w:lvl>
    <w:lvl w:ilvl="3">
      <w:start w:val="1"/>
      <w:numFmt w:val="decimal"/>
      <w:pStyle w:val="Heading4"/>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nsid w:val="7B182796"/>
    <w:multiLevelType w:val="multilevel"/>
    <w:tmpl w:val="376A52EA"/>
    <w:lvl w:ilvl="0">
      <w:start w:val="1"/>
      <w:numFmt w:val="decimal"/>
      <w:pStyle w:val="CONLevel1"/>
      <w:lvlText w:val="%1."/>
      <w:lvlJc w:val="left"/>
      <w:pPr>
        <w:tabs>
          <w:tab w:val="num" w:pos="720"/>
        </w:tabs>
        <w:ind w:left="720" w:hanging="720"/>
      </w:pPr>
      <w:rPr>
        <w:rFonts w:ascii="Garamond" w:hAnsi="Garamond" w:cs="Times New Roman" w:hint="default"/>
        <w:b w:val="0"/>
        <w:i w:val="0"/>
        <w:sz w:val="20"/>
        <w:szCs w:val="20"/>
      </w:rPr>
    </w:lvl>
    <w:lvl w:ilvl="1">
      <w:start w:val="1"/>
      <w:numFmt w:val="decimal"/>
      <w:pStyle w:val="CONLevel11Char"/>
      <w:lvlText w:val="%1.%2"/>
      <w:lvlJc w:val="left"/>
      <w:pPr>
        <w:tabs>
          <w:tab w:val="num" w:pos="1246"/>
        </w:tabs>
        <w:ind w:left="1246" w:hanging="706"/>
      </w:pPr>
      <w:rPr>
        <w:rFonts w:ascii="Garamond" w:hAnsi="Garamond" w:cs="Times New Roman" w:hint="default"/>
        <w:b w:val="0"/>
        <w:i w:val="0"/>
        <w:sz w:val="20"/>
        <w:szCs w:val="20"/>
      </w:rPr>
    </w:lvl>
    <w:lvl w:ilvl="2">
      <w:start w:val="1"/>
      <w:numFmt w:val="lowerLetter"/>
      <w:pStyle w:val="CONLevelaChar"/>
      <w:lvlText w:val="(%3)"/>
      <w:lvlJc w:val="left"/>
      <w:pPr>
        <w:tabs>
          <w:tab w:val="num" w:pos="1260"/>
        </w:tabs>
        <w:ind w:left="1260" w:hanging="720"/>
      </w:pPr>
      <w:rPr>
        <w:rFonts w:ascii="Garamond" w:hAnsi="Garamond" w:cs="Times New Roman" w:hint="default"/>
        <w:b w:val="0"/>
        <w:i w:val="0"/>
        <w:color w:val="auto"/>
        <w:sz w:val="20"/>
        <w:szCs w:val="20"/>
      </w:rPr>
    </w:lvl>
    <w:lvl w:ilvl="3">
      <w:start w:val="1"/>
      <w:numFmt w:val="lowerRoman"/>
      <w:pStyle w:val="CONLeveli"/>
      <w:lvlText w:val="(%4)"/>
      <w:lvlJc w:val="left"/>
      <w:pPr>
        <w:tabs>
          <w:tab w:val="num" w:pos="2160"/>
        </w:tabs>
        <w:ind w:left="2160" w:hanging="720"/>
      </w:pPr>
      <w:rPr>
        <w:rFonts w:ascii="Garamond" w:hAnsi="Garamond" w:cs="Times New Roman" w:hint="default"/>
        <w:b w:val="0"/>
        <w:i w:val="0"/>
        <w:sz w:val="20"/>
        <w:szCs w:val="20"/>
      </w:rPr>
    </w:lvl>
    <w:lvl w:ilvl="4">
      <w:start w:val="1"/>
      <w:numFmt w:val="upperLetter"/>
      <w:pStyle w:val="CONLevelA"/>
      <w:lvlText w:val="(%5)"/>
      <w:lvlJc w:val="left"/>
      <w:pPr>
        <w:tabs>
          <w:tab w:val="num" w:pos="2880"/>
        </w:tabs>
        <w:ind w:left="2880" w:hanging="720"/>
      </w:pPr>
      <w:rPr>
        <w:rFonts w:ascii="Times New Roman" w:hAnsi="Times New Roman" w:cs="Times New Roman" w:hint="default"/>
        <w:b w:val="0"/>
        <w:i w:val="0"/>
        <w:sz w:val="24"/>
      </w:rPr>
    </w:lvl>
    <w:lvl w:ilvl="5">
      <w:start w:val="1"/>
      <w:numFmt w:val="upperRoman"/>
      <w:pStyle w:val="CONLevelI0"/>
      <w:lvlText w:val="(%6)"/>
      <w:lvlJc w:val="left"/>
      <w:pPr>
        <w:tabs>
          <w:tab w:val="num" w:pos="3600"/>
        </w:tabs>
        <w:ind w:left="3600" w:hanging="720"/>
      </w:pPr>
      <w:rPr>
        <w:rFonts w:ascii="Times New Roman" w:hAnsi="Times New Roman" w:cs="Times New Roman" w:hint="default"/>
        <w:b w:val="0"/>
        <w:i w:val="0"/>
        <w:sz w:val="24"/>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41">
    <w:nsid w:val="7BE95C27"/>
    <w:multiLevelType w:val="hybridMultilevel"/>
    <w:tmpl w:val="06FC372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10"/>
  </w:num>
  <w:num w:numId="3">
    <w:abstractNumId w:val="32"/>
  </w:num>
  <w:num w:numId="4">
    <w:abstractNumId w:val="36"/>
  </w:num>
  <w:num w:numId="5">
    <w:abstractNumId w:val="34"/>
  </w:num>
  <w:num w:numId="6">
    <w:abstractNumId w:val="35"/>
  </w:num>
  <w:num w:numId="7">
    <w:abstractNumId w:val="39"/>
  </w:num>
  <w:num w:numId="8">
    <w:abstractNumId w:val="5"/>
  </w:num>
  <w:num w:numId="9">
    <w:abstractNumId w:val="30"/>
  </w:num>
  <w:num w:numId="10">
    <w:abstractNumId w:val="40"/>
  </w:num>
  <w:num w:numId="11">
    <w:abstractNumId w:val="2"/>
  </w:num>
  <w:num w:numId="12">
    <w:abstractNumId w:val="38"/>
  </w:num>
  <w:num w:numId="13">
    <w:abstractNumId w:val="22"/>
  </w:num>
  <w:num w:numId="14">
    <w:abstractNumId w:val="2"/>
    <w:lvlOverride w:ilvl="0">
      <w:startOverride w:val="1"/>
    </w:lvlOverride>
  </w:num>
  <w:num w:numId="15">
    <w:abstractNumId w:val="28"/>
  </w:num>
  <w:num w:numId="16">
    <w:abstractNumId w:val="14"/>
  </w:num>
  <w:num w:numId="17">
    <w:abstractNumId w:val="24"/>
  </w:num>
  <w:num w:numId="18">
    <w:abstractNumId w:val="25"/>
  </w:num>
  <w:num w:numId="19">
    <w:abstractNumId w:val="27"/>
  </w:num>
  <w:num w:numId="20">
    <w:abstractNumId w:val="12"/>
  </w:num>
  <w:num w:numId="21">
    <w:abstractNumId w:val="26"/>
  </w:num>
  <w:num w:numId="22">
    <w:abstractNumId w:val="13"/>
  </w:num>
  <w:num w:numId="23">
    <w:abstractNumId w:val="23"/>
  </w:num>
  <w:num w:numId="24">
    <w:abstractNumId w:val="16"/>
  </w:num>
  <w:num w:numId="25">
    <w:abstractNumId w:val="21"/>
  </w:num>
  <w:num w:numId="26">
    <w:abstractNumId w:val="11"/>
  </w:num>
  <w:num w:numId="27">
    <w:abstractNumId w:val="19"/>
  </w:num>
  <w:num w:numId="28">
    <w:abstractNumId w:val="20"/>
  </w:num>
  <w:num w:numId="29">
    <w:abstractNumId w:val="0"/>
  </w:num>
  <w:num w:numId="30">
    <w:abstractNumId w:val="9"/>
  </w:num>
  <w:num w:numId="31">
    <w:abstractNumId w:val="1"/>
  </w:num>
  <w:num w:numId="32">
    <w:abstractNumId w:val="22"/>
  </w:num>
  <w:num w:numId="33">
    <w:abstractNumId w:val="4"/>
  </w:num>
  <w:num w:numId="34">
    <w:abstractNumId w:val="33"/>
  </w:num>
  <w:num w:numId="35">
    <w:abstractNumId w:val="17"/>
  </w:num>
  <w:num w:numId="36">
    <w:abstractNumId w:val="6"/>
  </w:num>
  <w:num w:numId="37">
    <w:abstractNumId w:val="7"/>
  </w:num>
  <w:num w:numId="38">
    <w:abstractNumId w:val="31"/>
  </w:num>
  <w:num w:numId="39">
    <w:abstractNumId w:val="29"/>
  </w:num>
  <w:num w:numId="40">
    <w:abstractNumId w:val="41"/>
  </w:num>
  <w:num w:numId="41">
    <w:abstractNumId w:val="15"/>
  </w:num>
  <w:num w:numId="42">
    <w:abstractNumId w:val="8"/>
  </w:num>
  <w:num w:numId="43">
    <w:abstractNumId w:val="18"/>
  </w:num>
  <w:num w:numId="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rawingGridHorizontalSpacing w:val="110"/>
  <w:displayHorizontalDrawingGridEvery w:val="2"/>
  <w:characterSpacingControl w:val="doNotCompress"/>
  <w:hdrShapeDefaults>
    <o:shapedefaults v:ext="edit" spidmax="8193">
      <o:colormru v:ext="edit" colors="#002a6c"/>
    </o:shapedefaults>
  </w:hdrShapeDefaults>
  <w:footnotePr>
    <w:numRestart w:val="eachSect"/>
    <w:footnote w:id="-1"/>
    <w:footnote w:id="0"/>
  </w:footnotePr>
  <w:endnotePr>
    <w:pos w:val="sectEnd"/>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1EC"/>
    <w:rsid w:val="000000F1"/>
    <w:rsid w:val="000008BB"/>
    <w:rsid w:val="000010AE"/>
    <w:rsid w:val="00001FC8"/>
    <w:rsid w:val="0000225C"/>
    <w:rsid w:val="00002483"/>
    <w:rsid w:val="00002711"/>
    <w:rsid w:val="00003054"/>
    <w:rsid w:val="000031F4"/>
    <w:rsid w:val="0000341B"/>
    <w:rsid w:val="0000381A"/>
    <w:rsid w:val="00003A03"/>
    <w:rsid w:val="000043F8"/>
    <w:rsid w:val="0000468E"/>
    <w:rsid w:val="000046CB"/>
    <w:rsid w:val="00004DA6"/>
    <w:rsid w:val="000055C5"/>
    <w:rsid w:val="0000598F"/>
    <w:rsid w:val="00006767"/>
    <w:rsid w:val="00006A00"/>
    <w:rsid w:val="00007205"/>
    <w:rsid w:val="0000724A"/>
    <w:rsid w:val="000077C2"/>
    <w:rsid w:val="00007C60"/>
    <w:rsid w:val="00007D98"/>
    <w:rsid w:val="00007DC4"/>
    <w:rsid w:val="000100E5"/>
    <w:rsid w:val="000101D5"/>
    <w:rsid w:val="00010BDB"/>
    <w:rsid w:val="000112A4"/>
    <w:rsid w:val="00011BED"/>
    <w:rsid w:val="00012B91"/>
    <w:rsid w:val="00012F8C"/>
    <w:rsid w:val="000130E5"/>
    <w:rsid w:val="00013854"/>
    <w:rsid w:val="00013AFB"/>
    <w:rsid w:val="00013F55"/>
    <w:rsid w:val="000140F0"/>
    <w:rsid w:val="0001433B"/>
    <w:rsid w:val="00014934"/>
    <w:rsid w:val="00014ADC"/>
    <w:rsid w:val="00014BF2"/>
    <w:rsid w:val="00015960"/>
    <w:rsid w:val="00015D9D"/>
    <w:rsid w:val="00016036"/>
    <w:rsid w:val="000161BD"/>
    <w:rsid w:val="00016411"/>
    <w:rsid w:val="00016AF7"/>
    <w:rsid w:val="00017338"/>
    <w:rsid w:val="000173E2"/>
    <w:rsid w:val="00017ABE"/>
    <w:rsid w:val="00017B83"/>
    <w:rsid w:val="00017C53"/>
    <w:rsid w:val="00017E4C"/>
    <w:rsid w:val="00020016"/>
    <w:rsid w:val="00020466"/>
    <w:rsid w:val="00020F04"/>
    <w:rsid w:val="000215DE"/>
    <w:rsid w:val="00021604"/>
    <w:rsid w:val="00021816"/>
    <w:rsid w:val="000223DA"/>
    <w:rsid w:val="000228FE"/>
    <w:rsid w:val="00022909"/>
    <w:rsid w:val="000229C1"/>
    <w:rsid w:val="00022A4B"/>
    <w:rsid w:val="0002366B"/>
    <w:rsid w:val="000237CF"/>
    <w:rsid w:val="000237E1"/>
    <w:rsid w:val="00023870"/>
    <w:rsid w:val="00023B70"/>
    <w:rsid w:val="0002409D"/>
    <w:rsid w:val="00024537"/>
    <w:rsid w:val="00024B7F"/>
    <w:rsid w:val="00024D05"/>
    <w:rsid w:val="00024E2C"/>
    <w:rsid w:val="000250D1"/>
    <w:rsid w:val="00026177"/>
    <w:rsid w:val="000265E4"/>
    <w:rsid w:val="0002678A"/>
    <w:rsid w:val="00026A4A"/>
    <w:rsid w:val="00027037"/>
    <w:rsid w:val="000277D4"/>
    <w:rsid w:val="00027CC2"/>
    <w:rsid w:val="00031571"/>
    <w:rsid w:val="00031A5C"/>
    <w:rsid w:val="00031F69"/>
    <w:rsid w:val="000327A7"/>
    <w:rsid w:val="000328A3"/>
    <w:rsid w:val="00034032"/>
    <w:rsid w:val="0003469D"/>
    <w:rsid w:val="000349C9"/>
    <w:rsid w:val="00034CD8"/>
    <w:rsid w:val="00035A6D"/>
    <w:rsid w:val="00035AAE"/>
    <w:rsid w:val="00036068"/>
    <w:rsid w:val="00036454"/>
    <w:rsid w:val="00036C8A"/>
    <w:rsid w:val="00036C95"/>
    <w:rsid w:val="000379EF"/>
    <w:rsid w:val="000400C4"/>
    <w:rsid w:val="0004042D"/>
    <w:rsid w:val="00040729"/>
    <w:rsid w:val="000408C5"/>
    <w:rsid w:val="0004092E"/>
    <w:rsid w:val="000409EE"/>
    <w:rsid w:val="00040AD1"/>
    <w:rsid w:val="00040D5A"/>
    <w:rsid w:val="000411B3"/>
    <w:rsid w:val="0004176F"/>
    <w:rsid w:val="0004193B"/>
    <w:rsid w:val="0004392A"/>
    <w:rsid w:val="0004426C"/>
    <w:rsid w:val="000444B9"/>
    <w:rsid w:val="00044826"/>
    <w:rsid w:val="000454EF"/>
    <w:rsid w:val="0004592B"/>
    <w:rsid w:val="00045BD1"/>
    <w:rsid w:val="00045CAA"/>
    <w:rsid w:val="000461A4"/>
    <w:rsid w:val="000462A2"/>
    <w:rsid w:val="000464CC"/>
    <w:rsid w:val="000465B4"/>
    <w:rsid w:val="00046E85"/>
    <w:rsid w:val="00047863"/>
    <w:rsid w:val="00047B50"/>
    <w:rsid w:val="00050760"/>
    <w:rsid w:val="00050EC5"/>
    <w:rsid w:val="00051341"/>
    <w:rsid w:val="00051ABF"/>
    <w:rsid w:val="00051B87"/>
    <w:rsid w:val="00052080"/>
    <w:rsid w:val="000525F0"/>
    <w:rsid w:val="000527D1"/>
    <w:rsid w:val="00052C10"/>
    <w:rsid w:val="0005382C"/>
    <w:rsid w:val="00054597"/>
    <w:rsid w:val="000545C9"/>
    <w:rsid w:val="00054F3B"/>
    <w:rsid w:val="00055139"/>
    <w:rsid w:val="00055FDA"/>
    <w:rsid w:val="000561F6"/>
    <w:rsid w:val="0005654B"/>
    <w:rsid w:val="0005658E"/>
    <w:rsid w:val="00056676"/>
    <w:rsid w:val="00056838"/>
    <w:rsid w:val="00056D06"/>
    <w:rsid w:val="00056ECF"/>
    <w:rsid w:val="00057A0D"/>
    <w:rsid w:val="000602E0"/>
    <w:rsid w:val="00060613"/>
    <w:rsid w:val="0006071E"/>
    <w:rsid w:val="00060C49"/>
    <w:rsid w:val="000611AA"/>
    <w:rsid w:val="00061FFA"/>
    <w:rsid w:val="00062459"/>
    <w:rsid w:val="0006283F"/>
    <w:rsid w:val="00062FA4"/>
    <w:rsid w:val="00063360"/>
    <w:rsid w:val="0006354D"/>
    <w:rsid w:val="00063661"/>
    <w:rsid w:val="00063680"/>
    <w:rsid w:val="000636AB"/>
    <w:rsid w:val="00063738"/>
    <w:rsid w:val="000638CB"/>
    <w:rsid w:val="00063E90"/>
    <w:rsid w:val="00063EA7"/>
    <w:rsid w:val="00064D87"/>
    <w:rsid w:val="00065CFF"/>
    <w:rsid w:val="000665C5"/>
    <w:rsid w:val="0006695C"/>
    <w:rsid w:val="0006697D"/>
    <w:rsid w:val="00066A72"/>
    <w:rsid w:val="00066B86"/>
    <w:rsid w:val="00066E98"/>
    <w:rsid w:val="0006766D"/>
    <w:rsid w:val="00067CDC"/>
    <w:rsid w:val="0007052D"/>
    <w:rsid w:val="0007080F"/>
    <w:rsid w:val="00070D2F"/>
    <w:rsid w:val="00071679"/>
    <w:rsid w:val="0007229A"/>
    <w:rsid w:val="00072C5B"/>
    <w:rsid w:val="00073A4F"/>
    <w:rsid w:val="000748F7"/>
    <w:rsid w:val="00074C2B"/>
    <w:rsid w:val="00074CB8"/>
    <w:rsid w:val="000753B2"/>
    <w:rsid w:val="000754A0"/>
    <w:rsid w:val="00075611"/>
    <w:rsid w:val="00075909"/>
    <w:rsid w:val="00075A95"/>
    <w:rsid w:val="00075A99"/>
    <w:rsid w:val="00075B43"/>
    <w:rsid w:val="0007684D"/>
    <w:rsid w:val="0007692A"/>
    <w:rsid w:val="00076DB9"/>
    <w:rsid w:val="00077214"/>
    <w:rsid w:val="00077540"/>
    <w:rsid w:val="0007764E"/>
    <w:rsid w:val="00077F78"/>
    <w:rsid w:val="0008055A"/>
    <w:rsid w:val="00080B2A"/>
    <w:rsid w:val="00080D96"/>
    <w:rsid w:val="00080FD1"/>
    <w:rsid w:val="000812D5"/>
    <w:rsid w:val="00081328"/>
    <w:rsid w:val="000817ED"/>
    <w:rsid w:val="00082023"/>
    <w:rsid w:val="00082AB6"/>
    <w:rsid w:val="000835DC"/>
    <w:rsid w:val="0008398E"/>
    <w:rsid w:val="00083E33"/>
    <w:rsid w:val="00084141"/>
    <w:rsid w:val="0008475E"/>
    <w:rsid w:val="00085492"/>
    <w:rsid w:val="00085679"/>
    <w:rsid w:val="00085BF7"/>
    <w:rsid w:val="00085CCE"/>
    <w:rsid w:val="00085F1D"/>
    <w:rsid w:val="0008610F"/>
    <w:rsid w:val="00086299"/>
    <w:rsid w:val="000865B0"/>
    <w:rsid w:val="00086FB9"/>
    <w:rsid w:val="00087248"/>
    <w:rsid w:val="00087893"/>
    <w:rsid w:val="00087A7B"/>
    <w:rsid w:val="00087CE9"/>
    <w:rsid w:val="00087DAF"/>
    <w:rsid w:val="00090A2C"/>
    <w:rsid w:val="00090E6A"/>
    <w:rsid w:val="00091022"/>
    <w:rsid w:val="00091630"/>
    <w:rsid w:val="000918A9"/>
    <w:rsid w:val="00091AF8"/>
    <w:rsid w:val="000928BF"/>
    <w:rsid w:val="00092B3A"/>
    <w:rsid w:val="00093450"/>
    <w:rsid w:val="000934F0"/>
    <w:rsid w:val="00094221"/>
    <w:rsid w:val="0009422C"/>
    <w:rsid w:val="00095169"/>
    <w:rsid w:val="0009533E"/>
    <w:rsid w:val="000954C8"/>
    <w:rsid w:val="0009620D"/>
    <w:rsid w:val="00096552"/>
    <w:rsid w:val="00096C3C"/>
    <w:rsid w:val="0009767F"/>
    <w:rsid w:val="000A0385"/>
    <w:rsid w:val="000A0A09"/>
    <w:rsid w:val="000A0C77"/>
    <w:rsid w:val="000A0CF8"/>
    <w:rsid w:val="000A0EC1"/>
    <w:rsid w:val="000A1140"/>
    <w:rsid w:val="000A11D8"/>
    <w:rsid w:val="000A1A9F"/>
    <w:rsid w:val="000A1CFE"/>
    <w:rsid w:val="000A2167"/>
    <w:rsid w:val="000A2986"/>
    <w:rsid w:val="000A2AEA"/>
    <w:rsid w:val="000A3AF2"/>
    <w:rsid w:val="000A3E5E"/>
    <w:rsid w:val="000A4055"/>
    <w:rsid w:val="000A48A3"/>
    <w:rsid w:val="000A4F06"/>
    <w:rsid w:val="000A5672"/>
    <w:rsid w:val="000A570D"/>
    <w:rsid w:val="000A6160"/>
    <w:rsid w:val="000A7185"/>
    <w:rsid w:val="000A791D"/>
    <w:rsid w:val="000A7E89"/>
    <w:rsid w:val="000B0125"/>
    <w:rsid w:val="000B01BF"/>
    <w:rsid w:val="000B0473"/>
    <w:rsid w:val="000B06C9"/>
    <w:rsid w:val="000B0B8C"/>
    <w:rsid w:val="000B0D37"/>
    <w:rsid w:val="000B0EE0"/>
    <w:rsid w:val="000B1139"/>
    <w:rsid w:val="000B16A3"/>
    <w:rsid w:val="000B1AC6"/>
    <w:rsid w:val="000B283B"/>
    <w:rsid w:val="000B2A26"/>
    <w:rsid w:val="000B2E32"/>
    <w:rsid w:val="000B401C"/>
    <w:rsid w:val="000B495D"/>
    <w:rsid w:val="000B51C2"/>
    <w:rsid w:val="000B523C"/>
    <w:rsid w:val="000B54A2"/>
    <w:rsid w:val="000B594A"/>
    <w:rsid w:val="000B5B31"/>
    <w:rsid w:val="000B5ED4"/>
    <w:rsid w:val="000B67A3"/>
    <w:rsid w:val="000B752B"/>
    <w:rsid w:val="000B783B"/>
    <w:rsid w:val="000B7B10"/>
    <w:rsid w:val="000C0770"/>
    <w:rsid w:val="000C08CE"/>
    <w:rsid w:val="000C0E0C"/>
    <w:rsid w:val="000C119D"/>
    <w:rsid w:val="000C14FF"/>
    <w:rsid w:val="000C1A10"/>
    <w:rsid w:val="000C1F50"/>
    <w:rsid w:val="000C1FBE"/>
    <w:rsid w:val="000C2323"/>
    <w:rsid w:val="000C261C"/>
    <w:rsid w:val="000C2761"/>
    <w:rsid w:val="000C2A3D"/>
    <w:rsid w:val="000C34EB"/>
    <w:rsid w:val="000C37F6"/>
    <w:rsid w:val="000C3831"/>
    <w:rsid w:val="000C3A22"/>
    <w:rsid w:val="000C3B2E"/>
    <w:rsid w:val="000C4006"/>
    <w:rsid w:val="000C4799"/>
    <w:rsid w:val="000C4BC9"/>
    <w:rsid w:val="000C4DCC"/>
    <w:rsid w:val="000C4E91"/>
    <w:rsid w:val="000C50AC"/>
    <w:rsid w:val="000C5B0F"/>
    <w:rsid w:val="000C5F77"/>
    <w:rsid w:val="000C79DB"/>
    <w:rsid w:val="000D0283"/>
    <w:rsid w:val="000D1211"/>
    <w:rsid w:val="000D12AD"/>
    <w:rsid w:val="000D141E"/>
    <w:rsid w:val="000D1591"/>
    <w:rsid w:val="000D18A1"/>
    <w:rsid w:val="000D18B6"/>
    <w:rsid w:val="000D1918"/>
    <w:rsid w:val="000D2534"/>
    <w:rsid w:val="000D2B06"/>
    <w:rsid w:val="000D361C"/>
    <w:rsid w:val="000D3A26"/>
    <w:rsid w:val="000D4284"/>
    <w:rsid w:val="000D464C"/>
    <w:rsid w:val="000D4771"/>
    <w:rsid w:val="000D4826"/>
    <w:rsid w:val="000D55BB"/>
    <w:rsid w:val="000D5B1C"/>
    <w:rsid w:val="000D5E04"/>
    <w:rsid w:val="000D5E91"/>
    <w:rsid w:val="000D5F0E"/>
    <w:rsid w:val="000D6019"/>
    <w:rsid w:val="000D6813"/>
    <w:rsid w:val="000D7119"/>
    <w:rsid w:val="000D7195"/>
    <w:rsid w:val="000D748B"/>
    <w:rsid w:val="000D7FB7"/>
    <w:rsid w:val="000E0338"/>
    <w:rsid w:val="000E0770"/>
    <w:rsid w:val="000E1A37"/>
    <w:rsid w:val="000E227D"/>
    <w:rsid w:val="000E26AA"/>
    <w:rsid w:val="000E2FAF"/>
    <w:rsid w:val="000E3819"/>
    <w:rsid w:val="000E399E"/>
    <w:rsid w:val="000E3A49"/>
    <w:rsid w:val="000E3B34"/>
    <w:rsid w:val="000E3E4F"/>
    <w:rsid w:val="000E42A7"/>
    <w:rsid w:val="000E458E"/>
    <w:rsid w:val="000E54F7"/>
    <w:rsid w:val="000E5769"/>
    <w:rsid w:val="000E5EAF"/>
    <w:rsid w:val="000E669E"/>
    <w:rsid w:val="000E66F7"/>
    <w:rsid w:val="000E6C4E"/>
    <w:rsid w:val="000E6F9C"/>
    <w:rsid w:val="000E7727"/>
    <w:rsid w:val="000F053D"/>
    <w:rsid w:val="000F0754"/>
    <w:rsid w:val="000F160C"/>
    <w:rsid w:val="000F1D2B"/>
    <w:rsid w:val="000F1EE1"/>
    <w:rsid w:val="000F232C"/>
    <w:rsid w:val="000F298E"/>
    <w:rsid w:val="000F2BED"/>
    <w:rsid w:val="000F2CF9"/>
    <w:rsid w:val="000F2D6E"/>
    <w:rsid w:val="000F2E79"/>
    <w:rsid w:val="000F38A8"/>
    <w:rsid w:val="000F3A99"/>
    <w:rsid w:val="000F499E"/>
    <w:rsid w:val="000F4A2A"/>
    <w:rsid w:val="000F5438"/>
    <w:rsid w:val="000F555C"/>
    <w:rsid w:val="000F58E8"/>
    <w:rsid w:val="000F5E2C"/>
    <w:rsid w:val="000F627B"/>
    <w:rsid w:val="000F65A3"/>
    <w:rsid w:val="000F6C88"/>
    <w:rsid w:val="000F6F9F"/>
    <w:rsid w:val="000F715A"/>
    <w:rsid w:val="000F7605"/>
    <w:rsid w:val="000F7E19"/>
    <w:rsid w:val="00100967"/>
    <w:rsid w:val="00100A23"/>
    <w:rsid w:val="00100B9D"/>
    <w:rsid w:val="00100D76"/>
    <w:rsid w:val="00101FD7"/>
    <w:rsid w:val="00102068"/>
    <w:rsid w:val="00102108"/>
    <w:rsid w:val="00102FBC"/>
    <w:rsid w:val="001035F5"/>
    <w:rsid w:val="00103992"/>
    <w:rsid w:val="001039A1"/>
    <w:rsid w:val="00103A86"/>
    <w:rsid w:val="00103D99"/>
    <w:rsid w:val="00104CA6"/>
    <w:rsid w:val="00104E79"/>
    <w:rsid w:val="001054DC"/>
    <w:rsid w:val="00105B02"/>
    <w:rsid w:val="00105FD6"/>
    <w:rsid w:val="00106802"/>
    <w:rsid w:val="00106CB6"/>
    <w:rsid w:val="00107C07"/>
    <w:rsid w:val="001113A4"/>
    <w:rsid w:val="001113C2"/>
    <w:rsid w:val="00111CB2"/>
    <w:rsid w:val="00111EC8"/>
    <w:rsid w:val="00112BE9"/>
    <w:rsid w:val="00112D86"/>
    <w:rsid w:val="00112F6E"/>
    <w:rsid w:val="0011352C"/>
    <w:rsid w:val="001136B9"/>
    <w:rsid w:val="00113790"/>
    <w:rsid w:val="00113D2F"/>
    <w:rsid w:val="00114396"/>
    <w:rsid w:val="00114C81"/>
    <w:rsid w:val="0011577A"/>
    <w:rsid w:val="00116B56"/>
    <w:rsid w:val="00116E25"/>
    <w:rsid w:val="0011718F"/>
    <w:rsid w:val="001173EB"/>
    <w:rsid w:val="00117CB3"/>
    <w:rsid w:val="00120152"/>
    <w:rsid w:val="0012072C"/>
    <w:rsid w:val="00120A01"/>
    <w:rsid w:val="00120AFA"/>
    <w:rsid w:val="00120BD6"/>
    <w:rsid w:val="00120FDB"/>
    <w:rsid w:val="001220EB"/>
    <w:rsid w:val="001224AA"/>
    <w:rsid w:val="00122CC1"/>
    <w:rsid w:val="00122FAE"/>
    <w:rsid w:val="00123902"/>
    <w:rsid w:val="00123B63"/>
    <w:rsid w:val="00123DFB"/>
    <w:rsid w:val="0012473E"/>
    <w:rsid w:val="0012505A"/>
    <w:rsid w:val="0012518F"/>
    <w:rsid w:val="00125AA8"/>
    <w:rsid w:val="00125CCF"/>
    <w:rsid w:val="00125D77"/>
    <w:rsid w:val="001264B5"/>
    <w:rsid w:val="00126917"/>
    <w:rsid w:val="001269CE"/>
    <w:rsid w:val="00127F33"/>
    <w:rsid w:val="0013020B"/>
    <w:rsid w:val="00130929"/>
    <w:rsid w:val="00130BBE"/>
    <w:rsid w:val="001310E4"/>
    <w:rsid w:val="00131507"/>
    <w:rsid w:val="0013172A"/>
    <w:rsid w:val="00131978"/>
    <w:rsid w:val="001319AC"/>
    <w:rsid w:val="001319EF"/>
    <w:rsid w:val="0013275F"/>
    <w:rsid w:val="00132860"/>
    <w:rsid w:val="00132ABE"/>
    <w:rsid w:val="00133870"/>
    <w:rsid w:val="00133BCD"/>
    <w:rsid w:val="00133E5C"/>
    <w:rsid w:val="00133F21"/>
    <w:rsid w:val="00135853"/>
    <w:rsid w:val="001358CC"/>
    <w:rsid w:val="00135F78"/>
    <w:rsid w:val="00136EB7"/>
    <w:rsid w:val="001376A8"/>
    <w:rsid w:val="00137D7F"/>
    <w:rsid w:val="00137DE1"/>
    <w:rsid w:val="00140327"/>
    <w:rsid w:val="00140511"/>
    <w:rsid w:val="00140901"/>
    <w:rsid w:val="001409A2"/>
    <w:rsid w:val="001419DA"/>
    <w:rsid w:val="00142963"/>
    <w:rsid w:val="00142B1E"/>
    <w:rsid w:val="00143873"/>
    <w:rsid w:val="001446BE"/>
    <w:rsid w:val="00144932"/>
    <w:rsid w:val="001449DE"/>
    <w:rsid w:val="0014515D"/>
    <w:rsid w:val="00145174"/>
    <w:rsid w:val="00145458"/>
    <w:rsid w:val="0014566B"/>
    <w:rsid w:val="001457F5"/>
    <w:rsid w:val="001471CE"/>
    <w:rsid w:val="001473BD"/>
    <w:rsid w:val="00147D13"/>
    <w:rsid w:val="00150F12"/>
    <w:rsid w:val="0015131A"/>
    <w:rsid w:val="00151D5E"/>
    <w:rsid w:val="00151FD0"/>
    <w:rsid w:val="001525DA"/>
    <w:rsid w:val="00152865"/>
    <w:rsid w:val="00152C03"/>
    <w:rsid w:val="00153387"/>
    <w:rsid w:val="00153718"/>
    <w:rsid w:val="00153F5D"/>
    <w:rsid w:val="001546E0"/>
    <w:rsid w:val="00154725"/>
    <w:rsid w:val="00154B76"/>
    <w:rsid w:val="00155987"/>
    <w:rsid w:val="00155A7F"/>
    <w:rsid w:val="00155CA4"/>
    <w:rsid w:val="00155FAA"/>
    <w:rsid w:val="001560A3"/>
    <w:rsid w:val="001561D3"/>
    <w:rsid w:val="00156237"/>
    <w:rsid w:val="0015624A"/>
    <w:rsid w:val="00156952"/>
    <w:rsid w:val="00156E51"/>
    <w:rsid w:val="00157F4F"/>
    <w:rsid w:val="0016009E"/>
    <w:rsid w:val="001605EE"/>
    <w:rsid w:val="0016067E"/>
    <w:rsid w:val="001607B4"/>
    <w:rsid w:val="0016097A"/>
    <w:rsid w:val="00161221"/>
    <w:rsid w:val="00162459"/>
    <w:rsid w:val="00162533"/>
    <w:rsid w:val="00162535"/>
    <w:rsid w:val="001629E3"/>
    <w:rsid w:val="00162AAC"/>
    <w:rsid w:val="001631B7"/>
    <w:rsid w:val="001639D1"/>
    <w:rsid w:val="001640AE"/>
    <w:rsid w:val="001643B0"/>
    <w:rsid w:val="00164CB5"/>
    <w:rsid w:val="00164CFF"/>
    <w:rsid w:val="0016516C"/>
    <w:rsid w:val="001664D8"/>
    <w:rsid w:val="001666A4"/>
    <w:rsid w:val="00170A9A"/>
    <w:rsid w:val="001710F3"/>
    <w:rsid w:val="0017134E"/>
    <w:rsid w:val="00171921"/>
    <w:rsid w:val="00171B72"/>
    <w:rsid w:val="001723CA"/>
    <w:rsid w:val="00172947"/>
    <w:rsid w:val="00172DC9"/>
    <w:rsid w:val="00172FFC"/>
    <w:rsid w:val="001730FB"/>
    <w:rsid w:val="00174DAE"/>
    <w:rsid w:val="0017510C"/>
    <w:rsid w:val="00175298"/>
    <w:rsid w:val="001765E7"/>
    <w:rsid w:val="001769D6"/>
    <w:rsid w:val="00177B64"/>
    <w:rsid w:val="00177D5F"/>
    <w:rsid w:val="00180549"/>
    <w:rsid w:val="00180685"/>
    <w:rsid w:val="0018169B"/>
    <w:rsid w:val="001816CA"/>
    <w:rsid w:val="00181767"/>
    <w:rsid w:val="00182023"/>
    <w:rsid w:val="00182603"/>
    <w:rsid w:val="00184B59"/>
    <w:rsid w:val="00185409"/>
    <w:rsid w:val="001854F6"/>
    <w:rsid w:val="00185E1D"/>
    <w:rsid w:val="00186184"/>
    <w:rsid w:val="001864FB"/>
    <w:rsid w:val="001868C8"/>
    <w:rsid w:val="00187254"/>
    <w:rsid w:val="0018753E"/>
    <w:rsid w:val="001902FF"/>
    <w:rsid w:val="001912AC"/>
    <w:rsid w:val="001912D1"/>
    <w:rsid w:val="00191799"/>
    <w:rsid w:val="00192E93"/>
    <w:rsid w:val="0019306F"/>
    <w:rsid w:val="0019391F"/>
    <w:rsid w:val="00194573"/>
    <w:rsid w:val="001949EF"/>
    <w:rsid w:val="00194B89"/>
    <w:rsid w:val="00196CA0"/>
    <w:rsid w:val="001970DD"/>
    <w:rsid w:val="00197457"/>
    <w:rsid w:val="001977DD"/>
    <w:rsid w:val="00197BD7"/>
    <w:rsid w:val="00197C61"/>
    <w:rsid w:val="001A02E1"/>
    <w:rsid w:val="001A04A6"/>
    <w:rsid w:val="001A093B"/>
    <w:rsid w:val="001A0D64"/>
    <w:rsid w:val="001A1292"/>
    <w:rsid w:val="001A12A8"/>
    <w:rsid w:val="001A15B5"/>
    <w:rsid w:val="001A1BAD"/>
    <w:rsid w:val="001A22F3"/>
    <w:rsid w:val="001A2695"/>
    <w:rsid w:val="001A2FF0"/>
    <w:rsid w:val="001A37DC"/>
    <w:rsid w:val="001A3D91"/>
    <w:rsid w:val="001A3F6A"/>
    <w:rsid w:val="001A3FC6"/>
    <w:rsid w:val="001A43B7"/>
    <w:rsid w:val="001A4444"/>
    <w:rsid w:val="001A5D3A"/>
    <w:rsid w:val="001A5E75"/>
    <w:rsid w:val="001A6771"/>
    <w:rsid w:val="001A6B0C"/>
    <w:rsid w:val="001A6B8E"/>
    <w:rsid w:val="001A6C47"/>
    <w:rsid w:val="001A6D1C"/>
    <w:rsid w:val="001A6E2E"/>
    <w:rsid w:val="001A6EB0"/>
    <w:rsid w:val="001A79C3"/>
    <w:rsid w:val="001A7CDB"/>
    <w:rsid w:val="001A7D3B"/>
    <w:rsid w:val="001A7D68"/>
    <w:rsid w:val="001A7EE4"/>
    <w:rsid w:val="001A7FD0"/>
    <w:rsid w:val="001B013F"/>
    <w:rsid w:val="001B02AE"/>
    <w:rsid w:val="001B05D9"/>
    <w:rsid w:val="001B08BC"/>
    <w:rsid w:val="001B0B60"/>
    <w:rsid w:val="001B12D2"/>
    <w:rsid w:val="001B159D"/>
    <w:rsid w:val="001B1A21"/>
    <w:rsid w:val="001B21B4"/>
    <w:rsid w:val="001B33CF"/>
    <w:rsid w:val="001B368F"/>
    <w:rsid w:val="001B37AB"/>
    <w:rsid w:val="001B43CD"/>
    <w:rsid w:val="001B46A1"/>
    <w:rsid w:val="001B4A03"/>
    <w:rsid w:val="001B4B34"/>
    <w:rsid w:val="001B4E48"/>
    <w:rsid w:val="001B5388"/>
    <w:rsid w:val="001B545E"/>
    <w:rsid w:val="001B58C2"/>
    <w:rsid w:val="001B59E3"/>
    <w:rsid w:val="001B60CC"/>
    <w:rsid w:val="001B6708"/>
    <w:rsid w:val="001B6833"/>
    <w:rsid w:val="001B6993"/>
    <w:rsid w:val="001B707A"/>
    <w:rsid w:val="001B70CB"/>
    <w:rsid w:val="001B750D"/>
    <w:rsid w:val="001B75B0"/>
    <w:rsid w:val="001B7F47"/>
    <w:rsid w:val="001B7F6F"/>
    <w:rsid w:val="001C0142"/>
    <w:rsid w:val="001C0291"/>
    <w:rsid w:val="001C0E3F"/>
    <w:rsid w:val="001C0E76"/>
    <w:rsid w:val="001C0EDD"/>
    <w:rsid w:val="001C135C"/>
    <w:rsid w:val="001C215E"/>
    <w:rsid w:val="001C272C"/>
    <w:rsid w:val="001C27B7"/>
    <w:rsid w:val="001C28C7"/>
    <w:rsid w:val="001C31F4"/>
    <w:rsid w:val="001C3EBE"/>
    <w:rsid w:val="001C41DC"/>
    <w:rsid w:val="001C5252"/>
    <w:rsid w:val="001C5619"/>
    <w:rsid w:val="001C5956"/>
    <w:rsid w:val="001C5CE2"/>
    <w:rsid w:val="001C6069"/>
    <w:rsid w:val="001C6458"/>
    <w:rsid w:val="001C64BF"/>
    <w:rsid w:val="001C6623"/>
    <w:rsid w:val="001C6CB0"/>
    <w:rsid w:val="001C7279"/>
    <w:rsid w:val="001C7412"/>
    <w:rsid w:val="001D002B"/>
    <w:rsid w:val="001D07BA"/>
    <w:rsid w:val="001D0E1E"/>
    <w:rsid w:val="001D10B2"/>
    <w:rsid w:val="001D139D"/>
    <w:rsid w:val="001D2056"/>
    <w:rsid w:val="001D20F1"/>
    <w:rsid w:val="001D2B3C"/>
    <w:rsid w:val="001D2CD5"/>
    <w:rsid w:val="001D2EF2"/>
    <w:rsid w:val="001D3348"/>
    <w:rsid w:val="001D35B5"/>
    <w:rsid w:val="001D3698"/>
    <w:rsid w:val="001D3B4B"/>
    <w:rsid w:val="001D3B7D"/>
    <w:rsid w:val="001D40DF"/>
    <w:rsid w:val="001D425D"/>
    <w:rsid w:val="001D4B24"/>
    <w:rsid w:val="001D6083"/>
    <w:rsid w:val="001D6A82"/>
    <w:rsid w:val="001D6D33"/>
    <w:rsid w:val="001D6EE6"/>
    <w:rsid w:val="001D7048"/>
    <w:rsid w:val="001D788E"/>
    <w:rsid w:val="001D7BC4"/>
    <w:rsid w:val="001D7FC8"/>
    <w:rsid w:val="001E0119"/>
    <w:rsid w:val="001E020D"/>
    <w:rsid w:val="001E0397"/>
    <w:rsid w:val="001E0810"/>
    <w:rsid w:val="001E09A5"/>
    <w:rsid w:val="001E0BDD"/>
    <w:rsid w:val="001E0E2A"/>
    <w:rsid w:val="001E0F30"/>
    <w:rsid w:val="001E130A"/>
    <w:rsid w:val="001E1494"/>
    <w:rsid w:val="001E1593"/>
    <w:rsid w:val="001E2340"/>
    <w:rsid w:val="001E29B5"/>
    <w:rsid w:val="001E35C3"/>
    <w:rsid w:val="001E375A"/>
    <w:rsid w:val="001E3934"/>
    <w:rsid w:val="001E3A10"/>
    <w:rsid w:val="001E3D0A"/>
    <w:rsid w:val="001E3D1D"/>
    <w:rsid w:val="001E4D11"/>
    <w:rsid w:val="001E5575"/>
    <w:rsid w:val="001E5F43"/>
    <w:rsid w:val="001E72D0"/>
    <w:rsid w:val="001E7895"/>
    <w:rsid w:val="001F0970"/>
    <w:rsid w:val="001F0C99"/>
    <w:rsid w:val="001F14CD"/>
    <w:rsid w:val="001F22C9"/>
    <w:rsid w:val="001F2766"/>
    <w:rsid w:val="001F2BF1"/>
    <w:rsid w:val="001F2C5F"/>
    <w:rsid w:val="001F37C9"/>
    <w:rsid w:val="001F3CA1"/>
    <w:rsid w:val="001F3FE6"/>
    <w:rsid w:val="001F4E85"/>
    <w:rsid w:val="001F5C4B"/>
    <w:rsid w:val="001F5CF6"/>
    <w:rsid w:val="001F6157"/>
    <w:rsid w:val="001F6342"/>
    <w:rsid w:val="001F6696"/>
    <w:rsid w:val="001F6C64"/>
    <w:rsid w:val="0020033F"/>
    <w:rsid w:val="002008D3"/>
    <w:rsid w:val="0020123F"/>
    <w:rsid w:val="00202748"/>
    <w:rsid w:val="00202AFB"/>
    <w:rsid w:val="00202DAA"/>
    <w:rsid w:val="00203750"/>
    <w:rsid w:val="002038E3"/>
    <w:rsid w:val="00203B8E"/>
    <w:rsid w:val="00203C39"/>
    <w:rsid w:val="002050E7"/>
    <w:rsid w:val="00205B0E"/>
    <w:rsid w:val="00205C7C"/>
    <w:rsid w:val="00206217"/>
    <w:rsid w:val="00206404"/>
    <w:rsid w:val="002064A6"/>
    <w:rsid w:val="00206733"/>
    <w:rsid w:val="00206A14"/>
    <w:rsid w:val="00206AB0"/>
    <w:rsid w:val="00206D9D"/>
    <w:rsid w:val="00207B55"/>
    <w:rsid w:val="00207E15"/>
    <w:rsid w:val="002104D1"/>
    <w:rsid w:val="00211095"/>
    <w:rsid w:val="00211485"/>
    <w:rsid w:val="002118B1"/>
    <w:rsid w:val="00212004"/>
    <w:rsid w:val="0021243A"/>
    <w:rsid w:val="002129E3"/>
    <w:rsid w:val="00212E49"/>
    <w:rsid w:val="00212E8D"/>
    <w:rsid w:val="00212EBE"/>
    <w:rsid w:val="00212F32"/>
    <w:rsid w:val="0021301A"/>
    <w:rsid w:val="002132AC"/>
    <w:rsid w:val="00213411"/>
    <w:rsid w:val="0021343C"/>
    <w:rsid w:val="00213C3C"/>
    <w:rsid w:val="002144C0"/>
    <w:rsid w:val="002145D4"/>
    <w:rsid w:val="00215567"/>
    <w:rsid w:val="00215578"/>
    <w:rsid w:val="00215C9D"/>
    <w:rsid w:val="00215C9E"/>
    <w:rsid w:val="002160BB"/>
    <w:rsid w:val="00216105"/>
    <w:rsid w:val="002164E3"/>
    <w:rsid w:val="0021670E"/>
    <w:rsid w:val="0021779E"/>
    <w:rsid w:val="00217995"/>
    <w:rsid w:val="0022091F"/>
    <w:rsid w:val="00220C1E"/>
    <w:rsid w:val="0022104D"/>
    <w:rsid w:val="00221790"/>
    <w:rsid w:val="002219B3"/>
    <w:rsid w:val="00221E29"/>
    <w:rsid w:val="002226E2"/>
    <w:rsid w:val="00222DCE"/>
    <w:rsid w:val="00222EFB"/>
    <w:rsid w:val="0022327D"/>
    <w:rsid w:val="002233D6"/>
    <w:rsid w:val="0022473D"/>
    <w:rsid w:val="00224C27"/>
    <w:rsid w:val="00224C2A"/>
    <w:rsid w:val="00225887"/>
    <w:rsid w:val="00225D87"/>
    <w:rsid w:val="00225EF1"/>
    <w:rsid w:val="0022659D"/>
    <w:rsid w:val="002266D3"/>
    <w:rsid w:val="00227D9D"/>
    <w:rsid w:val="0023015E"/>
    <w:rsid w:val="00230242"/>
    <w:rsid w:val="002304B8"/>
    <w:rsid w:val="0023094A"/>
    <w:rsid w:val="00231CB8"/>
    <w:rsid w:val="00231F87"/>
    <w:rsid w:val="00232ABB"/>
    <w:rsid w:val="00232B29"/>
    <w:rsid w:val="00233152"/>
    <w:rsid w:val="00233537"/>
    <w:rsid w:val="00233F5C"/>
    <w:rsid w:val="002342B2"/>
    <w:rsid w:val="002342DC"/>
    <w:rsid w:val="002345ED"/>
    <w:rsid w:val="00234646"/>
    <w:rsid w:val="0023489B"/>
    <w:rsid w:val="002348B6"/>
    <w:rsid w:val="00234C8F"/>
    <w:rsid w:val="00234E29"/>
    <w:rsid w:val="00235E42"/>
    <w:rsid w:val="0023616F"/>
    <w:rsid w:val="002366FA"/>
    <w:rsid w:val="002368C3"/>
    <w:rsid w:val="00236A0A"/>
    <w:rsid w:val="00236BAA"/>
    <w:rsid w:val="0023716D"/>
    <w:rsid w:val="0023759D"/>
    <w:rsid w:val="00237685"/>
    <w:rsid w:val="00237D77"/>
    <w:rsid w:val="002406E3"/>
    <w:rsid w:val="00240D2A"/>
    <w:rsid w:val="00240ED7"/>
    <w:rsid w:val="0024156A"/>
    <w:rsid w:val="00242124"/>
    <w:rsid w:val="0024257F"/>
    <w:rsid w:val="00242830"/>
    <w:rsid w:val="00242B37"/>
    <w:rsid w:val="00242D1A"/>
    <w:rsid w:val="00243AD7"/>
    <w:rsid w:val="00244019"/>
    <w:rsid w:val="00244A7F"/>
    <w:rsid w:val="00244CEE"/>
    <w:rsid w:val="00244E0A"/>
    <w:rsid w:val="0024589A"/>
    <w:rsid w:val="002458B5"/>
    <w:rsid w:val="00245A03"/>
    <w:rsid w:val="00245A84"/>
    <w:rsid w:val="00245D79"/>
    <w:rsid w:val="00246329"/>
    <w:rsid w:val="00247052"/>
    <w:rsid w:val="002478E9"/>
    <w:rsid w:val="00247C16"/>
    <w:rsid w:val="00247E2A"/>
    <w:rsid w:val="00250143"/>
    <w:rsid w:val="002501AF"/>
    <w:rsid w:val="002503E4"/>
    <w:rsid w:val="00250478"/>
    <w:rsid w:val="00250884"/>
    <w:rsid w:val="00251321"/>
    <w:rsid w:val="002515D1"/>
    <w:rsid w:val="00251694"/>
    <w:rsid w:val="0025175B"/>
    <w:rsid w:val="00251A02"/>
    <w:rsid w:val="00251BCC"/>
    <w:rsid w:val="00251D0D"/>
    <w:rsid w:val="00251D5F"/>
    <w:rsid w:val="002521E7"/>
    <w:rsid w:val="002526F2"/>
    <w:rsid w:val="00252EE4"/>
    <w:rsid w:val="00253494"/>
    <w:rsid w:val="00253789"/>
    <w:rsid w:val="00253952"/>
    <w:rsid w:val="002548CF"/>
    <w:rsid w:val="00254908"/>
    <w:rsid w:val="00254BAB"/>
    <w:rsid w:val="002556E1"/>
    <w:rsid w:val="002557E1"/>
    <w:rsid w:val="00255D6A"/>
    <w:rsid w:val="0025632A"/>
    <w:rsid w:val="0025642A"/>
    <w:rsid w:val="00257283"/>
    <w:rsid w:val="002573B5"/>
    <w:rsid w:val="002606C3"/>
    <w:rsid w:val="00260757"/>
    <w:rsid w:val="00260A6F"/>
    <w:rsid w:val="00260D78"/>
    <w:rsid w:val="00260D7F"/>
    <w:rsid w:val="00261A0A"/>
    <w:rsid w:val="00261CE1"/>
    <w:rsid w:val="0026216D"/>
    <w:rsid w:val="00262989"/>
    <w:rsid w:val="0026302D"/>
    <w:rsid w:val="0026303F"/>
    <w:rsid w:val="00263712"/>
    <w:rsid w:val="00263F95"/>
    <w:rsid w:val="0026454A"/>
    <w:rsid w:val="002649FD"/>
    <w:rsid w:val="00264E77"/>
    <w:rsid w:val="00265158"/>
    <w:rsid w:val="002654A2"/>
    <w:rsid w:val="0026556A"/>
    <w:rsid w:val="002659F6"/>
    <w:rsid w:val="00265DEE"/>
    <w:rsid w:val="00266C92"/>
    <w:rsid w:val="00267072"/>
    <w:rsid w:val="00267133"/>
    <w:rsid w:val="00267261"/>
    <w:rsid w:val="002674BC"/>
    <w:rsid w:val="00267BC5"/>
    <w:rsid w:val="00267C8B"/>
    <w:rsid w:val="0027037E"/>
    <w:rsid w:val="002704D6"/>
    <w:rsid w:val="00270977"/>
    <w:rsid w:val="00270B17"/>
    <w:rsid w:val="00270B2C"/>
    <w:rsid w:val="00270C53"/>
    <w:rsid w:val="00270DDA"/>
    <w:rsid w:val="00270F03"/>
    <w:rsid w:val="0027184C"/>
    <w:rsid w:val="002718F9"/>
    <w:rsid w:val="002719DD"/>
    <w:rsid w:val="00271BB5"/>
    <w:rsid w:val="00271DC5"/>
    <w:rsid w:val="002721D9"/>
    <w:rsid w:val="00272560"/>
    <w:rsid w:val="00272813"/>
    <w:rsid w:val="00272832"/>
    <w:rsid w:val="00272A22"/>
    <w:rsid w:val="00272D35"/>
    <w:rsid w:val="0027326B"/>
    <w:rsid w:val="00273937"/>
    <w:rsid w:val="00273E8E"/>
    <w:rsid w:val="002749C7"/>
    <w:rsid w:val="00274BC6"/>
    <w:rsid w:val="00274D35"/>
    <w:rsid w:val="002751B5"/>
    <w:rsid w:val="00275761"/>
    <w:rsid w:val="00275AF3"/>
    <w:rsid w:val="00275C2B"/>
    <w:rsid w:val="00275E4B"/>
    <w:rsid w:val="00276372"/>
    <w:rsid w:val="00276628"/>
    <w:rsid w:val="0027688F"/>
    <w:rsid w:val="00277184"/>
    <w:rsid w:val="00277AC1"/>
    <w:rsid w:val="00280613"/>
    <w:rsid w:val="00280CF1"/>
    <w:rsid w:val="002829A6"/>
    <w:rsid w:val="00282BF9"/>
    <w:rsid w:val="00282CDB"/>
    <w:rsid w:val="00282E7E"/>
    <w:rsid w:val="002830A4"/>
    <w:rsid w:val="002834C0"/>
    <w:rsid w:val="00283C57"/>
    <w:rsid w:val="00284709"/>
    <w:rsid w:val="00284B53"/>
    <w:rsid w:val="00285C29"/>
    <w:rsid w:val="00285D8C"/>
    <w:rsid w:val="00286477"/>
    <w:rsid w:val="002868A4"/>
    <w:rsid w:val="00286966"/>
    <w:rsid w:val="00286990"/>
    <w:rsid w:val="002900E3"/>
    <w:rsid w:val="002901B6"/>
    <w:rsid w:val="00290321"/>
    <w:rsid w:val="0029047F"/>
    <w:rsid w:val="0029068C"/>
    <w:rsid w:val="002906A8"/>
    <w:rsid w:val="00290A81"/>
    <w:rsid w:val="00290FDA"/>
    <w:rsid w:val="002910E3"/>
    <w:rsid w:val="002910E8"/>
    <w:rsid w:val="00291645"/>
    <w:rsid w:val="0029188D"/>
    <w:rsid w:val="00291A9D"/>
    <w:rsid w:val="00291AE0"/>
    <w:rsid w:val="00291EDF"/>
    <w:rsid w:val="00292600"/>
    <w:rsid w:val="00292A04"/>
    <w:rsid w:val="00293265"/>
    <w:rsid w:val="0029339D"/>
    <w:rsid w:val="002933E9"/>
    <w:rsid w:val="00293831"/>
    <w:rsid w:val="00293843"/>
    <w:rsid w:val="00293DDE"/>
    <w:rsid w:val="00293EDD"/>
    <w:rsid w:val="0029408F"/>
    <w:rsid w:val="0029459C"/>
    <w:rsid w:val="002949B6"/>
    <w:rsid w:val="00294D01"/>
    <w:rsid w:val="00294DF1"/>
    <w:rsid w:val="00295411"/>
    <w:rsid w:val="00295423"/>
    <w:rsid w:val="002957B1"/>
    <w:rsid w:val="002960AD"/>
    <w:rsid w:val="00296FD5"/>
    <w:rsid w:val="002978D3"/>
    <w:rsid w:val="002979DC"/>
    <w:rsid w:val="002A035C"/>
    <w:rsid w:val="002A091C"/>
    <w:rsid w:val="002A0A1A"/>
    <w:rsid w:val="002A0B13"/>
    <w:rsid w:val="002A0F8C"/>
    <w:rsid w:val="002A14C6"/>
    <w:rsid w:val="002A1CB2"/>
    <w:rsid w:val="002A1EF0"/>
    <w:rsid w:val="002A1F5B"/>
    <w:rsid w:val="002A292F"/>
    <w:rsid w:val="002A2E86"/>
    <w:rsid w:val="002A4259"/>
    <w:rsid w:val="002A4562"/>
    <w:rsid w:val="002A5684"/>
    <w:rsid w:val="002A5CAE"/>
    <w:rsid w:val="002A5EBD"/>
    <w:rsid w:val="002A5FC6"/>
    <w:rsid w:val="002A616F"/>
    <w:rsid w:val="002A6C5C"/>
    <w:rsid w:val="002A7932"/>
    <w:rsid w:val="002A7A7D"/>
    <w:rsid w:val="002A7A82"/>
    <w:rsid w:val="002A7D67"/>
    <w:rsid w:val="002B0481"/>
    <w:rsid w:val="002B0575"/>
    <w:rsid w:val="002B0A4F"/>
    <w:rsid w:val="002B0E91"/>
    <w:rsid w:val="002B0F50"/>
    <w:rsid w:val="002B0F9B"/>
    <w:rsid w:val="002B1222"/>
    <w:rsid w:val="002B12D8"/>
    <w:rsid w:val="002B1805"/>
    <w:rsid w:val="002B2172"/>
    <w:rsid w:val="002B24CD"/>
    <w:rsid w:val="002B26B4"/>
    <w:rsid w:val="002B293D"/>
    <w:rsid w:val="002B2B32"/>
    <w:rsid w:val="002B2D35"/>
    <w:rsid w:val="002B2F0E"/>
    <w:rsid w:val="002B3641"/>
    <w:rsid w:val="002B3939"/>
    <w:rsid w:val="002B3A49"/>
    <w:rsid w:val="002B427F"/>
    <w:rsid w:val="002B4683"/>
    <w:rsid w:val="002B4C49"/>
    <w:rsid w:val="002B52FC"/>
    <w:rsid w:val="002B59A6"/>
    <w:rsid w:val="002B6EB4"/>
    <w:rsid w:val="002B6ECD"/>
    <w:rsid w:val="002B7196"/>
    <w:rsid w:val="002B75BE"/>
    <w:rsid w:val="002B77CE"/>
    <w:rsid w:val="002B7925"/>
    <w:rsid w:val="002B7B97"/>
    <w:rsid w:val="002C0554"/>
    <w:rsid w:val="002C0E03"/>
    <w:rsid w:val="002C1059"/>
    <w:rsid w:val="002C1670"/>
    <w:rsid w:val="002C23D4"/>
    <w:rsid w:val="002C2A44"/>
    <w:rsid w:val="002C3029"/>
    <w:rsid w:val="002C327E"/>
    <w:rsid w:val="002C328F"/>
    <w:rsid w:val="002C371B"/>
    <w:rsid w:val="002C4B42"/>
    <w:rsid w:val="002C4CD8"/>
    <w:rsid w:val="002C4CE8"/>
    <w:rsid w:val="002C5D78"/>
    <w:rsid w:val="002C66EB"/>
    <w:rsid w:val="002C66F3"/>
    <w:rsid w:val="002C720B"/>
    <w:rsid w:val="002C72CD"/>
    <w:rsid w:val="002C744D"/>
    <w:rsid w:val="002C7A6C"/>
    <w:rsid w:val="002D011A"/>
    <w:rsid w:val="002D0F83"/>
    <w:rsid w:val="002D1005"/>
    <w:rsid w:val="002D1015"/>
    <w:rsid w:val="002D14E2"/>
    <w:rsid w:val="002D18E3"/>
    <w:rsid w:val="002D1A52"/>
    <w:rsid w:val="002D1D01"/>
    <w:rsid w:val="002D25D6"/>
    <w:rsid w:val="002D2B4E"/>
    <w:rsid w:val="002D3358"/>
    <w:rsid w:val="002D3931"/>
    <w:rsid w:val="002D3F52"/>
    <w:rsid w:val="002D47BB"/>
    <w:rsid w:val="002D57CE"/>
    <w:rsid w:val="002D5E21"/>
    <w:rsid w:val="002D5FD2"/>
    <w:rsid w:val="002D6DD6"/>
    <w:rsid w:val="002D6EFC"/>
    <w:rsid w:val="002D7492"/>
    <w:rsid w:val="002D7B97"/>
    <w:rsid w:val="002D7D73"/>
    <w:rsid w:val="002E07D3"/>
    <w:rsid w:val="002E097A"/>
    <w:rsid w:val="002E0E66"/>
    <w:rsid w:val="002E1241"/>
    <w:rsid w:val="002E318D"/>
    <w:rsid w:val="002E342A"/>
    <w:rsid w:val="002E36B6"/>
    <w:rsid w:val="002E39D6"/>
    <w:rsid w:val="002E3A8B"/>
    <w:rsid w:val="002E3A96"/>
    <w:rsid w:val="002E4084"/>
    <w:rsid w:val="002E4628"/>
    <w:rsid w:val="002E4692"/>
    <w:rsid w:val="002E4E4E"/>
    <w:rsid w:val="002E4FDD"/>
    <w:rsid w:val="002E5AE6"/>
    <w:rsid w:val="002E6207"/>
    <w:rsid w:val="002E65AE"/>
    <w:rsid w:val="002E6BD7"/>
    <w:rsid w:val="002E76F1"/>
    <w:rsid w:val="002E7ABC"/>
    <w:rsid w:val="002E7E91"/>
    <w:rsid w:val="002F0111"/>
    <w:rsid w:val="002F0351"/>
    <w:rsid w:val="002F068F"/>
    <w:rsid w:val="002F13BA"/>
    <w:rsid w:val="002F14A2"/>
    <w:rsid w:val="002F1C10"/>
    <w:rsid w:val="002F1DD6"/>
    <w:rsid w:val="002F1FD5"/>
    <w:rsid w:val="002F23E8"/>
    <w:rsid w:val="002F2552"/>
    <w:rsid w:val="002F2857"/>
    <w:rsid w:val="002F28EB"/>
    <w:rsid w:val="002F2A9F"/>
    <w:rsid w:val="002F306E"/>
    <w:rsid w:val="002F313D"/>
    <w:rsid w:val="002F3D90"/>
    <w:rsid w:val="002F41AD"/>
    <w:rsid w:val="002F44D9"/>
    <w:rsid w:val="002F4933"/>
    <w:rsid w:val="002F4BD6"/>
    <w:rsid w:val="002F4BEB"/>
    <w:rsid w:val="002F4FBA"/>
    <w:rsid w:val="002F5307"/>
    <w:rsid w:val="002F5316"/>
    <w:rsid w:val="002F62AE"/>
    <w:rsid w:val="002F64F4"/>
    <w:rsid w:val="002F684E"/>
    <w:rsid w:val="002F735A"/>
    <w:rsid w:val="002F778D"/>
    <w:rsid w:val="0030070A"/>
    <w:rsid w:val="00300741"/>
    <w:rsid w:val="00300C78"/>
    <w:rsid w:val="00300CA5"/>
    <w:rsid w:val="0030228C"/>
    <w:rsid w:val="00303966"/>
    <w:rsid w:val="00303A0A"/>
    <w:rsid w:val="00303CC2"/>
    <w:rsid w:val="003045F0"/>
    <w:rsid w:val="0030460A"/>
    <w:rsid w:val="00304908"/>
    <w:rsid w:val="003049B1"/>
    <w:rsid w:val="003054BB"/>
    <w:rsid w:val="00305730"/>
    <w:rsid w:val="00305B64"/>
    <w:rsid w:val="003061D3"/>
    <w:rsid w:val="003065FA"/>
    <w:rsid w:val="00306631"/>
    <w:rsid w:val="00307299"/>
    <w:rsid w:val="003078FE"/>
    <w:rsid w:val="00307D43"/>
    <w:rsid w:val="00310288"/>
    <w:rsid w:val="0031081A"/>
    <w:rsid w:val="00310AA5"/>
    <w:rsid w:val="00310B4F"/>
    <w:rsid w:val="00310C3F"/>
    <w:rsid w:val="00310D3B"/>
    <w:rsid w:val="00310F87"/>
    <w:rsid w:val="003110D2"/>
    <w:rsid w:val="00311393"/>
    <w:rsid w:val="00311865"/>
    <w:rsid w:val="00312383"/>
    <w:rsid w:val="0031243D"/>
    <w:rsid w:val="00312538"/>
    <w:rsid w:val="00312E17"/>
    <w:rsid w:val="00313042"/>
    <w:rsid w:val="00313793"/>
    <w:rsid w:val="00313947"/>
    <w:rsid w:val="00313AAA"/>
    <w:rsid w:val="00314228"/>
    <w:rsid w:val="00314695"/>
    <w:rsid w:val="00315046"/>
    <w:rsid w:val="00315873"/>
    <w:rsid w:val="00315D50"/>
    <w:rsid w:val="00315DCA"/>
    <w:rsid w:val="00316178"/>
    <w:rsid w:val="00316676"/>
    <w:rsid w:val="00316A24"/>
    <w:rsid w:val="00317EA2"/>
    <w:rsid w:val="00321169"/>
    <w:rsid w:val="00321348"/>
    <w:rsid w:val="00321D60"/>
    <w:rsid w:val="00322162"/>
    <w:rsid w:val="0032288A"/>
    <w:rsid w:val="0032365A"/>
    <w:rsid w:val="00323C2B"/>
    <w:rsid w:val="00323DAE"/>
    <w:rsid w:val="003248E0"/>
    <w:rsid w:val="00324992"/>
    <w:rsid w:val="00324A4C"/>
    <w:rsid w:val="00324F92"/>
    <w:rsid w:val="003260E8"/>
    <w:rsid w:val="003262AE"/>
    <w:rsid w:val="0032714E"/>
    <w:rsid w:val="0032761B"/>
    <w:rsid w:val="00327710"/>
    <w:rsid w:val="00327841"/>
    <w:rsid w:val="00327B51"/>
    <w:rsid w:val="003301F7"/>
    <w:rsid w:val="00330682"/>
    <w:rsid w:val="00330D4D"/>
    <w:rsid w:val="00330E30"/>
    <w:rsid w:val="00330FD1"/>
    <w:rsid w:val="00331F3F"/>
    <w:rsid w:val="00332695"/>
    <w:rsid w:val="003329BC"/>
    <w:rsid w:val="00332DA6"/>
    <w:rsid w:val="00333AA2"/>
    <w:rsid w:val="00333C52"/>
    <w:rsid w:val="00333DD6"/>
    <w:rsid w:val="00334717"/>
    <w:rsid w:val="00334E25"/>
    <w:rsid w:val="00334F48"/>
    <w:rsid w:val="00334F5A"/>
    <w:rsid w:val="003354D9"/>
    <w:rsid w:val="0033566B"/>
    <w:rsid w:val="00336066"/>
    <w:rsid w:val="003368AF"/>
    <w:rsid w:val="00336D73"/>
    <w:rsid w:val="00336EF5"/>
    <w:rsid w:val="0033799F"/>
    <w:rsid w:val="00340003"/>
    <w:rsid w:val="00340075"/>
    <w:rsid w:val="00340F68"/>
    <w:rsid w:val="0034101D"/>
    <w:rsid w:val="0034289C"/>
    <w:rsid w:val="003429FD"/>
    <w:rsid w:val="00342D43"/>
    <w:rsid w:val="00342DAE"/>
    <w:rsid w:val="00342E00"/>
    <w:rsid w:val="0034327A"/>
    <w:rsid w:val="003436F0"/>
    <w:rsid w:val="00343816"/>
    <w:rsid w:val="00343C45"/>
    <w:rsid w:val="003448F2"/>
    <w:rsid w:val="00344E77"/>
    <w:rsid w:val="0034528F"/>
    <w:rsid w:val="003458E3"/>
    <w:rsid w:val="00345970"/>
    <w:rsid w:val="00346659"/>
    <w:rsid w:val="00346838"/>
    <w:rsid w:val="00346F42"/>
    <w:rsid w:val="00347416"/>
    <w:rsid w:val="003474AC"/>
    <w:rsid w:val="00347706"/>
    <w:rsid w:val="0035022E"/>
    <w:rsid w:val="00350655"/>
    <w:rsid w:val="003507B7"/>
    <w:rsid w:val="0035121E"/>
    <w:rsid w:val="003517E3"/>
    <w:rsid w:val="0035183D"/>
    <w:rsid w:val="003518CB"/>
    <w:rsid w:val="00351DA0"/>
    <w:rsid w:val="00351E4B"/>
    <w:rsid w:val="003520C4"/>
    <w:rsid w:val="00352569"/>
    <w:rsid w:val="003526C5"/>
    <w:rsid w:val="0035381C"/>
    <w:rsid w:val="00353861"/>
    <w:rsid w:val="00353B45"/>
    <w:rsid w:val="00353CC1"/>
    <w:rsid w:val="00354125"/>
    <w:rsid w:val="0035418E"/>
    <w:rsid w:val="003549AA"/>
    <w:rsid w:val="00354B3A"/>
    <w:rsid w:val="00354ECB"/>
    <w:rsid w:val="003557F7"/>
    <w:rsid w:val="00355820"/>
    <w:rsid w:val="00355B28"/>
    <w:rsid w:val="003566A7"/>
    <w:rsid w:val="00356843"/>
    <w:rsid w:val="00357390"/>
    <w:rsid w:val="003603C7"/>
    <w:rsid w:val="0036055B"/>
    <w:rsid w:val="0036080D"/>
    <w:rsid w:val="00360E68"/>
    <w:rsid w:val="00361358"/>
    <w:rsid w:val="003616C8"/>
    <w:rsid w:val="00361F4C"/>
    <w:rsid w:val="00362602"/>
    <w:rsid w:val="00362E41"/>
    <w:rsid w:val="0036323E"/>
    <w:rsid w:val="00363CBA"/>
    <w:rsid w:val="003643FE"/>
    <w:rsid w:val="00364C4C"/>
    <w:rsid w:val="00365923"/>
    <w:rsid w:val="00365CE4"/>
    <w:rsid w:val="0036605A"/>
    <w:rsid w:val="00366331"/>
    <w:rsid w:val="00366EA8"/>
    <w:rsid w:val="00367ABE"/>
    <w:rsid w:val="00367CB5"/>
    <w:rsid w:val="00367EE3"/>
    <w:rsid w:val="00370E8D"/>
    <w:rsid w:val="0037106E"/>
    <w:rsid w:val="0037265A"/>
    <w:rsid w:val="00372D57"/>
    <w:rsid w:val="003740AB"/>
    <w:rsid w:val="00374763"/>
    <w:rsid w:val="003758B2"/>
    <w:rsid w:val="00375B13"/>
    <w:rsid w:val="003771A3"/>
    <w:rsid w:val="003773CB"/>
    <w:rsid w:val="00380787"/>
    <w:rsid w:val="0038089C"/>
    <w:rsid w:val="00380B71"/>
    <w:rsid w:val="0038180D"/>
    <w:rsid w:val="00381AF7"/>
    <w:rsid w:val="00381F1A"/>
    <w:rsid w:val="00382676"/>
    <w:rsid w:val="003829D7"/>
    <w:rsid w:val="00382FD7"/>
    <w:rsid w:val="00383150"/>
    <w:rsid w:val="00383B36"/>
    <w:rsid w:val="00383FD7"/>
    <w:rsid w:val="0038463D"/>
    <w:rsid w:val="00384A43"/>
    <w:rsid w:val="00384BD9"/>
    <w:rsid w:val="00384D85"/>
    <w:rsid w:val="00384EFF"/>
    <w:rsid w:val="00385523"/>
    <w:rsid w:val="003857FE"/>
    <w:rsid w:val="00385A56"/>
    <w:rsid w:val="00385BD2"/>
    <w:rsid w:val="003869D7"/>
    <w:rsid w:val="00386A5D"/>
    <w:rsid w:val="00386CF5"/>
    <w:rsid w:val="00386DE9"/>
    <w:rsid w:val="0038742A"/>
    <w:rsid w:val="00387609"/>
    <w:rsid w:val="00387806"/>
    <w:rsid w:val="00387885"/>
    <w:rsid w:val="00390A95"/>
    <w:rsid w:val="003910CD"/>
    <w:rsid w:val="003922B1"/>
    <w:rsid w:val="00392425"/>
    <w:rsid w:val="00392475"/>
    <w:rsid w:val="003924DF"/>
    <w:rsid w:val="00392517"/>
    <w:rsid w:val="003928D8"/>
    <w:rsid w:val="00392D23"/>
    <w:rsid w:val="00392DDF"/>
    <w:rsid w:val="00392F0D"/>
    <w:rsid w:val="00392FAD"/>
    <w:rsid w:val="00393577"/>
    <w:rsid w:val="00393BB3"/>
    <w:rsid w:val="00393E4B"/>
    <w:rsid w:val="0039476E"/>
    <w:rsid w:val="003950D9"/>
    <w:rsid w:val="003953D3"/>
    <w:rsid w:val="003959B5"/>
    <w:rsid w:val="00396005"/>
    <w:rsid w:val="0039604B"/>
    <w:rsid w:val="00396227"/>
    <w:rsid w:val="00396814"/>
    <w:rsid w:val="00397361"/>
    <w:rsid w:val="003A0990"/>
    <w:rsid w:val="003A09C1"/>
    <w:rsid w:val="003A0A1C"/>
    <w:rsid w:val="003A0AAA"/>
    <w:rsid w:val="003A0B42"/>
    <w:rsid w:val="003A0F8A"/>
    <w:rsid w:val="003A170D"/>
    <w:rsid w:val="003A1B0A"/>
    <w:rsid w:val="003A2157"/>
    <w:rsid w:val="003A2B44"/>
    <w:rsid w:val="003A38CC"/>
    <w:rsid w:val="003A3B94"/>
    <w:rsid w:val="003A43E1"/>
    <w:rsid w:val="003A594A"/>
    <w:rsid w:val="003A595F"/>
    <w:rsid w:val="003A597E"/>
    <w:rsid w:val="003A5DC5"/>
    <w:rsid w:val="003A6BC8"/>
    <w:rsid w:val="003A77E5"/>
    <w:rsid w:val="003A7900"/>
    <w:rsid w:val="003A7D61"/>
    <w:rsid w:val="003A7D8B"/>
    <w:rsid w:val="003A7F2D"/>
    <w:rsid w:val="003B1541"/>
    <w:rsid w:val="003B1CD4"/>
    <w:rsid w:val="003B2518"/>
    <w:rsid w:val="003B2BF1"/>
    <w:rsid w:val="003B2F33"/>
    <w:rsid w:val="003B324B"/>
    <w:rsid w:val="003B377B"/>
    <w:rsid w:val="003B395A"/>
    <w:rsid w:val="003B4E02"/>
    <w:rsid w:val="003B4E50"/>
    <w:rsid w:val="003B4F6B"/>
    <w:rsid w:val="003B55A4"/>
    <w:rsid w:val="003B587F"/>
    <w:rsid w:val="003B67B6"/>
    <w:rsid w:val="003B737A"/>
    <w:rsid w:val="003B751C"/>
    <w:rsid w:val="003B75C6"/>
    <w:rsid w:val="003C0069"/>
    <w:rsid w:val="003C042F"/>
    <w:rsid w:val="003C13C2"/>
    <w:rsid w:val="003C168C"/>
    <w:rsid w:val="003C1883"/>
    <w:rsid w:val="003C1F4C"/>
    <w:rsid w:val="003C2081"/>
    <w:rsid w:val="003C239D"/>
    <w:rsid w:val="003C2FD8"/>
    <w:rsid w:val="003C377B"/>
    <w:rsid w:val="003C3ABF"/>
    <w:rsid w:val="003C3C64"/>
    <w:rsid w:val="003C4166"/>
    <w:rsid w:val="003C5041"/>
    <w:rsid w:val="003C549A"/>
    <w:rsid w:val="003C5937"/>
    <w:rsid w:val="003C5E66"/>
    <w:rsid w:val="003C5F6F"/>
    <w:rsid w:val="003C6012"/>
    <w:rsid w:val="003C6043"/>
    <w:rsid w:val="003C631C"/>
    <w:rsid w:val="003C765B"/>
    <w:rsid w:val="003C7C2F"/>
    <w:rsid w:val="003D0014"/>
    <w:rsid w:val="003D04B0"/>
    <w:rsid w:val="003D097A"/>
    <w:rsid w:val="003D15F8"/>
    <w:rsid w:val="003D1A49"/>
    <w:rsid w:val="003D1EAC"/>
    <w:rsid w:val="003D2011"/>
    <w:rsid w:val="003D2353"/>
    <w:rsid w:val="003D2664"/>
    <w:rsid w:val="003D2884"/>
    <w:rsid w:val="003D2B56"/>
    <w:rsid w:val="003D2E7C"/>
    <w:rsid w:val="003D2FAE"/>
    <w:rsid w:val="003D3839"/>
    <w:rsid w:val="003D3B38"/>
    <w:rsid w:val="003D3BB7"/>
    <w:rsid w:val="003D3C04"/>
    <w:rsid w:val="003D49CE"/>
    <w:rsid w:val="003D5595"/>
    <w:rsid w:val="003D56F5"/>
    <w:rsid w:val="003D5B4A"/>
    <w:rsid w:val="003D61A0"/>
    <w:rsid w:val="003D6AC9"/>
    <w:rsid w:val="003D7213"/>
    <w:rsid w:val="003D74D9"/>
    <w:rsid w:val="003D7B43"/>
    <w:rsid w:val="003E0942"/>
    <w:rsid w:val="003E09CD"/>
    <w:rsid w:val="003E0B5F"/>
    <w:rsid w:val="003E119C"/>
    <w:rsid w:val="003E1511"/>
    <w:rsid w:val="003E174D"/>
    <w:rsid w:val="003E17F1"/>
    <w:rsid w:val="003E19A5"/>
    <w:rsid w:val="003E1F6F"/>
    <w:rsid w:val="003E20E5"/>
    <w:rsid w:val="003E2281"/>
    <w:rsid w:val="003E27A7"/>
    <w:rsid w:val="003E2B95"/>
    <w:rsid w:val="003E2C19"/>
    <w:rsid w:val="003E442C"/>
    <w:rsid w:val="003E4951"/>
    <w:rsid w:val="003E4A58"/>
    <w:rsid w:val="003E4A9E"/>
    <w:rsid w:val="003E4DC9"/>
    <w:rsid w:val="003E58F8"/>
    <w:rsid w:val="003E5F4E"/>
    <w:rsid w:val="003E68D5"/>
    <w:rsid w:val="003E6DC7"/>
    <w:rsid w:val="003E6E7C"/>
    <w:rsid w:val="003E7E40"/>
    <w:rsid w:val="003E7FF8"/>
    <w:rsid w:val="003F0391"/>
    <w:rsid w:val="003F10CC"/>
    <w:rsid w:val="003F117E"/>
    <w:rsid w:val="003F1490"/>
    <w:rsid w:val="003F1ADB"/>
    <w:rsid w:val="003F1D6B"/>
    <w:rsid w:val="003F2199"/>
    <w:rsid w:val="003F2896"/>
    <w:rsid w:val="003F2B6E"/>
    <w:rsid w:val="003F2DC4"/>
    <w:rsid w:val="003F2EC1"/>
    <w:rsid w:val="003F350B"/>
    <w:rsid w:val="003F3B37"/>
    <w:rsid w:val="003F3BF4"/>
    <w:rsid w:val="003F3D0E"/>
    <w:rsid w:val="003F46D5"/>
    <w:rsid w:val="003F4B51"/>
    <w:rsid w:val="003F50BB"/>
    <w:rsid w:val="003F5663"/>
    <w:rsid w:val="003F5678"/>
    <w:rsid w:val="003F56FD"/>
    <w:rsid w:val="003F6547"/>
    <w:rsid w:val="003F6A54"/>
    <w:rsid w:val="003F6BE1"/>
    <w:rsid w:val="003F732A"/>
    <w:rsid w:val="003F7615"/>
    <w:rsid w:val="004002EB"/>
    <w:rsid w:val="004006D9"/>
    <w:rsid w:val="0040093F"/>
    <w:rsid w:val="004010B7"/>
    <w:rsid w:val="00401A46"/>
    <w:rsid w:val="00401FE6"/>
    <w:rsid w:val="00402406"/>
    <w:rsid w:val="0040256B"/>
    <w:rsid w:val="00402727"/>
    <w:rsid w:val="00402A11"/>
    <w:rsid w:val="00402C7F"/>
    <w:rsid w:val="00402ECB"/>
    <w:rsid w:val="00402FBF"/>
    <w:rsid w:val="00403742"/>
    <w:rsid w:val="004038B9"/>
    <w:rsid w:val="00403F1E"/>
    <w:rsid w:val="0040459D"/>
    <w:rsid w:val="004048C2"/>
    <w:rsid w:val="00404DEF"/>
    <w:rsid w:val="00405232"/>
    <w:rsid w:val="004054FC"/>
    <w:rsid w:val="0040651E"/>
    <w:rsid w:val="004067A8"/>
    <w:rsid w:val="00407901"/>
    <w:rsid w:val="00407C08"/>
    <w:rsid w:val="0041031C"/>
    <w:rsid w:val="00410A0C"/>
    <w:rsid w:val="00410C0F"/>
    <w:rsid w:val="004116F2"/>
    <w:rsid w:val="004117C4"/>
    <w:rsid w:val="004117E8"/>
    <w:rsid w:val="00411974"/>
    <w:rsid w:val="00413261"/>
    <w:rsid w:val="004138F1"/>
    <w:rsid w:val="004155B1"/>
    <w:rsid w:val="004158F0"/>
    <w:rsid w:val="00416B92"/>
    <w:rsid w:val="00416C31"/>
    <w:rsid w:val="00416EFE"/>
    <w:rsid w:val="004170A3"/>
    <w:rsid w:val="00417EA0"/>
    <w:rsid w:val="0042093A"/>
    <w:rsid w:val="00420B33"/>
    <w:rsid w:val="00420BC0"/>
    <w:rsid w:val="00420E17"/>
    <w:rsid w:val="00420F67"/>
    <w:rsid w:val="0042115D"/>
    <w:rsid w:val="00421383"/>
    <w:rsid w:val="004213E1"/>
    <w:rsid w:val="00421660"/>
    <w:rsid w:val="00421EFD"/>
    <w:rsid w:val="0042258E"/>
    <w:rsid w:val="004228F4"/>
    <w:rsid w:val="00423131"/>
    <w:rsid w:val="0042362E"/>
    <w:rsid w:val="00424035"/>
    <w:rsid w:val="004241C4"/>
    <w:rsid w:val="00424C6E"/>
    <w:rsid w:val="00425BEC"/>
    <w:rsid w:val="00425D59"/>
    <w:rsid w:val="00425E8F"/>
    <w:rsid w:val="00426493"/>
    <w:rsid w:val="00427739"/>
    <w:rsid w:val="00430616"/>
    <w:rsid w:val="00430BA7"/>
    <w:rsid w:val="00430F92"/>
    <w:rsid w:val="004319C1"/>
    <w:rsid w:val="00431EBF"/>
    <w:rsid w:val="00431FCF"/>
    <w:rsid w:val="00432996"/>
    <w:rsid w:val="00433502"/>
    <w:rsid w:val="004348EA"/>
    <w:rsid w:val="00435049"/>
    <w:rsid w:val="004352E6"/>
    <w:rsid w:val="0043535F"/>
    <w:rsid w:val="00435386"/>
    <w:rsid w:val="0043541F"/>
    <w:rsid w:val="00435D0E"/>
    <w:rsid w:val="004360F9"/>
    <w:rsid w:val="00436EF4"/>
    <w:rsid w:val="0043769A"/>
    <w:rsid w:val="00437A20"/>
    <w:rsid w:val="004400C5"/>
    <w:rsid w:val="00440211"/>
    <w:rsid w:val="00440988"/>
    <w:rsid w:val="00440F0D"/>
    <w:rsid w:val="00441416"/>
    <w:rsid w:val="00441620"/>
    <w:rsid w:val="00441BA5"/>
    <w:rsid w:val="00442738"/>
    <w:rsid w:val="00442991"/>
    <w:rsid w:val="00442A7A"/>
    <w:rsid w:val="00442B41"/>
    <w:rsid w:val="00442C78"/>
    <w:rsid w:val="00442C7F"/>
    <w:rsid w:val="00443000"/>
    <w:rsid w:val="00443193"/>
    <w:rsid w:val="004437FC"/>
    <w:rsid w:val="004438EE"/>
    <w:rsid w:val="00443C6A"/>
    <w:rsid w:val="00444009"/>
    <w:rsid w:val="00444100"/>
    <w:rsid w:val="00444DC6"/>
    <w:rsid w:val="00444EA0"/>
    <w:rsid w:val="004450A3"/>
    <w:rsid w:val="00445286"/>
    <w:rsid w:val="004452F6"/>
    <w:rsid w:val="00445468"/>
    <w:rsid w:val="00445483"/>
    <w:rsid w:val="00446D98"/>
    <w:rsid w:val="00447D50"/>
    <w:rsid w:val="00447E6B"/>
    <w:rsid w:val="00447E96"/>
    <w:rsid w:val="0045096D"/>
    <w:rsid w:val="00451004"/>
    <w:rsid w:val="00451109"/>
    <w:rsid w:val="00451AE8"/>
    <w:rsid w:val="00451EA1"/>
    <w:rsid w:val="00451F10"/>
    <w:rsid w:val="004523AC"/>
    <w:rsid w:val="00452625"/>
    <w:rsid w:val="004527F3"/>
    <w:rsid w:val="00452BE3"/>
    <w:rsid w:val="00452EEB"/>
    <w:rsid w:val="004538C8"/>
    <w:rsid w:val="00453C2E"/>
    <w:rsid w:val="0045444A"/>
    <w:rsid w:val="00454C88"/>
    <w:rsid w:val="00454D89"/>
    <w:rsid w:val="00455B74"/>
    <w:rsid w:val="004560FE"/>
    <w:rsid w:val="0045726B"/>
    <w:rsid w:val="00457B56"/>
    <w:rsid w:val="00460AED"/>
    <w:rsid w:val="00461002"/>
    <w:rsid w:val="00461758"/>
    <w:rsid w:val="00461CC4"/>
    <w:rsid w:val="00461F4F"/>
    <w:rsid w:val="004624CC"/>
    <w:rsid w:val="00462C57"/>
    <w:rsid w:val="004638A9"/>
    <w:rsid w:val="00463D08"/>
    <w:rsid w:val="00464426"/>
    <w:rsid w:val="004645AE"/>
    <w:rsid w:val="00464674"/>
    <w:rsid w:val="004646EA"/>
    <w:rsid w:val="00464958"/>
    <w:rsid w:val="00464E61"/>
    <w:rsid w:val="0046589B"/>
    <w:rsid w:val="00465C8C"/>
    <w:rsid w:val="00465CED"/>
    <w:rsid w:val="00465D3E"/>
    <w:rsid w:val="00466355"/>
    <w:rsid w:val="0046650E"/>
    <w:rsid w:val="004675D5"/>
    <w:rsid w:val="004702C6"/>
    <w:rsid w:val="00470637"/>
    <w:rsid w:val="004707D2"/>
    <w:rsid w:val="00470A54"/>
    <w:rsid w:val="00470A8A"/>
    <w:rsid w:val="00471018"/>
    <w:rsid w:val="0047126D"/>
    <w:rsid w:val="00471339"/>
    <w:rsid w:val="0047165C"/>
    <w:rsid w:val="00471766"/>
    <w:rsid w:val="00471B63"/>
    <w:rsid w:val="00472385"/>
    <w:rsid w:val="00472873"/>
    <w:rsid w:val="004729A3"/>
    <w:rsid w:val="00472A06"/>
    <w:rsid w:val="004730DC"/>
    <w:rsid w:val="004739B0"/>
    <w:rsid w:val="00473A86"/>
    <w:rsid w:val="00473C0B"/>
    <w:rsid w:val="0047418D"/>
    <w:rsid w:val="00474514"/>
    <w:rsid w:val="00474E22"/>
    <w:rsid w:val="00474FD8"/>
    <w:rsid w:val="0047536D"/>
    <w:rsid w:val="0047542D"/>
    <w:rsid w:val="0047547A"/>
    <w:rsid w:val="004757E2"/>
    <w:rsid w:val="00475C58"/>
    <w:rsid w:val="00475C7A"/>
    <w:rsid w:val="00476B33"/>
    <w:rsid w:val="00476C74"/>
    <w:rsid w:val="0047760A"/>
    <w:rsid w:val="00477829"/>
    <w:rsid w:val="00480050"/>
    <w:rsid w:val="0048063E"/>
    <w:rsid w:val="0048168E"/>
    <w:rsid w:val="00481B51"/>
    <w:rsid w:val="00481B94"/>
    <w:rsid w:val="00481DB5"/>
    <w:rsid w:val="004826E1"/>
    <w:rsid w:val="00482AA9"/>
    <w:rsid w:val="00482D81"/>
    <w:rsid w:val="004833B6"/>
    <w:rsid w:val="00483EB5"/>
    <w:rsid w:val="00484019"/>
    <w:rsid w:val="004845F1"/>
    <w:rsid w:val="00484A96"/>
    <w:rsid w:val="00484B6E"/>
    <w:rsid w:val="00484FF4"/>
    <w:rsid w:val="0048565C"/>
    <w:rsid w:val="004862FA"/>
    <w:rsid w:val="00486441"/>
    <w:rsid w:val="0048692E"/>
    <w:rsid w:val="00486C1B"/>
    <w:rsid w:val="0048735C"/>
    <w:rsid w:val="0048789C"/>
    <w:rsid w:val="004878FF"/>
    <w:rsid w:val="00487E28"/>
    <w:rsid w:val="0049002C"/>
    <w:rsid w:val="004903BA"/>
    <w:rsid w:val="0049040B"/>
    <w:rsid w:val="00490540"/>
    <w:rsid w:val="00490832"/>
    <w:rsid w:val="004908E4"/>
    <w:rsid w:val="00490C7B"/>
    <w:rsid w:val="00490DE0"/>
    <w:rsid w:val="0049128B"/>
    <w:rsid w:val="004914B2"/>
    <w:rsid w:val="00491998"/>
    <w:rsid w:val="00492563"/>
    <w:rsid w:val="004927EA"/>
    <w:rsid w:val="004931C0"/>
    <w:rsid w:val="004938D2"/>
    <w:rsid w:val="00493B28"/>
    <w:rsid w:val="00493D82"/>
    <w:rsid w:val="00493E92"/>
    <w:rsid w:val="00494825"/>
    <w:rsid w:val="0049583F"/>
    <w:rsid w:val="0049672A"/>
    <w:rsid w:val="00496E02"/>
    <w:rsid w:val="004971BD"/>
    <w:rsid w:val="00497540"/>
    <w:rsid w:val="00497678"/>
    <w:rsid w:val="0049774C"/>
    <w:rsid w:val="00497A03"/>
    <w:rsid w:val="00497F00"/>
    <w:rsid w:val="004A012E"/>
    <w:rsid w:val="004A0409"/>
    <w:rsid w:val="004A07A4"/>
    <w:rsid w:val="004A09A3"/>
    <w:rsid w:val="004A0A77"/>
    <w:rsid w:val="004A1076"/>
    <w:rsid w:val="004A17FF"/>
    <w:rsid w:val="004A255B"/>
    <w:rsid w:val="004A31C2"/>
    <w:rsid w:val="004A3DB1"/>
    <w:rsid w:val="004A3FE6"/>
    <w:rsid w:val="004A41E4"/>
    <w:rsid w:val="004A41F3"/>
    <w:rsid w:val="004A4CBA"/>
    <w:rsid w:val="004A54AE"/>
    <w:rsid w:val="004A59EE"/>
    <w:rsid w:val="004A5A68"/>
    <w:rsid w:val="004A62FE"/>
    <w:rsid w:val="004A648F"/>
    <w:rsid w:val="004A68F3"/>
    <w:rsid w:val="004A698E"/>
    <w:rsid w:val="004A7105"/>
    <w:rsid w:val="004A793E"/>
    <w:rsid w:val="004A7AB5"/>
    <w:rsid w:val="004B0394"/>
    <w:rsid w:val="004B0589"/>
    <w:rsid w:val="004B0D96"/>
    <w:rsid w:val="004B14B7"/>
    <w:rsid w:val="004B1A59"/>
    <w:rsid w:val="004B1A99"/>
    <w:rsid w:val="004B1AF2"/>
    <w:rsid w:val="004B2F7F"/>
    <w:rsid w:val="004B32F0"/>
    <w:rsid w:val="004B36F7"/>
    <w:rsid w:val="004B380C"/>
    <w:rsid w:val="004B3E2B"/>
    <w:rsid w:val="004B3EE3"/>
    <w:rsid w:val="004B4585"/>
    <w:rsid w:val="004B4660"/>
    <w:rsid w:val="004B4963"/>
    <w:rsid w:val="004B4B80"/>
    <w:rsid w:val="004B58AE"/>
    <w:rsid w:val="004B5D91"/>
    <w:rsid w:val="004B7288"/>
    <w:rsid w:val="004B7458"/>
    <w:rsid w:val="004B7E43"/>
    <w:rsid w:val="004C046C"/>
    <w:rsid w:val="004C0BA3"/>
    <w:rsid w:val="004C120D"/>
    <w:rsid w:val="004C155A"/>
    <w:rsid w:val="004C1966"/>
    <w:rsid w:val="004C1E97"/>
    <w:rsid w:val="004C2264"/>
    <w:rsid w:val="004C2CCB"/>
    <w:rsid w:val="004C2E15"/>
    <w:rsid w:val="004C2F01"/>
    <w:rsid w:val="004C307C"/>
    <w:rsid w:val="004C3785"/>
    <w:rsid w:val="004C454F"/>
    <w:rsid w:val="004C4C09"/>
    <w:rsid w:val="004C4D38"/>
    <w:rsid w:val="004C53AA"/>
    <w:rsid w:val="004C5C39"/>
    <w:rsid w:val="004C5CDB"/>
    <w:rsid w:val="004C5FDB"/>
    <w:rsid w:val="004C619A"/>
    <w:rsid w:val="004C619F"/>
    <w:rsid w:val="004C6357"/>
    <w:rsid w:val="004C692B"/>
    <w:rsid w:val="004C69AA"/>
    <w:rsid w:val="004C6C7B"/>
    <w:rsid w:val="004C7749"/>
    <w:rsid w:val="004C7AB1"/>
    <w:rsid w:val="004D04C5"/>
    <w:rsid w:val="004D0D8B"/>
    <w:rsid w:val="004D1A85"/>
    <w:rsid w:val="004D2AB4"/>
    <w:rsid w:val="004D2B6F"/>
    <w:rsid w:val="004D35C5"/>
    <w:rsid w:val="004D3621"/>
    <w:rsid w:val="004D3CB9"/>
    <w:rsid w:val="004D4029"/>
    <w:rsid w:val="004D4233"/>
    <w:rsid w:val="004D43A2"/>
    <w:rsid w:val="004D4644"/>
    <w:rsid w:val="004D47D2"/>
    <w:rsid w:val="004D4B44"/>
    <w:rsid w:val="004D51C3"/>
    <w:rsid w:val="004D55EA"/>
    <w:rsid w:val="004D56FE"/>
    <w:rsid w:val="004D5EA4"/>
    <w:rsid w:val="004D5F2C"/>
    <w:rsid w:val="004D62B9"/>
    <w:rsid w:val="004D6A33"/>
    <w:rsid w:val="004D74D4"/>
    <w:rsid w:val="004D7629"/>
    <w:rsid w:val="004D774B"/>
    <w:rsid w:val="004D7763"/>
    <w:rsid w:val="004D7A86"/>
    <w:rsid w:val="004E00FB"/>
    <w:rsid w:val="004E029E"/>
    <w:rsid w:val="004E0346"/>
    <w:rsid w:val="004E0DBD"/>
    <w:rsid w:val="004E134E"/>
    <w:rsid w:val="004E1DB5"/>
    <w:rsid w:val="004E2006"/>
    <w:rsid w:val="004E2106"/>
    <w:rsid w:val="004E24C2"/>
    <w:rsid w:val="004E27D9"/>
    <w:rsid w:val="004E2D90"/>
    <w:rsid w:val="004E355C"/>
    <w:rsid w:val="004E3613"/>
    <w:rsid w:val="004E3C8D"/>
    <w:rsid w:val="004E4712"/>
    <w:rsid w:val="004E4E6B"/>
    <w:rsid w:val="004E57AD"/>
    <w:rsid w:val="004E610A"/>
    <w:rsid w:val="004E6706"/>
    <w:rsid w:val="004E6B84"/>
    <w:rsid w:val="004E6C59"/>
    <w:rsid w:val="004E6E0A"/>
    <w:rsid w:val="004F0D88"/>
    <w:rsid w:val="004F0FA1"/>
    <w:rsid w:val="004F10FC"/>
    <w:rsid w:val="004F274E"/>
    <w:rsid w:val="004F2A3C"/>
    <w:rsid w:val="004F3238"/>
    <w:rsid w:val="004F373B"/>
    <w:rsid w:val="004F3F30"/>
    <w:rsid w:val="004F446D"/>
    <w:rsid w:val="004F4551"/>
    <w:rsid w:val="004F4AAC"/>
    <w:rsid w:val="004F59B6"/>
    <w:rsid w:val="004F5A27"/>
    <w:rsid w:val="004F5E7F"/>
    <w:rsid w:val="004F6AF4"/>
    <w:rsid w:val="004F6EB4"/>
    <w:rsid w:val="004F717D"/>
    <w:rsid w:val="004F720F"/>
    <w:rsid w:val="004F721F"/>
    <w:rsid w:val="004F7321"/>
    <w:rsid w:val="004F74CB"/>
    <w:rsid w:val="004F75FC"/>
    <w:rsid w:val="004F76EB"/>
    <w:rsid w:val="004F78B5"/>
    <w:rsid w:val="00500197"/>
    <w:rsid w:val="00500747"/>
    <w:rsid w:val="00500932"/>
    <w:rsid w:val="00500D9A"/>
    <w:rsid w:val="00500DA1"/>
    <w:rsid w:val="0050130C"/>
    <w:rsid w:val="0050143B"/>
    <w:rsid w:val="00502077"/>
    <w:rsid w:val="005020FB"/>
    <w:rsid w:val="005022F1"/>
    <w:rsid w:val="00502E01"/>
    <w:rsid w:val="005031CA"/>
    <w:rsid w:val="005032C1"/>
    <w:rsid w:val="00503306"/>
    <w:rsid w:val="0050395B"/>
    <w:rsid w:val="00503D23"/>
    <w:rsid w:val="00503DA3"/>
    <w:rsid w:val="0050407A"/>
    <w:rsid w:val="00504263"/>
    <w:rsid w:val="00504608"/>
    <w:rsid w:val="00504761"/>
    <w:rsid w:val="00504D35"/>
    <w:rsid w:val="005058BC"/>
    <w:rsid w:val="00505D37"/>
    <w:rsid w:val="00505DE9"/>
    <w:rsid w:val="005065DA"/>
    <w:rsid w:val="005071E7"/>
    <w:rsid w:val="005074A9"/>
    <w:rsid w:val="005075A6"/>
    <w:rsid w:val="0050764E"/>
    <w:rsid w:val="00507B37"/>
    <w:rsid w:val="00510102"/>
    <w:rsid w:val="005104BA"/>
    <w:rsid w:val="005107F4"/>
    <w:rsid w:val="00510BEA"/>
    <w:rsid w:val="0051208C"/>
    <w:rsid w:val="00512B4A"/>
    <w:rsid w:val="00512B91"/>
    <w:rsid w:val="005135AD"/>
    <w:rsid w:val="00513A00"/>
    <w:rsid w:val="00513C06"/>
    <w:rsid w:val="00514039"/>
    <w:rsid w:val="00514989"/>
    <w:rsid w:val="00514E63"/>
    <w:rsid w:val="005153C3"/>
    <w:rsid w:val="0051571F"/>
    <w:rsid w:val="00515DCD"/>
    <w:rsid w:val="00515FA6"/>
    <w:rsid w:val="005162BB"/>
    <w:rsid w:val="005162C4"/>
    <w:rsid w:val="00516D05"/>
    <w:rsid w:val="00516DFF"/>
    <w:rsid w:val="00517257"/>
    <w:rsid w:val="00517973"/>
    <w:rsid w:val="00517A98"/>
    <w:rsid w:val="005200D1"/>
    <w:rsid w:val="00520D97"/>
    <w:rsid w:val="00520E09"/>
    <w:rsid w:val="00521387"/>
    <w:rsid w:val="00521891"/>
    <w:rsid w:val="005218AD"/>
    <w:rsid w:val="005222E2"/>
    <w:rsid w:val="005225B5"/>
    <w:rsid w:val="00522CC5"/>
    <w:rsid w:val="00522F88"/>
    <w:rsid w:val="005237CC"/>
    <w:rsid w:val="00523973"/>
    <w:rsid w:val="00523D5E"/>
    <w:rsid w:val="005242E7"/>
    <w:rsid w:val="005243CE"/>
    <w:rsid w:val="005250BF"/>
    <w:rsid w:val="00525718"/>
    <w:rsid w:val="005259E7"/>
    <w:rsid w:val="00525E7C"/>
    <w:rsid w:val="005261A9"/>
    <w:rsid w:val="005262F6"/>
    <w:rsid w:val="00526655"/>
    <w:rsid w:val="00526730"/>
    <w:rsid w:val="00526AD2"/>
    <w:rsid w:val="00526ECC"/>
    <w:rsid w:val="00530259"/>
    <w:rsid w:val="00530776"/>
    <w:rsid w:val="0053117D"/>
    <w:rsid w:val="0053159E"/>
    <w:rsid w:val="00531AB8"/>
    <w:rsid w:val="0053224C"/>
    <w:rsid w:val="005338BC"/>
    <w:rsid w:val="00533A72"/>
    <w:rsid w:val="00535369"/>
    <w:rsid w:val="00536219"/>
    <w:rsid w:val="0053687E"/>
    <w:rsid w:val="00536CD8"/>
    <w:rsid w:val="0053717A"/>
    <w:rsid w:val="005371ED"/>
    <w:rsid w:val="00537395"/>
    <w:rsid w:val="00537893"/>
    <w:rsid w:val="00540058"/>
    <w:rsid w:val="005400AC"/>
    <w:rsid w:val="00540622"/>
    <w:rsid w:val="00541068"/>
    <w:rsid w:val="005419F4"/>
    <w:rsid w:val="00541C4C"/>
    <w:rsid w:val="00541CA7"/>
    <w:rsid w:val="005423D9"/>
    <w:rsid w:val="005423ED"/>
    <w:rsid w:val="00542423"/>
    <w:rsid w:val="0054274E"/>
    <w:rsid w:val="00542F78"/>
    <w:rsid w:val="00544C24"/>
    <w:rsid w:val="00544FF2"/>
    <w:rsid w:val="0054520C"/>
    <w:rsid w:val="00545716"/>
    <w:rsid w:val="00545843"/>
    <w:rsid w:val="00545D5F"/>
    <w:rsid w:val="00545FAC"/>
    <w:rsid w:val="005462A7"/>
    <w:rsid w:val="00546E99"/>
    <w:rsid w:val="00546EAF"/>
    <w:rsid w:val="005473B0"/>
    <w:rsid w:val="00547C2D"/>
    <w:rsid w:val="00550237"/>
    <w:rsid w:val="005507F9"/>
    <w:rsid w:val="00550F55"/>
    <w:rsid w:val="00550FD6"/>
    <w:rsid w:val="00551E3D"/>
    <w:rsid w:val="00552498"/>
    <w:rsid w:val="005528CB"/>
    <w:rsid w:val="00552E21"/>
    <w:rsid w:val="00553108"/>
    <w:rsid w:val="005532CB"/>
    <w:rsid w:val="005536BC"/>
    <w:rsid w:val="0055472F"/>
    <w:rsid w:val="00554D3E"/>
    <w:rsid w:val="005555B4"/>
    <w:rsid w:val="005556A3"/>
    <w:rsid w:val="0055576C"/>
    <w:rsid w:val="00555893"/>
    <w:rsid w:val="00555DE6"/>
    <w:rsid w:val="00556008"/>
    <w:rsid w:val="005561D8"/>
    <w:rsid w:val="00556204"/>
    <w:rsid w:val="00556EBA"/>
    <w:rsid w:val="00557009"/>
    <w:rsid w:val="00557662"/>
    <w:rsid w:val="00557791"/>
    <w:rsid w:val="0055796C"/>
    <w:rsid w:val="005579F1"/>
    <w:rsid w:val="00557DE7"/>
    <w:rsid w:val="0056028D"/>
    <w:rsid w:val="00560D35"/>
    <w:rsid w:val="005610D5"/>
    <w:rsid w:val="00561211"/>
    <w:rsid w:val="00561395"/>
    <w:rsid w:val="005615DC"/>
    <w:rsid w:val="005618FE"/>
    <w:rsid w:val="00561C16"/>
    <w:rsid w:val="00562F0C"/>
    <w:rsid w:val="00563AFE"/>
    <w:rsid w:val="00563CEE"/>
    <w:rsid w:val="00563F7D"/>
    <w:rsid w:val="00564200"/>
    <w:rsid w:val="00564A08"/>
    <w:rsid w:val="00565B74"/>
    <w:rsid w:val="00565F7B"/>
    <w:rsid w:val="0056614F"/>
    <w:rsid w:val="00566290"/>
    <w:rsid w:val="0056634A"/>
    <w:rsid w:val="005667E7"/>
    <w:rsid w:val="00566975"/>
    <w:rsid w:val="005675C6"/>
    <w:rsid w:val="00567B46"/>
    <w:rsid w:val="00570CFC"/>
    <w:rsid w:val="0057238F"/>
    <w:rsid w:val="00572728"/>
    <w:rsid w:val="0057281D"/>
    <w:rsid w:val="00573026"/>
    <w:rsid w:val="00573133"/>
    <w:rsid w:val="005732C3"/>
    <w:rsid w:val="00573388"/>
    <w:rsid w:val="00573477"/>
    <w:rsid w:val="00573EB4"/>
    <w:rsid w:val="00575089"/>
    <w:rsid w:val="00575142"/>
    <w:rsid w:val="005753BE"/>
    <w:rsid w:val="0057542D"/>
    <w:rsid w:val="00575751"/>
    <w:rsid w:val="00575832"/>
    <w:rsid w:val="0057615B"/>
    <w:rsid w:val="00576504"/>
    <w:rsid w:val="005768A0"/>
    <w:rsid w:val="00577A59"/>
    <w:rsid w:val="00577CC5"/>
    <w:rsid w:val="005801DC"/>
    <w:rsid w:val="0058038A"/>
    <w:rsid w:val="005807D9"/>
    <w:rsid w:val="00580D0E"/>
    <w:rsid w:val="00580FE5"/>
    <w:rsid w:val="00581723"/>
    <w:rsid w:val="005818C1"/>
    <w:rsid w:val="00581A19"/>
    <w:rsid w:val="00581ECD"/>
    <w:rsid w:val="0058220C"/>
    <w:rsid w:val="0058268D"/>
    <w:rsid w:val="00582AF8"/>
    <w:rsid w:val="00582FC2"/>
    <w:rsid w:val="005831F8"/>
    <w:rsid w:val="0058369D"/>
    <w:rsid w:val="0058377F"/>
    <w:rsid w:val="00584D2F"/>
    <w:rsid w:val="00584EC5"/>
    <w:rsid w:val="0058524F"/>
    <w:rsid w:val="00585830"/>
    <w:rsid w:val="00586B02"/>
    <w:rsid w:val="00586C82"/>
    <w:rsid w:val="00586E1B"/>
    <w:rsid w:val="00586ECF"/>
    <w:rsid w:val="005872E0"/>
    <w:rsid w:val="00587914"/>
    <w:rsid w:val="00587DE2"/>
    <w:rsid w:val="005902F4"/>
    <w:rsid w:val="00591114"/>
    <w:rsid w:val="00591979"/>
    <w:rsid w:val="00591DFB"/>
    <w:rsid w:val="00591EB5"/>
    <w:rsid w:val="005921A1"/>
    <w:rsid w:val="00594264"/>
    <w:rsid w:val="0059472D"/>
    <w:rsid w:val="0059483F"/>
    <w:rsid w:val="005949B9"/>
    <w:rsid w:val="00595124"/>
    <w:rsid w:val="00595F84"/>
    <w:rsid w:val="005965DF"/>
    <w:rsid w:val="005966E2"/>
    <w:rsid w:val="00596778"/>
    <w:rsid w:val="00596BEB"/>
    <w:rsid w:val="00596E85"/>
    <w:rsid w:val="0059741C"/>
    <w:rsid w:val="00597DDC"/>
    <w:rsid w:val="00597EE3"/>
    <w:rsid w:val="00597FD2"/>
    <w:rsid w:val="005A0827"/>
    <w:rsid w:val="005A090E"/>
    <w:rsid w:val="005A120F"/>
    <w:rsid w:val="005A1419"/>
    <w:rsid w:val="005A1687"/>
    <w:rsid w:val="005A17D9"/>
    <w:rsid w:val="005A1995"/>
    <w:rsid w:val="005A1A54"/>
    <w:rsid w:val="005A1B41"/>
    <w:rsid w:val="005A1B6F"/>
    <w:rsid w:val="005A1C99"/>
    <w:rsid w:val="005A1D66"/>
    <w:rsid w:val="005A248F"/>
    <w:rsid w:val="005A27AD"/>
    <w:rsid w:val="005A31A5"/>
    <w:rsid w:val="005A321E"/>
    <w:rsid w:val="005A322B"/>
    <w:rsid w:val="005A3D5D"/>
    <w:rsid w:val="005A44BA"/>
    <w:rsid w:val="005A4787"/>
    <w:rsid w:val="005A4D04"/>
    <w:rsid w:val="005A4D98"/>
    <w:rsid w:val="005A503E"/>
    <w:rsid w:val="005A50B7"/>
    <w:rsid w:val="005A5277"/>
    <w:rsid w:val="005A550A"/>
    <w:rsid w:val="005A551F"/>
    <w:rsid w:val="005A5719"/>
    <w:rsid w:val="005A5BA3"/>
    <w:rsid w:val="005A5CC1"/>
    <w:rsid w:val="005A6F0A"/>
    <w:rsid w:val="005A70B2"/>
    <w:rsid w:val="005A72A9"/>
    <w:rsid w:val="005A7348"/>
    <w:rsid w:val="005A7724"/>
    <w:rsid w:val="005B099E"/>
    <w:rsid w:val="005B0DC0"/>
    <w:rsid w:val="005B12B1"/>
    <w:rsid w:val="005B1431"/>
    <w:rsid w:val="005B209E"/>
    <w:rsid w:val="005B2398"/>
    <w:rsid w:val="005B23F1"/>
    <w:rsid w:val="005B240F"/>
    <w:rsid w:val="005B242A"/>
    <w:rsid w:val="005B2603"/>
    <w:rsid w:val="005B287A"/>
    <w:rsid w:val="005B295F"/>
    <w:rsid w:val="005B30A7"/>
    <w:rsid w:val="005B3188"/>
    <w:rsid w:val="005B363F"/>
    <w:rsid w:val="005B3791"/>
    <w:rsid w:val="005B3B1D"/>
    <w:rsid w:val="005B3CF4"/>
    <w:rsid w:val="005B442F"/>
    <w:rsid w:val="005B5083"/>
    <w:rsid w:val="005B51EA"/>
    <w:rsid w:val="005B5715"/>
    <w:rsid w:val="005B775E"/>
    <w:rsid w:val="005B7D11"/>
    <w:rsid w:val="005C0457"/>
    <w:rsid w:val="005C0527"/>
    <w:rsid w:val="005C09F7"/>
    <w:rsid w:val="005C0F0B"/>
    <w:rsid w:val="005C0F13"/>
    <w:rsid w:val="005C184E"/>
    <w:rsid w:val="005C1BE7"/>
    <w:rsid w:val="005C1DD2"/>
    <w:rsid w:val="005C2176"/>
    <w:rsid w:val="005C25AA"/>
    <w:rsid w:val="005C2742"/>
    <w:rsid w:val="005C3088"/>
    <w:rsid w:val="005C31E2"/>
    <w:rsid w:val="005C3752"/>
    <w:rsid w:val="005C38C3"/>
    <w:rsid w:val="005C40B2"/>
    <w:rsid w:val="005C475A"/>
    <w:rsid w:val="005C4A5C"/>
    <w:rsid w:val="005C4ECC"/>
    <w:rsid w:val="005C4F83"/>
    <w:rsid w:val="005C5A41"/>
    <w:rsid w:val="005C5BD7"/>
    <w:rsid w:val="005C5E2F"/>
    <w:rsid w:val="005C6228"/>
    <w:rsid w:val="005C679D"/>
    <w:rsid w:val="005C6A8C"/>
    <w:rsid w:val="005C6E3E"/>
    <w:rsid w:val="005C7236"/>
    <w:rsid w:val="005C7342"/>
    <w:rsid w:val="005C74C8"/>
    <w:rsid w:val="005D061D"/>
    <w:rsid w:val="005D0EE3"/>
    <w:rsid w:val="005D0F43"/>
    <w:rsid w:val="005D1377"/>
    <w:rsid w:val="005D1626"/>
    <w:rsid w:val="005D2BF0"/>
    <w:rsid w:val="005D38DE"/>
    <w:rsid w:val="005D64CF"/>
    <w:rsid w:val="005D70CC"/>
    <w:rsid w:val="005D71A2"/>
    <w:rsid w:val="005D7550"/>
    <w:rsid w:val="005D7703"/>
    <w:rsid w:val="005D782A"/>
    <w:rsid w:val="005E0383"/>
    <w:rsid w:val="005E03F6"/>
    <w:rsid w:val="005E17FA"/>
    <w:rsid w:val="005E1AD8"/>
    <w:rsid w:val="005E1D50"/>
    <w:rsid w:val="005E1F3C"/>
    <w:rsid w:val="005E20A5"/>
    <w:rsid w:val="005E2411"/>
    <w:rsid w:val="005E2FC7"/>
    <w:rsid w:val="005E3434"/>
    <w:rsid w:val="005E34D5"/>
    <w:rsid w:val="005E390B"/>
    <w:rsid w:val="005E390E"/>
    <w:rsid w:val="005E411D"/>
    <w:rsid w:val="005E4460"/>
    <w:rsid w:val="005E4A1E"/>
    <w:rsid w:val="005E61BD"/>
    <w:rsid w:val="005E6CB3"/>
    <w:rsid w:val="005E77B5"/>
    <w:rsid w:val="005E792D"/>
    <w:rsid w:val="005E7BD9"/>
    <w:rsid w:val="005E7D01"/>
    <w:rsid w:val="005F06B7"/>
    <w:rsid w:val="005F0B7F"/>
    <w:rsid w:val="005F0C94"/>
    <w:rsid w:val="005F1626"/>
    <w:rsid w:val="005F17B1"/>
    <w:rsid w:val="005F2262"/>
    <w:rsid w:val="005F2630"/>
    <w:rsid w:val="005F265E"/>
    <w:rsid w:val="005F2D7D"/>
    <w:rsid w:val="005F2DE7"/>
    <w:rsid w:val="005F33EE"/>
    <w:rsid w:val="005F4302"/>
    <w:rsid w:val="005F45AF"/>
    <w:rsid w:val="005F4624"/>
    <w:rsid w:val="005F47AF"/>
    <w:rsid w:val="005F4900"/>
    <w:rsid w:val="005F4EB2"/>
    <w:rsid w:val="005F5015"/>
    <w:rsid w:val="005F594B"/>
    <w:rsid w:val="005F5956"/>
    <w:rsid w:val="005F6693"/>
    <w:rsid w:val="005F779F"/>
    <w:rsid w:val="006000B8"/>
    <w:rsid w:val="00600192"/>
    <w:rsid w:val="0060031B"/>
    <w:rsid w:val="00600822"/>
    <w:rsid w:val="006009FF"/>
    <w:rsid w:val="00600BCE"/>
    <w:rsid w:val="00600F5F"/>
    <w:rsid w:val="006013D6"/>
    <w:rsid w:val="006014BF"/>
    <w:rsid w:val="006020AE"/>
    <w:rsid w:val="00602B34"/>
    <w:rsid w:val="00603249"/>
    <w:rsid w:val="00603B53"/>
    <w:rsid w:val="00604093"/>
    <w:rsid w:val="00604230"/>
    <w:rsid w:val="006048E5"/>
    <w:rsid w:val="006048F8"/>
    <w:rsid w:val="00604B75"/>
    <w:rsid w:val="00604CAF"/>
    <w:rsid w:val="00604E52"/>
    <w:rsid w:val="00604E5B"/>
    <w:rsid w:val="0060538A"/>
    <w:rsid w:val="00605CB2"/>
    <w:rsid w:val="00605D19"/>
    <w:rsid w:val="00606308"/>
    <w:rsid w:val="0060657C"/>
    <w:rsid w:val="006067ED"/>
    <w:rsid w:val="00606C96"/>
    <w:rsid w:val="00606CEF"/>
    <w:rsid w:val="006107F7"/>
    <w:rsid w:val="006109BE"/>
    <w:rsid w:val="00610A07"/>
    <w:rsid w:val="00611665"/>
    <w:rsid w:val="006116AC"/>
    <w:rsid w:val="0061189C"/>
    <w:rsid w:val="00611A61"/>
    <w:rsid w:val="00611F2D"/>
    <w:rsid w:val="0061259A"/>
    <w:rsid w:val="00612F60"/>
    <w:rsid w:val="0061320E"/>
    <w:rsid w:val="00613462"/>
    <w:rsid w:val="0061361C"/>
    <w:rsid w:val="0061523D"/>
    <w:rsid w:val="00615940"/>
    <w:rsid w:val="00615C27"/>
    <w:rsid w:val="00615CE3"/>
    <w:rsid w:val="00616499"/>
    <w:rsid w:val="00616523"/>
    <w:rsid w:val="00616B4F"/>
    <w:rsid w:val="00617216"/>
    <w:rsid w:val="006175AF"/>
    <w:rsid w:val="0061786D"/>
    <w:rsid w:val="0062010E"/>
    <w:rsid w:val="00620AF6"/>
    <w:rsid w:val="00620E0F"/>
    <w:rsid w:val="006213D1"/>
    <w:rsid w:val="00621442"/>
    <w:rsid w:val="00621917"/>
    <w:rsid w:val="00621B15"/>
    <w:rsid w:val="00621E44"/>
    <w:rsid w:val="00622037"/>
    <w:rsid w:val="006225AC"/>
    <w:rsid w:val="00623899"/>
    <w:rsid w:val="00623B60"/>
    <w:rsid w:val="00624F07"/>
    <w:rsid w:val="006250D4"/>
    <w:rsid w:val="00625391"/>
    <w:rsid w:val="006253B5"/>
    <w:rsid w:val="006254AA"/>
    <w:rsid w:val="00625DDD"/>
    <w:rsid w:val="00625F27"/>
    <w:rsid w:val="006268AA"/>
    <w:rsid w:val="00626D57"/>
    <w:rsid w:val="0062719A"/>
    <w:rsid w:val="0062768B"/>
    <w:rsid w:val="00627B8D"/>
    <w:rsid w:val="00627DED"/>
    <w:rsid w:val="006303B7"/>
    <w:rsid w:val="00631996"/>
    <w:rsid w:val="006319C5"/>
    <w:rsid w:val="00631A21"/>
    <w:rsid w:val="00631F43"/>
    <w:rsid w:val="00633791"/>
    <w:rsid w:val="006339A5"/>
    <w:rsid w:val="006341E4"/>
    <w:rsid w:val="00634DC9"/>
    <w:rsid w:val="00635006"/>
    <w:rsid w:val="00635AAE"/>
    <w:rsid w:val="00635D14"/>
    <w:rsid w:val="006361B5"/>
    <w:rsid w:val="006361B9"/>
    <w:rsid w:val="0063634A"/>
    <w:rsid w:val="006363EA"/>
    <w:rsid w:val="0063699B"/>
    <w:rsid w:val="00636F06"/>
    <w:rsid w:val="006378A9"/>
    <w:rsid w:val="00637CF1"/>
    <w:rsid w:val="006402F0"/>
    <w:rsid w:val="00640E44"/>
    <w:rsid w:val="00640E4D"/>
    <w:rsid w:val="006410A5"/>
    <w:rsid w:val="006411A5"/>
    <w:rsid w:val="006417E5"/>
    <w:rsid w:val="00641D9D"/>
    <w:rsid w:val="006429F1"/>
    <w:rsid w:val="00643C39"/>
    <w:rsid w:val="00643E4A"/>
    <w:rsid w:val="00644466"/>
    <w:rsid w:val="0064539D"/>
    <w:rsid w:val="00645B1F"/>
    <w:rsid w:val="00645B34"/>
    <w:rsid w:val="00645CC8"/>
    <w:rsid w:val="00645CE0"/>
    <w:rsid w:val="0064602B"/>
    <w:rsid w:val="00646928"/>
    <w:rsid w:val="00646E07"/>
    <w:rsid w:val="00646ECB"/>
    <w:rsid w:val="0064728F"/>
    <w:rsid w:val="006477CD"/>
    <w:rsid w:val="00647BF1"/>
    <w:rsid w:val="00650BBC"/>
    <w:rsid w:val="00650EB6"/>
    <w:rsid w:val="00650FF9"/>
    <w:rsid w:val="00651585"/>
    <w:rsid w:val="006524D6"/>
    <w:rsid w:val="0065285B"/>
    <w:rsid w:val="006537C4"/>
    <w:rsid w:val="00653874"/>
    <w:rsid w:val="00653ADB"/>
    <w:rsid w:val="00653BF4"/>
    <w:rsid w:val="00654BF2"/>
    <w:rsid w:val="00654F28"/>
    <w:rsid w:val="006551FE"/>
    <w:rsid w:val="006552D7"/>
    <w:rsid w:val="006555B6"/>
    <w:rsid w:val="006556F5"/>
    <w:rsid w:val="006561C4"/>
    <w:rsid w:val="00656A44"/>
    <w:rsid w:val="00656DB8"/>
    <w:rsid w:val="006571C7"/>
    <w:rsid w:val="00657521"/>
    <w:rsid w:val="00657CBE"/>
    <w:rsid w:val="00657FA5"/>
    <w:rsid w:val="00660275"/>
    <w:rsid w:val="0066062F"/>
    <w:rsid w:val="00660634"/>
    <w:rsid w:val="00660ED4"/>
    <w:rsid w:val="00661FE4"/>
    <w:rsid w:val="00662059"/>
    <w:rsid w:val="00662C5A"/>
    <w:rsid w:val="00665416"/>
    <w:rsid w:val="0066574E"/>
    <w:rsid w:val="00665999"/>
    <w:rsid w:val="00665EEF"/>
    <w:rsid w:val="0066662C"/>
    <w:rsid w:val="00666679"/>
    <w:rsid w:val="0066694A"/>
    <w:rsid w:val="00666A13"/>
    <w:rsid w:val="00666CB7"/>
    <w:rsid w:val="00666CCA"/>
    <w:rsid w:val="00666F80"/>
    <w:rsid w:val="00667BF4"/>
    <w:rsid w:val="00667F53"/>
    <w:rsid w:val="00670392"/>
    <w:rsid w:val="006703E1"/>
    <w:rsid w:val="006709E6"/>
    <w:rsid w:val="00670BEA"/>
    <w:rsid w:val="00670CEA"/>
    <w:rsid w:val="00672645"/>
    <w:rsid w:val="00672EDC"/>
    <w:rsid w:val="00672F45"/>
    <w:rsid w:val="00673F18"/>
    <w:rsid w:val="0067438F"/>
    <w:rsid w:val="006754AE"/>
    <w:rsid w:val="00675545"/>
    <w:rsid w:val="00675A11"/>
    <w:rsid w:val="00675BB4"/>
    <w:rsid w:val="00675EC2"/>
    <w:rsid w:val="006761D8"/>
    <w:rsid w:val="00676DA3"/>
    <w:rsid w:val="00677AF0"/>
    <w:rsid w:val="00680169"/>
    <w:rsid w:val="00680343"/>
    <w:rsid w:val="00680A81"/>
    <w:rsid w:val="0068190E"/>
    <w:rsid w:val="006827CA"/>
    <w:rsid w:val="0068309B"/>
    <w:rsid w:val="00683713"/>
    <w:rsid w:val="00683D5B"/>
    <w:rsid w:val="00684174"/>
    <w:rsid w:val="0068463D"/>
    <w:rsid w:val="00684958"/>
    <w:rsid w:val="006849CA"/>
    <w:rsid w:val="0068505E"/>
    <w:rsid w:val="006852CB"/>
    <w:rsid w:val="006858EB"/>
    <w:rsid w:val="00685DD6"/>
    <w:rsid w:val="006860C5"/>
    <w:rsid w:val="00686110"/>
    <w:rsid w:val="00686428"/>
    <w:rsid w:val="0068644A"/>
    <w:rsid w:val="0068651C"/>
    <w:rsid w:val="00686649"/>
    <w:rsid w:val="00686B6E"/>
    <w:rsid w:val="00686BF5"/>
    <w:rsid w:val="00686CE6"/>
    <w:rsid w:val="006872BA"/>
    <w:rsid w:val="006874F7"/>
    <w:rsid w:val="00687DF8"/>
    <w:rsid w:val="0069054A"/>
    <w:rsid w:val="00690AA0"/>
    <w:rsid w:val="006917F9"/>
    <w:rsid w:val="00692BDF"/>
    <w:rsid w:val="00693F6E"/>
    <w:rsid w:val="0069430B"/>
    <w:rsid w:val="00694844"/>
    <w:rsid w:val="006949E9"/>
    <w:rsid w:val="00694F03"/>
    <w:rsid w:val="00694F27"/>
    <w:rsid w:val="00695380"/>
    <w:rsid w:val="00695A1E"/>
    <w:rsid w:val="00695BE3"/>
    <w:rsid w:val="00696147"/>
    <w:rsid w:val="006967BA"/>
    <w:rsid w:val="00696B11"/>
    <w:rsid w:val="00697903"/>
    <w:rsid w:val="00697CC7"/>
    <w:rsid w:val="00697D1C"/>
    <w:rsid w:val="006A08DB"/>
    <w:rsid w:val="006A0D46"/>
    <w:rsid w:val="006A0D9B"/>
    <w:rsid w:val="006A15F6"/>
    <w:rsid w:val="006A2414"/>
    <w:rsid w:val="006A2848"/>
    <w:rsid w:val="006A38E9"/>
    <w:rsid w:val="006A3B96"/>
    <w:rsid w:val="006A40F8"/>
    <w:rsid w:val="006A447B"/>
    <w:rsid w:val="006A4604"/>
    <w:rsid w:val="006A4E0A"/>
    <w:rsid w:val="006A4E92"/>
    <w:rsid w:val="006A5392"/>
    <w:rsid w:val="006A5C68"/>
    <w:rsid w:val="006A672B"/>
    <w:rsid w:val="006A67A5"/>
    <w:rsid w:val="006A67EC"/>
    <w:rsid w:val="006A6A9E"/>
    <w:rsid w:val="006A6E90"/>
    <w:rsid w:val="006A6F64"/>
    <w:rsid w:val="006A7513"/>
    <w:rsid w:val="006A7937"/>
    <w:rsid w:val="006B03B2"/>
    <w:rsid w:val="006B0AE4"/>
    <w:rsid w:val="006B1F6F"/>
    <w:rsid w:val="006B23D9"/>
    <w:rsid w:val="006B2657"/>
    <w:rsid w:val="006B27D9"/>
    <w:rsid w:val="006B2E79"/>
    <w:rsid w:val="006B3034"/>
    <w:rsid w:val="006B314B"/>
    <w:rsid w:val="006B33E3"/>
    <w:rsid w:val="006B40CB"/>
    <w:rsid w:val="006B4661"/>
    <w:rsid w:val="006B4AED"/>
    <w:rsid w:val="006B4C07"/>
    <w:rsid w:val="006B567C"/>
    <w:rsid w:val="006B60FB"/>
    <w:rsid w:val="006B618F"/>
    <w:rsid w:val="006B737E"/>
    <w:rsid w:val="006B7581"/>
    <w:rsid w:val="006B7952"/>
    <w:rsid w:val="006B7DE5"/>
    <w:rsid w:val="006C00A8"/>
    <w:rsid w:val="006C0B73"/>
    <w:rsid w:val="006C0D80"/>
    <w:rsid w:val="006C105D"/>
    <w:rsid w:val="006C1128"/>
    <w:rsid w:val="006C11F9"/>
    <w:rsid w:val="006C136A"/>
    <w:rsid w:val="006C13B1"/>
    <w:rsid w:val="006C15BC"/>
    <w:rsid w:val="006C1D43"/>
    <w:rsid w:val="006C249D"/>
    <w:rsid w:val="006C2B40"/>
    <w:rsid w:val="006C2CB0"/>
    <w:rsid w:val="006C2F44"/>
    <w:rsid w:val="006C372D"/>
    <w:rsid w:val="006C40EB"/>
    <w:rsid w:val="006C4117"/>
    <w:rsid w:val="006C4BEB"/>
    <w:rsid w:val="006C563A"/>
    <w:rsid w:val="006C581A"/>
    <w:rsid w:val="006C5B9F"/>
    <w:rsid w:val="006C5C3B"/>
    <w:rsid w:val="006C6378"/>
    <w:rsid w:val="006C70F2"/>
    <w:rsid w:val="006C71F8"/>
    <w:rsid w:val="006C7432"/>
    <w:rsid w:val="006D0004"/>
    <w:rsid w:val="006D01ED"/>
    <w:rsid w:val="006D02A0"/>
    <w:rsid w:val="006D079D"/>
    <w:rsid w:val="006D0CA4"/>
    <w:rsid w:val="006D0E06"/>
    <w:rsid w:val="006D1796"/>
    <w:rsid w:val="006D1A14"/>
    <w:rsid w:val="006D1CB7"/>
    <w:rsid w:val="006D258D"/>
    <w:rsid w:val="006D2E1B"/>
    <w:rsid w:val="006D3174"/>
    <w:rsid w:val="006D35FE"/>
    <w:rsid w:val="006D3E11"/>
    <w:rsid w:val="006D4239"/>
    <w:rsid w:val="006D4EFD"/>
    <w:rsid w:val="006D4F50"/>
    <w:rsid w:val="006D4FB4"/>
    <w:rsid w:val="006D52C5"/>
    <w:rsid w:val="006D5444"/>
    <w:rsid w:val="006D549C"/>
    <w:rsid w:val="006D5B43"/>
    <w:rsid w:val="006D5E3F"/>
    <w:rsid w:val="006D5F66"/>
    <w:rsid w:val="006D6220"/>
    <w:rsid w:val="006D6C75"/>
    <w:rsid w:val="006D6E3B"/>
    <w:rsid w:val="006D72F4"/>
    <w:rsid w:val="006D73CF"/>
    <w:rsid w:val="006D7705"/>
    <w:rsid w:val="006E083D"/>
    <w:rsid w:val="006E0D0B"/>
    <w:rsid w:val="006E15D0"/>
    <w:rsid w:val="006E173A"/>
    <w:rsid w:val="006E1F77"/>
    <w:rsid w:val="006E1FB6"/>
    <w:rsid w:val="006E2264"/>
    <w:rsid w:val="006E26F0"/>
    <w:rsid w:val="006E275A"/>
    <w:rsid w:val="006E2DA0"/>
    <w:rsid w:val="006E3374"/>
    <w:rsid w:val="006E3643"/>
    <w:rsid w:val="006E3954"/>
    <w:rsid w:val="006E3EFB"/>
    <w:rsid w:val="006E419C"/>
    <w:rsid w:val="006E42C4"/>
    <w:rsid w:val="006E439E"/>
    <w:rsid w:val="006E48D1"/>
    <w:rsid w:val="006E4AEE"/>
    <w:rsid w:val="006E54AE"/>
    <w:rsid w:val="006E5729"/>
    <w:rsid w:val="006E5967"/>
    <w:rsid w:val="006E5C1E"/>
    <w:rsid w:val="006E5E68"/>
    <w:rsid w:val="006E5FA6"/>
    <w:rsid w:val="006E5FE1"/>
    <w:rsid w:val="006E7A16"/>
    <w:rsid w:val="006F077B"/>
    <w:rsid w:val="006F0A7E"/>
    <w:rsid w:val="006F0CE4"/>
    <w:rsid w:val="006F0E24"/>
    <w:rsid w:val="006F0EF9"/>
    <w:rsid w:val="006F1352"/>
    <w:rsid w:val="006F15E8"/>
    <w:rsid w:val="006F1C23"/>
    <w:rsid w:val="006F285C"/>
    <w:rsid w:val="006F28A4"/>
    <w:rsid w:val="006F2BC0"/>
    <w:rsid w:val="006F2BD9"/>
    <w:rsid w:val="006F3F18"/>
    <w:rsid w:val="006F4367"/>
    <w:rsid w:val="006F43D8"/>
    <w:rsid w:val="006F4A7F"/>
    <w:rsid w:val="006F4E71"/>
    <w:rsid w:val="006F567A"/>
    <w:rsid w:val="006F573A"/>
    <w:rsid w:val="006F623B"/>
    <w:rsid w:val="006F6337"/>
    <w:rsid w:val="006F65A3"/>
    <w:rsid w:val="006F6969"/>
    <w:rsid w:val="006F7D03"/>
    <w:rsid w:val="007001C5"/>
    <w:rsid w:val="00700A98"/>
    <w:rsid w:val="00700C98"/>
    <w:rsid w:val="0070125F"/>
    <w:rsid w:val="007012AE"/>
    <w:rsid w:val="00701606"/>
    <w:rsid w:val="007018F4"/>
    <w:rsid w:val="007019BA"/>
    <w:rsid w:val="00701F57"/>
    <w:rsid w:val="0070259E"/>
    <w:rsid w:val="00702631"/>
    <w:rsid w:val="00702DFC"/>
    <w:rsid w:val="0070304B"/>
    <w:rsid w:val="00703105"/>
    <w:rsid w:val="0070323D"/>
    <w:rsid w:val="00703316"/>
    <w:rsid w:val="00704342"/>
    <w:rsid w:val="00704931"/>
    <w:rsid w:val="007049C8"/>
    <w:rsid w:val="00704E76"/>
    <w:rsid w:val="00705CE2"/>
    <w:rsid w:val="00705CF0"/>
    <w:rsid w:val="007064DD"/>
    <w:rsid w:val="0070657C"/>
    <w:rsid w:val="00706EFC"/>
    <w:rsid w:val="00706FB8"/>
    <w:rsid w:val="0071153E"/>
    <w:rsid w:val="00711C5B"/>
    <w:rsid w:val="007121E0"/>
    <w:rsid w:val="007127CE"/>
    <w:rsid w:val="0071470B"/>
    <w:rsid w:val="00714BC4"/>
    <w:rsid w:val="007150E7"/>
    <w:rsid w:val="007157D4"/>
    <w:rsid w:val="00715DF5"/>
    <w:rsid w:val="00716444"/>
    <w:rsid w:val="00716453"/>
    <w:rsid w:val="007168AC"/>
    <w:rsid w:val="00716D60"/>
    <w:rsid w:val="00716FBE"/>
    <w:rsid w:val="007173D9"/>
    <w:rsid w:val="0071756E"/>
    <w:rsid w:val="00717DD0"/>
    <w:rsid w:val="00717FA5"/>
    <w:rsid w:val="00720979"/>
    <w:rsid w:val="00720BED"/>
    <w:rsid w:val="00720DBC"/>
    <w:rsid w:val="00720DC5"/>
    <w:rsid w:val="007214FD"/>
    <w:rsid w:val="0072168C"/>
    <w:rsid w:val="0072185A"/>
    <w:rsid w:val="00722597"/>
    <w:rsid w:val="0072264C"/>
    <w:rsid w:val="00722B89"/>
    <w:rsid w:val="0072338D"/>
    <w:rsid w:val="00723442"/>
    <w:rsid w:val="00723458"/>
    <w:rsid w:val="00723682"/>
    <w:rsid w:val="00723951"/>
    <w:rsid w:val="00724159"/>
    <w:rsid w:val="0072470F"/>
    <w:rsid w:val="00724DD7"/>
    <w:rsid w:val="00725986"/>
    <w:rsid w:val="00725D0C"/>
    <w:rsid w:val="00725F79"/>
    <w:rsid w:val="007261D9"/>
    <w:rsid w:val="0072620C"/>
    <w:rsid w:val="00726402"/>
    <w:rsid w:val="007265A6"/>
    <w:rsid w:val="007270D4"/>
    <w:rsid w:val="0072747B"/>
    <w:rsid w:val="007274BF"/>
    <w:rsid w:val="00727BEF"/>
    <w:rsid w:val="00730314"/>
    <w:rsid w:val="00730383"/>
    <w:rsid w:val="00730776"/>
    <w:rsid w:val="00731044"/>
    <w:rsid w:val="007312EC"/>
    <w:rsid w:val="00731946"/>
    <w:rsid w:val="00731A4A"/>
    <w:rsid w:val="00731F1F"/>
    <w:rsid w:val="00731FBD"/>
    <w:rsid w:val="00732091"/>
    <w:rsid w:val="00732552"/>
    <w:rsid w:val="00732567"/>
    <w:rsid w:val="00733390"/>
    <w:rsid w:val="00734D06"/>
    <w:rsid w:val="00735430"/>
    <w:rsid w:val="0073555C"/>
    <w:rsid w:val="007365DA"/>
    <w:rsid w:val="007369B3"/>
    <w:rsid w:val="0073716A"/>
    <w:rsid w:val="00737B66"/>
    <w:rsid w:val="00737BEC"/>
    <w:rsid w:val="00737E86"/>
    <w:rsid w:val="007401C1"/>
    <w:rsid w:val="00740600"/>
    <w:rsid w:val="00740943"/>
    <w:rsid w:val="00740C03"/>
    <w:rsid w:val="0074100E"/>
    <w:rsid w:val="007418D5"/>
    <w:rsid w:val="007424E5"/>
    <w:rsid w:val="0074296F"/>
    <w:rsid w:val="007429E5"/>
    <w:rsid w:val="00742AF0"/>
    <w:rsid w:val="00742FE3"/>
    <w:rsid w:val="00743269"/>
    <w:rsid w:val="00743366"/>
    <w:rsid w:val="00744C76"/>
    <w:rsid w:val="007450E4"/>
    <w:rsid w:val="0074564D"/>
    <w:rsid w:val="00745AF0"/>
    <w:rsid w:val="00745E21"/>
    <w:rsid w:val="00746709"/>
    <w:rsid w:val="007472D7"/>
    <w:rsid w:val="00747A52"/>
    <w:rsid w:val="00750009"/>
    <w:rsid w:val="0075006D"/>
    <w:rsid w:val="00750B29"/>
    <w:rsid w:val="00751583"/>
    <w:rsid w:val="0075188E"/>
    <w:rsid w:val="00751D26"/>
    <w:rsid w:val="00752029"/>
    <w:rsid w:val="00752600"/>
    <w:rsid w:val="00752E22"/>
    <w:rsid w:val="00752F51"/>
    <w:rsid w:val="0075304D"/>
    <w:rsid w:val="00753171"/>
    <w:rsid w:val="00753174"/>
    <w:rsid w:val="007546CF"/>
    <w:rsid w:val="00754851"/>
    <w:rsid w:val="0075497B"/>
    <w:rsid w:val="00754995"/>
    <w:rsid w:val="00754BD5"/>
    <w:rsid w:val="0075545F"/>
    <w:rsid w:val="00755756"/>
    <w:rsid w:val="007558AB"/>
    <w:rsid w:val="00755BA7"/>
    <w:rsid w:val="00755BB1"/>
    <w:rsid w:val="00755CB6"/>
    <w:rsid w:val="00756025"/>
    <w:rsid w:val="0075609A"/>
    <w:rsid w:val="007569CA"/>
    <w:rsid w:val="00756ACD"/>
    <w:rsid w:val="00756D23"/>
    <w:rsid w:val="00756F59"/>
    <w:rsid w:val="00760113"/>
    <w:rsid w:val="007609C8"/>
    <w:rsid w:val="00760BB3"/>
    <w:rsid w:val="00760F32"/>
    <w:rsid w:val="007611A2"/>
    <w:rsid w:val="00761CFB"/>
    <w:rsid w:val="00762C20"/>
    <w:rsid w:val="00762C68"/>
    <w:rsid w:val="00763002"/>
    <w:rsid w:val="007632DB"/>
    <w:rsid w:val="00763459"/>
    <w:rsid w:val="00763C21"/>
    <w:rsid w:val="007640EB"/>
    <w:rsid w:val="007641DC"/>
    <w:rsid w:val="007642E8"/>
    <w:rsid w:val="007645F2"/>
    <w:rsid w:val="00764632"/>
    <w:rsid w:val="0076464D"/>
    <w:rsid w:val="007647BD"/>
    <w:rsid w:val="00764FA4"/>
    <w:rsid w:val="00765455"/>
    <w:rsid w:val="00765844"/>
    <w:rsid w:val="00765923"/>
    <w:rsid w:val="00765946"/>
    <w:rsid w:val="00765F1A"/>
    <w:rsid w:val="007664CD"/>
    <w:rsid w:val="0076654E"/>
    <w:rsid w:val="007674DA"/>
    <w:rsid w:val="0077106E"/>
    <w:rsid w:val="00771101"/>
    <w:rsid w:val="0077140B"/>
    <w:rsid w:val="00771CA4"/>
    <w:rsid w:val="00771E02"/>
    <w:rsid w:val="00772A13"/>
    <w:rsid w:val="00772B7F"/>
    <w:rsid w:val="00772F3A"/>
    <w:rsid w:val="007734B6"/>
    <w:rsid w:val="00773755"/>
    <w:rsid w:val="007742CA"/>
    <w:rsid w:val="0077438B"/>
    <w:rsid w:val="007756D6"/>
    <w:rsid w:val="007760C9"/>
    <w:rsid w:val="0077610C"/>
    <w:rsid w:val="0077623E"/>
    <w:rsid w:val="0077671D"/>
    <w:rsid w:val="0077694B"/>
    <w:rsid w:val="00777191"/>
    <w:rsid w:val="007779E2"/>
    <w:rsid w:val="00777CC0"/>
    <w:rsid w:val="0078074E"/>
    <w:rsid w:val="0078075A"/>
    <w:rsid w:val="00780F74"/>
    <w:rsid w:val="00780F9F"/>
    <w:rsid w:val="00781F03"/>
    <w:rsid w:val="007821C8"/>
    <w:rsid w:val="007821EA"/>
    <w:rsid w:val="00782976"/>
    <w:rsid w:val="00783936"/>
    <w:rsid w:val="00783C95"/>
    <w:rsid w:val="00784041"/>
    <w:rsid w:val="00784494"/>
    <w:rsid w:val="007845D5"/>
    <w:rsid w:val="0078476E"/>
    <w:rsid w:val="00784C6A"/>
    <w:rsid w:val="007851AB"/>
    <w:rsid w:val="0078560D"/>
    <w:rsid w:val="00786C20"/>
    <w:rsid w:val="007871C2"/>
    <w:rsid w:val="007876EE"/>
    <w:rsid w:val="00787C9C"/>
    <w:rsid w:val="007900B1"/>
    <w:rsid w:val="00790626"/>
    <w:rsid w:val="00790A02"/>
    <w:rsid w:val="00790B24"/>
    <w:rsid w:val="00790BC1"/>
    <w:rsid w:val="00790BFC"/>
    <w:rsid w:val="00790E9A"/>
    <w:rsid w:val="00791CE9"/>
    <w:rsid w:val="00791DB2"/>
    <w:rsid w:val="00791EEA"/>
    <w:rsid w:val="007938E4"/>
    <w:rsid w:val="007938E8"/>
    <w:rsid w:val="007939C4"/>
    <w:rsid w:val="00793AAF"/>
    <w:rsid w:val="0079403E"/>
    <w:rsid w:val="007940CF"/>
    <w:rsid w:val="007943A9"/>
    <w:rsid w:val="007944EE"/>
    <w:rsid w:val="00794AD1"/>
    <w:rsid w:val="00795194"/>
    <w:rsid w:val="00795224"/>
    <w:rsid w:val="007958DE"/>
    <w:rsid w:val="00795B24"/>
    <w:rsid w:val="00795D17"/>
    <w:rsid w:val="00795D30"/>
    <w:rsid w:val="00796FF4"/>
    <w:rsid w:val="00797407"/>
    <w:rsid w:val="00797A7E"/>
    <w:rsid w:val="00797DC4"/>
    <w:rsid w:val="007A0252"/>
    <w:rsid w:val="007A0D8E"/>
    <w:rsid w:val="007A15D7"/>
    <w:rsid w:val="007A191C"/>
    <w:rsid w:val="007A2D76"/>
    <w:rsid w:val="007A3A03"/>
    <w:rsid w:val="007A4584"/>
    <w:rsid w:val="007A45EB"/>
    <w:rsid w:val="007A49C8"/>
    <w:rsid w:val="007A651A"/>
    <w:rsid w:val="007A6983"/>
    <w:rsid w:val="007A73B0"/>
    <w:rsid w:val="007A75B1"/>
    <w:rsid w:val="007A7B64"/>
    <w:rsid w:val="007B0111"/>
    <w:rsid w:val="007B0A65"/>
    <w:rsid w:val="007B0DC5"/>
    <w:rsid w:val="007B2109"/>
    <w:rsid w:val="007B216C"/>
    <w:rsid w:val="007B251A"/>
    <w:rsid w:val="007B2F53"/>
    <w:rsid w:val="007B3072"/>
    <w:rsid w:val="007B30D5"/>
    <w:rsid w:val="007B33E7"/>
    <w:rsid w:val="007B3423"/>
    <w:rsid w:val="007B3810"/>
    <w:rsid w:val="007B3F69"/>
    <w:rsid w:val="007B4272"/>
    <w:rsid w:val="007B45BF"/>
    <w:rsid w:val="007B5563"/>
    <w:rsid w:val="007B5782"/>
    <w:rsid w:val="007B578B"/>
    <w:rsid w:val="007B5B7F"/>
    <w:rsid w:val="007B6252"/>
    <w:rsid w:val="007B6449"/>
    <w:rsid w:val="007B64C2"/>
    <w:rsid w:val="007B6A1D"/>
    <w:rsid w:val="007B732E"/>
    <w:rsid w:val="007B75B0"/>
    <w:rsid w:val="007B7DE7"/>
    <w:rsid w:val="007C029F"/>
    <w:rsid w:val="007C02D8"/>
    <w:rsid w:val="007C03A7"/>
    <w:rsid w:val="007C09AF"/>
    <w:rsid w:val="007C1204"/>
    <w:rsid w:val="007C14D1"/>
    <w:rsid w:val="007C1560"/>
    <w:rsid w:val="007C1EF0"/>
    <w:rsid w:val="007C1FF8"/>
    <w:rsid w:val="007C21FF"/>
    <w:rsid w:val="007C22B6"/>
    <w:rsid w:val="007C22CC"/>
    <w:rsid w:val="007C26A6"/>
    <w:rsid w:val="007C2882"/>
    <w:rsid w:val="007C28A2"/>
    <w:rsid w:val="007C29DE"/>
    <w:rsid w:val="007C2DE9"/>
    <w:rsid w:val="007C336F"/>
    <w:rsid w:val="007C36EA"/>
    <w:rsid w:val="007C3879"/>
    <w:rsid w:val="007C399B"/>
    <w:rsid w:val="007C3A7F"/>
    <w:rsid w:val="007C407E"/>
    <w:rsid w:val="007C408B"/>
    <w:rsid w:val="007C4902"/>
    <w:rsid w:val="007C4FF4"/>
    <w:rsid w:val="007C5185"/>
    <w:rsid w:val="007C6A98"/>
    <w:rsid w:val="007C6E6F"/>
    <w:rsid w:val="007C6F27"/>
    <w:rsid w:val="007C79D3"/>
    <w:rsid w:val="007C7C04"/>
    <w:rsid w:val="007C7D2C"/>
    <w:rsid w:val="007D0265"/>
    <w:rsid w:val="007D04E5"/>
    <w:rsid w:val="007D100C"/>
    <w:rsid w:val="007D15D4"/>
    <w:rsid w:val="007D1BBE"/>
    <w:rsid w:val="007D1E26"/>
    <w:rsid w:val="007D1F96"/>
    <w:rsid w:val="007D20F6"/>
    <w:rsid w:val="007D279E"/>
    <w:rsid w:val="007D2860"/>
    <w:rsid w:val="007D2C6C"/>
    <w:rsid w:val="007D3949"/>
    <w:rsid w:val="007D3B3D"/>
    <w:rsid w:val="007D3D0B"/>
    <w:rsid w:val="007D3DB2"/>
    <w:rsid w:val="007D42D3"/>
    <w:rsid w:val="007D46CA"/>
    <w:rsid w:val="007D4C8D"/>
    <w:rsid w:val="007D4D5D"/>
    <w:rsid w:val="007D5217"/>
    <w:rsid w:val="007D56D7"/>
    <w:rsid w:val="007D5916"/>
    <w:rsid w:val="007D6046"/>
    <w:rsid w:val="007D6663"/>
    <w:rsid w:val="007D6732"/>
    <w:rsid w:val="007D67E5"/>
    <w:rsid w:val="007D686E"/>
    <w:rsid w:val="007D7BB7"/>
    <w:rsid w:val="007E014D"/>
    <w:rsid w:val="007E01F0"/>
    <w:rsid w:val="007E1685"/>
    <w:rsid w:val="007E17A0"/>
    <w:rsid w:val="007E1A3F"/>
    <w:rsid w:val="007E1B55"/>
    <w:rsid w:val="007E2A58"/>
    <w:rsid w:val="007E2EE1"/>
    <w:rsid w:val="007E354D"/>
    <w:rsid w:val="007E3644"/>
    <w:rsid w:val="007E3B14"/>
    <w:rsid w:val="007E3B9C"/>
    <w:rsid w:val="007E43FF"/>
    <w:rsid w:val="007E49D0"/>
    <w:rsid w:val="007E538E"/>
    <w:rsid w:val="007E56E2"/>
    <w:rsid w:val="007E5709"/>
    <w:rsid w:val="007E61E9"/>
    <w:rsid w:val="007E654D"/>
    <w:rsid w:val="007E6DB6"/>
    <w:rsid w:val="007E6E73"/>
    <w:rsid w:val="007E78E5"/>
    <w:rsid w:val="007E7B7A"/>
    <w:rsid w:val="007F01C0"/>
    <w:rsid w:val="007F0A7A"/>
    <w:rsid w:val="007F0C40"/>
    <w:rsid w:val="007F0F1C"/>
    <w:rsid w:val="007F1466"/>
    <w:rsid w:val="007F1806"/>
    <w:rsid w:val="007F244B"/>
    <w:rsid w:val="007F2518"/>
    <w:rsid w:val="007F29DA"/>
    <w:rsid w:val="007F2F8B"/>
    <w:rsid w:val="007F321D"/>
    <w:rsid w:val="007F389B"/>
    <w:rsid w:val="007F40A1"/>
    <w:rsid w:val="007F519C"/>
    <w:rsid w:val="007F5352"/>
    <w:rsid w:val="007F550E"/>
    <w:rsid w:val="007F5861"/>
    <w:rsid w:val="007F5967"/>
    <w:rsid w:val="007F5EEA"/>
    <w:rsid w:val="007F645D"/>
    <w:rsid w:val="007F67C3"/>
    <w:rsid w:val="007F6E2E"/>
    <w:rsid w:val="007F6E9C"/>
    <w:rsid w:val="007F6F2B"/>
    <w:rsid w:val="007F714F"/>
    <w:rsid w:val="007F73BF"/>
    <w:rsid w:val="007F75E0"/>
    <w:rsid w:val="007F770B"/>
    <w:rsid w:val="007F7A40"/>
    <w:rsid w:val="00800061"/>
    <w:rsid w:val="0080089A"/>
    <w:rsid w:val="008015C1"/>
    <w:rsid w:val="00801775"/>
    <w:rsid w:val="00801B33"/>
    <w:rsid w:val="00801BF5"/>
    <w:rsid w:val="0080277E"/>
    <w:rsid w:val="00802BEC"/>
    <w:rsid w:val="00803615"/>
    <w:rsid w:val="00803B13"/>
    <w:rsid w:val="00803B3F"/>
    <w:rsid w:val="00804433"/>
    <w:rsid w:val="008045B0"/>
    <w:rsid w:val="008046BC"/>
    <w:rsid w:val="0080471F"/>
    <w:rsid w:val="00804DE7"/>
    <w:rsid w:val="00805B22"/>
    <w:rsid w:val="00805BD0"/>
    <w:rsid w:val="008060DF"/>
    <w:rsid w:val="00806279"/>
    <w:rsid w:val="00806D5B"/>
    <w:rsid w:val="008077B6"/>
    <w:rsid w:val="008078C9"/>
    <w:rsid w:val="00807F9A"/>
    <w:rsid w:val="008103D0"/>
    <w:rsid w:val="00810A7C"/>
    <w:rsid w:val="008112D8"/>
    <w:rsid w:val="008115F7"/>
    <w:rsid w:val="0081165C"/>
    <w:rsid w:val="00812E1B"/>
    <w:rsid w:val="0081304E"/>
    <w:rsid w:val="0081374C"/>
    <w:rsid w:val="00813F0A"/>
    <w:rsid w:val="00814B71"/>
    <w:rsid w:val="00815CE4"/>
    <w:rsid w:val="00816782"/>
    <w:rsid w:val="008168F4"/>
    <w:rsid w:val="00816A0A"/>
    <w:rsid w:val="00817332"/>
    <w:rsid w:val="0081760F"/>
    <w:rsid w:val="008176ED"/>
    <w:rsid w:val="00817A80"/>
    <w:rsid w:val="00817B0F"/>
    <w:rsid w:val="008200EA"/>
    <w:rsid w:val="00820B3C"/>
    <w:rsid w:val="00820DBE"/>
    <w:rsid w:val="008210FC"/>
    <w:rsid w:val="0082126C"/>
    <w:rsid w:val="00821D48"/>
    <w:rsid w:val="00822048"/>
    <w:rsid w:val="008224F8"/>
    <w:rsid w:val="00822590"/>
    <w:rsid w:val="00823721"/>
    <w:rsid w:val="00824338"/>
    <w:rsid w:val="00824D8C"/>
    <w:rsid w:val="00824F5F"/>
    <w:rsid w:val="008252BE"/>
    <w:rsid w:val="00825A76"/>
    <w:rsid w:val="00825CB4"/>
    <w:rsid w:val="00825D1C"/>
    <w:rsid w:val="00825D2B"/>
    <w:rsid w:val="00826988"/>
    <w:rsid w:val="00827B4A"/>
    <w:rsid w:val="00827B97"/>
    <w:rsid w:val="00827DC6"/>
    <w:rsid w:val="00831064"/>
    <w:rsid w:val="00831071"/>
    <w:rsid w:val="008311C3"/>
    <w:rsid w:val="0083142C"/>
    <w:rsid w:val="00831C82"/>
    <w:rsid w:val="00832560"/>
    <w:rsid w:val="00833959"/>
    <w:rsid w:val="00833CDC"/>
    <w:rsid w:val="00833E6B"/>
    <w:rsid w:val="008345B7"/>
    <w:rsid w:val="0083487A"/>
    <w:rsid w:val="008348FB"/>
    <w:rsid w:val="00834AA5"/>
    <w:rsid w:val="00834C93"/>
    <w:rsid w:val="00834DFE"/>
    <w:rsid w:val="00835D44"/>
    <w:rsid w:val="00835E08"/>
    <w:rsid w:val="00836340"/>
    <w:rsid w:val="00836562"/>
    <w:rsid w:val="00836CB6"/>
    <w:rsid w:val="00836E81"/>
    <w:rsid w:val="0083793F"/>
    <w:rsid w:val="00837A39"/>
    <w:rsid w:val="0084021D"/>
    <w:rsid w:val="0084039D"/>
    <w:rsid w:val="008405A0"/>
    <w:rsid w:val="00840BB4"/>
    <w:rsid w:val="00840D13"/>
    <w:rsid w:val="0084120B"/>
    <w:rsid w:val="0084149E"/>
    <w:rsid w:val="008418CE"/>
    <w:rsid w:val="00842A00"/>
    <w:rsid w:val="00842C8F"/>
    <w:rsid w:val="00842DE6"/>
    <w:rsid w:val="00842E93"/>
    <w:rsid w:val="00842E95"/>
    <w:rsid w:val="008433C1"/>
    <w:rsid w:val="008436EA"/>
    <w:rsid w:val="00843DB7"/>
    <w:rsid w:val="00844688"/>
    <w:rsid w:val="00844DB6"/>
    <w:rsid w:val="0084508D"/>
    <w:rsid w:val="00845D74"/>
    <w:rsid w:val="0084620E"/>
    <w:rsid w:val="008463C2"/>
    <w:rsid w:val="008464E2"/>
    <w:rsid w:val="00846B0E"/>
    <w:rsid w:val="00846FAC"/>
    <w:rsid w:val="00847A6F"/>
    <w:rsid w:val="00850067"/>
    <w:rsid w:val="00850187"/>
    <w:rsid w:val="00850608"/>
    <w:rsid w:val="0085099B"/>
    <w:rsid w:val="00850F18"/>
    <w:rsid w:val="0085149C"/>
    <w:rsid w:val="008516CD"/>
    <w:rsid w:val="0085202E"/>
    <w:rsid w:val="00852531"/>
    <w:rsid w:val="0085275C"/>
    <w:rsid w:val="00852C9F"/>
    <w:rsid w:val="00853468"/>
    <w:rsid w:val="00853769"/>
    <w:rsid w:val="00853885"/>
    <w:rsid w:val="00854472"/>
    <w:rsid w:val="00854A82"/>
    <w:rsid w:val="00854CD1"/>
    <w:rsid w:val="00854F96"/>
    <w:rsid w:val="00855464"/>
    <w:rsid w:val="008555A5"/>
    <w:rsid w:val="008556CD"/>
    <w:rsid w:val="008560F5"/>
    <w:rsid w:val="00857129"/>
    <w:rsid w:val="008572EA"/>
    <w:rsid w:val="008573EA"/>
    <w:rsid w:val="00857FFE"/>
    <w:rsid w:val="00860563"/>
    <w:rsid w:val="008613A1"/>
    <w:rsid w:val="0086184A"/>
    <w:rsid w:val="008618B0"/>
    <w:rsid w:val="00861922"/>
    <w:rsid w:val="008621C2"/>
    <w:rsid w:val="00862635"/>
    <w:rsid w:val="008629F5"/>
    <w:rsid w:val="008633D4"/>
    <w:rsid w:val="00863B2B"/>
    <w:rsid w:val="0086403D"/>
    <w:rsid w:val="00864133"/>
    <w:rsid w:val="00864249"/>
    <w:rsid w:val="00864378"/>
    <w:rsid w:val="0086493E"/>
    <w:rsid w:val="00864D14"/>
    <w:rsid w:val="00865DDB"/>
    <w:rsid w:val="0086668D"/>
    <w:rsid w:val="008670C3"/>
    <w:rsid w:val="00867A88"/>
    <w:rsid w:val="00867FC6"/>
    <w:rsid w:val="008700E9"/>
    <w:rsid w:val="0087035C"/>
    <w:rsid w:val="008717DF"/>
    <w:rsid w:val="00871CB1"/>
    <w:rsid w:val="00871FE6"/>
    <w:rsid w:val="00872520"/>
    <w:rsid w:val="00872A73"/>
    <w:rsid w:val="00872BF2"/>
    <w:rsid w:val="00873297"/>
    <w:rsid w:val="0087360C"/>
    <w:rsid w:val="0087375D"/>
    <w:rsid w:val="00874480"/>
    <w:rsid w:val="008747C4"/>
    <w:rsid w:val="008751C7"/>
    <w:rsid w:val="00875B40"/>
    <w:rsid w:val="008763F3"/>
    <w:rsid w:val="0087641B"/>
    <w:rsid w:val="00876584"/>
    <w:rsid w:val="00876716"/>
    <w:rsid w:val="008768BE"/>
    <w:rsid w:val="00876D6A"/>
    <w:rsid w:val="00876E80"/>
    <w:rsid w:val="00880B11"/>
    <w:rsid w:val="0088111E"/>
    <w:rsid w:val="00881525"/>
    <w:rsid w:val="00881928"/>
    <w:rsid w:val="00881BC8"/>
    <w:rsid w:val="00881DAC"/>
    <w:rsid w:val="00882712"/>
    <w:rsid w:val="008829F4"/>
    <w:rsid w:val="0088305F"/>
    <w:rsid w:val="00883144"/>
    <w:rsid w:val="00883342"/>
    <w:rsid w:val="008834AA"/>
    <w:rsid w:val="00883711"/>
    <w:rsid w:val="00883C08"/>
    <w:rsid w:val="008845AD"/>
    <w:rsid w:val="008845B3"/>
    <w:rsid w:val="00884783"/>
    <w:rsid w:val="008854C0"/>
    <w:rsid w:val="00885710"/>
    <w:rsid w:val="008859DD"/>
    <w:rsid w:val="0088699D"/>
    <w:rsid w:val="00887523"/>
    <w:rsid w:val="00887565"/>
    <w:rsid w:val="008904A6"/>
    <w:rsid w:val="00890678"/>
    <w:rsid w:val="008906D0"/>
    <w:rsid w:val="00890B09"/>
    <w:rsid w:val="00891032"/>
    <w:rsid w:val="008911F5"/>
    <w:rsid w:val="008917AC"/>
    <w:rsid w:val="008918D2"/>
    <w:rsid w:val="00891CD3"/>
    <w:rsid w:val="00891F96"/>
    <w:rsid w:val="00892308"/>
    <w:rsid w:val="008923FD"/>
    <w:rsid w:val="00892415"/>
    <w:rsid w:val="008925B0"/>
    <w:rsid w:val="0089292C"/>
    <w:rsid w:val="0089345F"/>
    <w:rsid w:val="00893987"/>
    <w:rsid w:val="008939F4"/>
    <w:rsid w:val="008945EA"/>
    <w:rsid w:val="0089486A"/>
    <w:rsid w:val="00894AB8"/>
    <w:rsid w:val="00894F4A"/>
    <w:rsid w:val="00895280"/>
    <w:rsid w:val="00895464"/>
    <w:rsid w:val="00895C53"/>
    <w:rsid w:val="00895D5F"/>
    <w:rsid w:val="00896042"/>
    <w:rsid w:val="00896295"/>
    <w:rsid w:val="0089630A"/>
    <w:rsid w:val="008970B0"/>
    <w:rsid w:val="008972CA"/>
    <w:rsid w:val="008973BE"/>
    <w:rsid w:val="00897547"/>
    <w:rsid w:val="0089784A"/>
    <w:rsid w:val="00897ED6"/>
    <w:rsid w:val="008A0872"/>
    <w:rsid w:val="008A0969"/>
    <w:rsid w:val="008A0994"/>
    <w:rsid w:val="008A0D7C"/>
    <w:rsid w:val="008A0F38"/>
    <w:rsid w:val="008A183A"/>
    <w:rsid w:val="008A1AE2"/>
    <w:rsid w:val="008A1C23"/>
    <w:rsid w:val="008A23B7"/>
    <w:rsid w:val="008A3364"/>
    <w:rsid w:val="008A363C"/>
    <w:rsid w:val="008A36C4"/>
    <w:rsid w:val="008A392C"/>
    <w:rsid w:val="008A3A0F"/>
    <w:rsid w:val="008A3A12"/>
    <w:rsid w:val="008A3B38"/>
    <w:rsid w:val="008A4925"/>
    <w:rsid w:val="008A59E9"/>
    <w:rsid w:val="008A5B04"/>
    <w:rsid w:val="008A5CBF"/>
    <w:rsid w:val="008A5F76"/>
    <w:rsid w:val="008A6920"/>
    <w:rsid w:val="008A6E11"/>
    <w:rsid w:val="008A71DC"/>
    <w:rsid w:val="008A743F"/>
    <w:rsid w:val="008A7E81"/>
    <w:rsid w:val="008B03DC"/>
    <w:rsid w:val="008B0C35"/>
    <w:rsid w:val="008B13DF"/>
    <w:rsid w:val="008B17B9"/>
    <w:rsid w:val="008B1BFC"/>
    <w:rsid w:val="008B1E16"/>
    <w:rsid w:val="008B1F3C"/>
    <w:rsid w:val="008B2BC3"/>
    <w:rsid w:val="008B3F86"/>
    <w:rsid w:val="008B40FF"/>
    <w:rsid w:val="008B4314"/>
    <w:rsid w:val="008B4435"/>
    <w:rsid w:val="008B48AA"/>
    <w:rsid w:val="008B4A4E"/>
    <w:rsid w:val="008B4B0A"/>
    <w:rsid w:val="008B4DCF"/>
    <w:rsid w:val="008B4E70"/>
    <w:rsid w:val="008B5376"/>
    <w:rsid w:val="008B551D"/>
    <w:rsid w:val="008B5DD0"/>
    <w:rsid w:val="008B5FA0"/>
    <w:rsid w:val="008B6004"/>
    <w:rsid w:val="008B6199"/>
    <w:rsid w:val="008B6268"/>
    <w:rsid w:val="008B62E1"/>
    <w:rsid w:val="008B6375"/>
    <w:rsid w:val="008B67C1"/>
    <w:rsid w:val="008B73F3"/>
    <w:rsid w:val="008B7B7F"/>
    <w:rsid w:val="008C0B13"/>
    <w:rsid w:val="008C0B6E"/>
    <w:rsid w:val="008C174E"/>
    <w:rsid w:val="008C3153"/>
    <w:rsid w:val="008C3E76"/>
    <w:rsid w:val="008C4218"/>
    <w:rsid w:val="008C42D1"/>
    <w:rsid w:val="008C49AC"/>
    <w:rsid w:val="008C4A1C"/>
    <w:rsid w:val="008C5BA1"/>
    <w:rsid w:val="008C6B62"/>
    <w:rsid w:val="008C7725"/>
    <w:rsid w:val="008C7DFC"/>
    <w:rsid w:val="008D028A"/>
    <w:rsid w:val="008D0991"/>
    <w:rsid w:val="008D0A53"/>
    <w:rsid w:val="008D15EC"/>
    <w:rsid w:val="008D17F1"/>
    <w:rsid w:val="008D2621"/>
    <w:rsid w:val="008D280C"/>
    <w:rsid w:val="008D2DE8"/>
    <w:rsid w:val="008D2E96"/>
    <w:rsid w:val="008D30BA"/>
    <w:rsid w:val="008D30C2"/>
    <w:rsid w:val="008D3B93"/>
    <w:rsid w:val="008D3D31"/>
    <w:rsid w:val="008D3F0E"/>
    <w:rsid w:val="008D3FEF"/>
    <w:rsid w:val="008D4C0A"/>
    <w:rsid w:val="008D4FC4"/>
    <w:rsid w:val="008D5081"/>
    <w:rsid w:val="008D5684"/>
    <w:rsid w:val="008D5A16"/>
    <w:rsid w:val="008D5A45"/>
    <w:rsid w:val="008D6898"/>
    <w:rsid w:val="008D757D"/>
    <w:rsid w:val="008D76B2"/>
    <w:rsid w:val="008D7FBD"/>
    <w:rsid w:val="008E1C39"/>
    <w:rsid w:val="008E224F"/>
    <w:rsid w:val="008E3A8E"/>
    <w:rsid w:val="008E3CE9"/>
    <w:rsid w:val="008E3DA4"/>
    <w:rsid w:val="008E4991"/>
    <w:rsid w:val="008E4AA8"/>
    <w:rsid w:val="008E4B25"/>
    <w:rsid w:val="008E4BBA"/>
    <w:rsid w:val="008E4FD5"/>
    <w:rsid w:val="008E50F7"/>
    <w:rsid w:val="008E5245"/>
    <w:rsid w:val="008E55EE"/>
    <w:rsid w:val="008E619E"/>
    <w:rsid w:val="008E6AFD"/>
    <w:rsid w:val="008F0201"/>
    <w:rsid w:val="008F0DA7"/>
    <w:rsid w:val="008F106F"/>
    <w:rsid w:val="008F1558"/>
    <w:rsid w:val="008F2108"/>
    <w:rsid w:val="008F2220"/>
    <w:rsid w:val="008F234C"/>
    <w:rsid w:val="008F28E1"/>
    <w:rsid w:val="008F2A88"/>
    <w:rsid w:val="008F35EF"/>
    <w:rsid w:val="008F36E7"/>
    <w:rsid w:val="008F3927"/>
    <w:rsid w:val="008F417A"/>
    <w:rsid w:val="008F48A2"/>
    <w:rsid w:val="008F4D23"/>
    <w:rsid w:val="008F4F7E"/>
    <w:rsid w:val="008F55B9"/>
    <w:rsid w:val="008F5A8C"/>
    <w:rsid w:val="008F5B1B"/>
    <w:rsid w:val="008F61E8"/>
    <w:rsid w:val="008F74E5"/>
    <w:rsid w:val="008F7917"/>
    <w:rsid w:val="008F7D61"/>
    <w:rsid w:val="00900296"/>
    <w:rsid w:val="009002F4"/>
    <w:rsid w:val="0090049F"/>
    <w:rsid w:val="009011C4"/>
    <w:rsid w:val="009011E8"/>
    <w:rsid w:val="00901258"/>
    <w:rsid w:val="009018F4"/>
    <w:rsid w:val="00901B84"/>
    <w:rsid w:val="00902112"/>
    <w:rsid w:val="0090221F"/>
    <w:rsid w:val="009024DC"/>
    <w:rsid w:val="009024F6"/>
    <w:rsid w:val="00902641"/>
    <w:rsid w:val="00902875"/>
    <w:rsid w:val="00902A25"/>
    <w:rsid w:val="00902A57"/>
    <w:rsid w:val="00902C00"/>
    <w:rsid w:val="00902FB2"/>
    <w:rsid w:val="00903008"/>
    <w:rsid w:val="009030B8"/>
    <w:rsid w:val="009032F4"/>
    <w:rsid w:val="00903541"/>
    <w:rsid w:val="00904F7D"/>
    <w:rsid w:val="00905372"/>
    <w:rsid w:val="00905CC6"/>
    <w:rsid w:val="009069F2"/>
    <w:rsid w:val="0090757C"/>
    <w:rsid w:val="00907928"/>
    <w:rsid w:val="00907F5C"/>
    <w:rsid w:val="00910373"/>
    <w:rsid w:val="00910B80"/>
    <w:rsid w:val="00912198"/>
    <w:rsid w:val="00912355"/>
    <w:rsid w:val="00912497"/>
    <w:rsid w:val="00912587"/>
    <w:rsid w:val="00912B07"/>
    <w:rsid w:val="00912E38"/>
    <w:rsid w:val="009137F8"/>
    <w:rsid w:val="00913B8E"/>
    <w:rsid w:val="00913CCF"/>
    <w:rsid w:val="00913FF7"/>
    <w:rsid w:val="00914A10"/>
    <w:rsid w:val="00915210"/>
    <w:rsid w:val="00915964"/>
    <w:rsid w:val="009160EF"/>
    <w:rsid w:val="00916509"/>
    <w:rsid w:val="00916924"/>
    <w:rsid w:val="00916EC6"/>
    <w:rsid w:val="009172DE"/>
    <w:rsid w:val="00917611"/>
    <w:rsid w:val="00917847"/>
    <w:rsid w:val="00917867"/>
    <w:rsid w:val="0091794F"/>
    <w:rsid w:val="00917AB4"/>
    <w:rsid w:val="00920101"/>
    <w:rsid w:val="00920364"/>
    <w:rsid w:val="00920E61"/>
    <w:rsid w:val="009211A6"/>
    <w:rsid w:val="0092121D"/>
    <w:rsid w:val="00921344"/>
    <w:rsid w:val="0092184B"/>
    <w:rsid w:val="00921C4D"/>
    <w:rsid w:val="009227F4"/>
    <w:rsid w:val="0092296A"/>
    <w:rsid w:val="00922987"/>
    <w:rsid w:val="00923175"/>
    <w:rsid w:val="0092399C"/>
    <w:rsid w:val="00923AE8"/>
    <w:rsid w:val="00924126"/>
    <w:rsid w:val="0092417E"/>
    <w:rsid w:val="009249BA"/>
    <w:rsid w:val="00925195"/>
    <w:rsid w:val="00925BC9"/>
    <w:rsid w:val="009265AF"/>
    <w:rsid w:val="009267D2"/>
    <w:rsid w:val="0092693D"/>
    <w:rsid w:val="009271B2"/>
    <w:rsid w:val="009276BC"/>
    <w:rsid w:val="00927A3C"/>
    <w:rsid w:val="00927C08"/>
    <w:rsid w:val="00931367"/>
    <w:rsid w:val="00931A16"/>
    <w:rsid w:val="00931CCD"/>
    <w:rsid w:val="00931F51"/>
    <w:rsid w:val="00932169"/>
    <w:rsid w:val="0093239E"/>
    <w:rsid w:val="00932540"/>
    <w:rsid w:val="00932632"/>
    <w:rsid w:val="00932786"/>
    <w:rsid w:val="009327C3"/>
    <w:rsid w:val="00933AF8"/>
    <w:rsid w:val="0093418B"/>
    <w:rsid w:val="009342EC"/>
    <w:rsid w:val="00935046"/>
    <w:rsid w:val="009352B0"/>
    <w:rsid w:val="00935427"/>
    <w:rsid w:val="009354BA"/>
    <w:rsid w:val="00936296"/>
    <w:rsid w:val="00936E34"/>
    <w:rsid w:val="00937F21"/>
    <w:rsid w:val="009400BF"/>
    <w:rsid w:val="00941174"/>
    <w:rsid w:val="00941238"/>
    <w:rsid w:val="00941464"/>
    <w:rsid w:val="00941515"/>
    <w:rsid w:val="0094161E"/>
    <w:rsid w:val="00941701"/>
    <w:rsid w:val="0094191D"/>
    <w:rsid w:val="00942347"/>
    <w:rsid w:val="00942EA4"/>
    <w:rsid w:val="009435AB"/>
    <w:rsid w:val="009435BA"/>
    <w:rsid w:val="00943DF6"/>
    <w:rsid w:val="00943F5E"/>
    <w:rsid w:val="0094499D"/>
    <w:rsid w:val="00944DA8"/>
    <w:rsid w:val="0094523E"/>
    <w:rsid w:val="00945866"/>
    <w:rsid w:val="00945A9C"/>
    <w:rsid w:val="00945F61"/>
    <w:rsid w:val="009468AA"/>
    <w:rsid w:val="00946D3F"/>
    <w:rsid w:val="00946DBC"/>
    <w:rsid w:val="0094715A"/>
    <w:rsid w:val="00947858"/>
    <w:rsid w:val="0094792D"/>
    <w:rsid w:val="00950695"/>
    <w:rsid w:val="00950777"/>
    <w:rsid w:val="00950861"/>
    <w:rsid w:val="00950B1B"/>
    <w:rsid w:val="00951A05"/>
    <w:rsid w:val="0095274B"/>
    <w:rsid w:val="00953069"/>
    <w:rsid w:val="0095335A"/>
    <w:rsid w:val="00953AD4"/>
    <w:rsid w:val="00953BAA"/>
    <w:rsid w:val="00953CD9"/>
    <w:rsid w:val="00953CF8"/>
    <w:rsid w:val="00954AF7"/>
    <w:rsid w:val="00956117"/>
    <w:rsid w:val="00956262"/>
    <w:rsid w:val="00956DA3"/>
    <w:rsid w:val="00957A8C"/>
    <w:rsid w:val="00960017"/>
    <w:rsid w:val="00960137"/>
    <w:rsid w:val="0096040F"/>
    <w:rsid w:val="009609B0"/>
    <w:rsid w:val="00960AD7"/>
    <w:rsid w:val="00960D94"/>
    <w:rsid w:val="00960FF5"/>
    <w:rsid w:val="009613D4"/>
    <w:rsid w:val="00962008"/>
    <w:rsid w:val="00962BFF"/>
    <w:rsid w:val="00962E37"/>
    <w:rsid w:val="009630BB"/>
    <w:rsid w:val="0096351D"/>
    <w:rsid w:val="009638C9"/>
    <w:rsid w:val="00963993"/>
    <w:rsid w:val="00964D10"/>
    <w:rsid w:val="00965223"/>
    <w:rsid w:val="00965590"/>
    <w:rsid w:val="00966212"/>
    <w:rsid w:val="0096624A"/>
    <w:rsid w:val="00966D35"/>
    <w:rsid w:val="009678DA"/>
    <w:rsid w:val="00967F60"/>
    <w:rsid w:val="00970788"/>
    <w:rsid w:val="00970B86"/>
    <w:rsid w:val="00971390"/>
    <w:rsid w:val="00971D6C"/>
    <w:rsid w:val="00971E49"/>
    <w:rsid w:val="00973650"/>
    <w:rsid w:val="0097382F"/>
    <w:rsid w:val="009739AE"/>
    <w:rsid w:val="00975168"/>
    <w:rsid w:val="0097576E"/>
    <w:rsid w:val="009757E5"/>
    <w:rsid w:val="00975D9C"/>
    <w:rsid w:val="00976D1A"/>
    <w:rsid w:val="00976DC7"/>
    <w:rsid w:val="00976E53"/>
    <w:rsid w:val="009777BB"/>
    <w:rsid w:val="009777E7"/>
    <w:rsid w:val="00977A68"/>
    <w:rsid w:val="00977CB2"/>
    <w:rsid w:val="00980094"/>
    <w:rsid w:val="0098055C"/>
    <w:rsid w:val="00980653"/>
    <w:rsid w:val="00980BBE"/>
    <w:rsid w:val="00980D29"/>
    <w:rsid w:val="00980DB4"/>
    <w:rsid w:val="00981272"/>
    <w:rsid w:val="0098175D"/>
    <w:rsid w:val="009818CA"/>
    <w:rsid w:val="00982785"/>
    <w:rsid w:val="00983D9B"/>
    <w:rsid w:val="00984578"/>
    <w:rsid w:val="00985354"/>
    <w:rsid w:val="00985609"/>
    <w:rsid w:val="009857A4"/>
    <w:rsid w:val="009862A8"/>
    <w:rsid w:val="009869D2"/>
    <w:rsid w:val="00987B88"/>
    <w:rsid w:val="00987F23"/>
    <w:rsid w:val="009902CF"/>
    <w:rsid w:val="009903A6"/>
    <w:rsid w:val="00990583"/>
    <w:rsid w:val="00990AA3"/>
    <w:rsid w:val="00990C10"/>
    <w:rsid w:val="00991039"/>
    <w:rsid w:val="009911FE"/>
    <w:rsid w:val="009916E1"/>
    <w:rsid w:val="00991A56"/>
    <w:rsid w:val="00991D05"/>
    <w:rsid w:val="00992D8C"/>
    <w:rsid w:val="009934C3"/>
    <w:rsid w:val="0099364E"/>
    <w:rsid w:val="00993C7D"/>
    <w:rsid w:val="00994368"/>
    <w:rsid w:val="00994C1F"/>
    <w:rsid w:val="00994D50"/>
    <w:rsid w:val="00995486"/>
    <w:rsid w:val="009962EF"/>
    <w:rsid w:val="0099698B"/>
    <w:rsid w:val="0099699D"/>
    <w:rsid w:val="00996D08"/>
    <w:rsid w:val="00997049"/>
    <w:rsid w:val="009972C0"/>
    <w:rsid w:val="00997BCE"/>
    <w:rsid w:val="00997D39"/>
    <w:rsid w:val="00997E37"/>
    <w:rsid w:val="009A0222"/>
    <w:rsid w:val="009A0765"/>
    <w:rsid w:val="009A07B3"/>
    <w:rsid w:val="009A07F8"/>
    <w:rsid w:val="009A1614"/>
    <w:rsid w:val="009A267D"/>
    <w:rsid w:val="009A285E"/>
    <w:rsid w:val="009A2E98"/>
    <w:rsid w:val="009A3031"/>
    <w:rsid w:val="009A33F8"/>
    <w:rsid w:val="009A3CE5"/>
    <w:rsid w:val="009A3D76"/>
    <w:rsid w:val="009A403B"/>
    <w:rsid w:val="009A428F"/>
    <w:rsid w:val="009A429D"/>
    <w:rsid w:val="009A4A64"/>
    <w:rsid w:val="009A4E66"/>
    <w:rsid w:val="009A51AD"/>
    <w:rsid w:val="009A547E"/>
    <w:rsid w:val="009A55A8"/>
    <w:rsid w:val="009A6553"/>
    <w:rsid w:val="009A7158"/>
    <w:rsid w:val="009A7466"/>
    <w:rsid w:val="009A74CC"/>
    <w:rsid w:val="009A7526"/>
    <w:rsid w:val="009A7645"/>
    <w:rsid w:val="009A7748"/>
    <w:rsid w:val="009A7E82"/>
    <w:rsid w:val="009B005A"/>
    <w:rsid w:val="009B02F3"/>
    <w:rsid w:val="009B04FE"/>
    <w:rsid w:val="009B15AA"/>
    <w:rsid w:val="009B1A16"/>
    <w:rsid w:val="009B3039"/>
    <w:rsid w:val="009B30EE"/>
    <w:rsid w:val="009B3596"/>
    <w:rsid w:val="009B3B8A"/>
    <w:rsid w:val="009B458D"/>
    <w:rsid w:val="009B45EE"/>
    <w:rsid w:val="009B5619"/>
    <w:rsid w:val="009B5688"/>
    <w:rsid w:val="009B573B"/>
    <w:rsid w:val="009B57F3"/>
    <w:rsid w:val="009B5964"/>
    <w:rsid w:val="009B5FE9"/>
    <w:rsid w:val="009B6198"/>
    <w:rsid w:val="009B63A2"/>
    <w:rsid w:val="009B6D6D"/>
    <w:rsid w:val="009B6E8B"/>
    <w:rsid w:val="009B75BC"/>
    <w:rsid w:val="009C0285"/>
    <w:rsid w:val="009C0A18"/>
    <w:rsid w:val="009C0D87"/>
    <w:rsid w:val="009C0F45"/>
    <w:rsid w:val="009C11D0"/>
    <w:rsid w:val="009C13CF"/>
    <w:rsid w:val="009C2303"/>
    <w:rsid w:val="009C3055"/>
    <w:rsid w:val="009C4B30"/>
    <w:rsid w:val="009C4F07"/>
    <w:rsid w:val="009C509F"/>
    <w:rsid w:val="009C51EB"/>
    <w:rsid w:val="009C5219"/>
    <w:rsid w:val="009C5291"/>
    <w:rsid w:val="009C53D6"/>
    <w:rsid w:val="009C5D6F"/>
    <w:rsid w:val="009C5E80"/>
    <w:rsid w:val="009C6148"/>
    <w:rsid w:val="009C6305"/>
    <w:rsid w:val="009C63E2"/>
    <w:rsid w:val="009C69E6"/>
    <w:rsid w:val="009C6EF2"/>
    <w:rsid w:val="009C7243"/>
    <w:rsid w:val="009C7605"/>
    <w:rsid w:val="009C7E4C"/>
    <w:rsid w:val="009D11A5"/>
    <w:rsid w:val="009D1A14"/>
    <w:rsid w:val="009D1A2C"/>
    <w:rsid w:val="009D205C"/>
    <w:rsid w:val="009D2DD3"/>
    <w:rsid w:val="009D32EE"/>
    <w:rsid w:val="009D4045"/>
    <w:rsid w:val="009D4333"/>
    <w:rsid w:val="009D468C"/>
    <w:rsid w:val="009D46F5"/>
    <w:rsid w:val="009D48A6"/>
    <w:rsid w:val="009D4DDB"/>
    <w:rsid w:val="009D5BB0"/>
    <w:rsid w:val="009D5EA5"/>
    <w:rsid w:val="009D6AAE"/>
    <w:rsid w:val="009D7019"/>
    <w:rsid w:val="009D7150"/>
    <w:rsid w:val="009D7431"/>
    <w:rsid w:val="009D763A"/>
    <w:rsid w:val="009E01E7"/>
    <w:rsid w:val="009E0325"/>
    <w:rsid w:val="009E1C39"/>
    <w:rsid w:val="009E28A5"/>
    <w:rsid w:val="009E2AE8"/>
    <w:rsid w:val="009E353B"/>
    <w:rsid w:val="009E3798"/>
    <w:rsid w:val="009E4256"/>
    <w:rsid w:val="009E4619"/>
    <w:rsid w:val="009E488F"/>
    <w:rsid w:val="009E578B"/>
    <w:rsid w:val="009E640D"/>
    <w:rsid w:val="009E687D"/>
    <w:rsid w:val="009E721C"/>
    <w:rsid w:val="009E7544"/>
    <w:rsid w:val="009F0189"/>
    <w:rsid w:val="009F024F"/>
    <w:rsid w:val="009F0DD8"/>
    <w:rsid w:val="009F0EF8"/>
    <w:rsid w:val="009F1218"/>
    <w:rsid w:val="009F146B"/>
    <w:rsid w:val="009F1867"/>
    <w:rsid w:val="009F1DB8"/>
    <w:rsid w:val="009F28DE"/>
    <w:rsid w:val="009F3345"/>
    <w:rsid w:val="009F35AE"/>
    <w:rsid w:val="009F36AD"/>
    <w:rsid w:val="009F3B79"/>
    <w:rsid w:val="009F3FA3"/>
    <w:rsid w:val="009F41CB"/>
    <w:rsid w:val="009F4346"/>
    <w:rsid w:val="009F4557"/>
    <w:rsid w:val="009F531D"/>
    <w:rsid w:val="009F5B6B"/>
    <w:rsid w:val="009F5C90"/>
    <w:rsid w:val="009F5D8A"/>
    <w:rsid w:val="009F5D9A"/>
    <w:rsid w:val="009F5E43"/>
    <w:rsid w:val="009F7F70"/>
    <w:rsid w:val="009F7FD5"/>
    <w:rsid w:val="00A00842"/>
    <w:rsid w:val="00A00B23"/>
    <w:rsid w:val="00A00E68"/>
    <w:rsid w:val="00A01AE2"/>
    <w:rsid w:val="00A01E35"/>
    <w:rsid w:val="00A022E4"/>
    <w:rsid w:val="00A0254D"/>
    <w:rsid w:val="00A02EF9"/>
    <w:rsid w:val="00A0329D"/>
    <w:rsid w:val="00A033BA"/>
    <w:rsid w:val="00A033EC"/>
    <w:rsid w:val="00A034AE"/>
    <w:rsid w:val="00A03CA9"/>
    <w:rsid w:val="00A03CD7"/>
    <w:rsid w:val="00A03D25"/>
    <w:rsid w:val="00A03D64"/>
    <w:rsid w:val="00A04901"/>
    <w:rsid w:val="00A050E5"/>
    <w:rsid w:val="00A05916"/>
    <w:rsid w:val="00A05AA0"/>
    <w:rsid w:val="00A05C5B"/>
    <w:rsid w:val="00A06006"/>
    <w:rsid w:val="00A06CBF"/>
    <w:rsid w:val="00A07913"/>
    <w:rsid w:val="00A07EF2"/>
    <w:rsid w:val="00A10758"/>
    <w:rsid w:val="00A1085F"/>
    <w:rsid w:val="00A10E4A"/>
    <w:rsid w:val="00A10EEE"/>
    <w:rsid w:val="00A110EB"/>
    <w:rsid w:val="00A111B9"/>
    <w:rsid w:val="00A11817"/>
    <w:rsid w:val="00A119FE"/>
    <w:rsid w:val="00A11C14"/>
    <w:rsid w:val="00A11FF7"/>
    <w:rsid w:val="00A127CB"/>
    <w:rsid w:val="00A1292C"/>
    <w:rsid w:val="00A13699"/>
    <w:rsid w:val="00A13987"/>
    <w:rsid w:val="00A148F6"/>
    <w:rsid w:val="00A1497C"/>
    <w:rsid w:val="00A14E93"/>
    <w:rsid w:val="00A14FB0"/>
    <w:rsid w:val="00A154FC"/>
    <w:rsid w:val="00A15AF4"/>
    <w:rsid w:val="00A165E9"/>
    <w:rsid w:val="00A16A6D"/>
    <w:rsid w:val="00A16D90"/>
    <w:rsid w:val="00A171D3"/>
    <w:rsid w:val="00A1730D"/>
    <w:rsid w:val="00A2031A"/>
    <w:rsid w:val="00A204E0"/>
    <w:rsid w:val="00A207E2"/>
    <w:rsid w:val="00A214ED"/>
    <w:rsid w:val="00A21C38"/>
    <w:rsid w:val="00A221C1"/>
    <w:rsid w:val="00A221F0"/>
    <w:rsid w:val="00A22731"/>
    <w:rsid w:val="00A227F0"/>
    <w:rsid w:val="00A2339E"/>
    <w:rsid w:val="00A233E1"/>
    <w:rsid w:val="00A23D1C"/>
    <w:rsid w:val="00A2424B"/>
    <w:rsid w:val="00A2437F"/>
    <w:rsid w:val="00A2483F"/>
    <w:rsid w:val="00A251B2"/>
    <w:rsid w:val="00A251FC"/>
    <w:rsid w:val="00A256CF"/>
    <w:rsid w:val="00A2598F"/>
    <w:rsid w:val="00A265B6"/>
    <w:rsid w:val="00A269E1"/>
    <w:rsid w:val="00A26C7B"/>
    <w:rsid w:val="00A27194"/>
    <w:rsid w:val="00A2780B"/>
    <w:rsid w:val="00A27BBD"/>
    <w:rsid w:val="00A30B23"/>
    <w:rsid w:val="00A31493"/>
    <w:rsid w:val="00A319C8"/>
    <w:rsid w:val="00A321AE"/>
    <w:rsid w:val="00A32376"/>
    <w:rsid w:val="00A32D21"/>
    <w:rsid w:val="00A333E0"/>
    <w:rsid w:val="00A33817"/>
    <w:rsid w:val="00A33CE8"/>
    <w:rsid w:val="00A345F1"/>
    <w:rsid w:val="00A34893"/>
    <w:rsid w:val="00A35032"/>
    <w:rsid w:val="00A35276"/>
    <w:rsid w:val="00A35308"/>
    <w:rsid w:val="00A358E9"/>
    <w:rsid w:val="00A35AA6"/>
    <w:rsid w:val="00A35D62"/>
    <w:rsid w:val="00A361D2"/>
    <w:rsid w:val="00A36754"/>
    <w:rsid w:val="00A36A18"/>
    <w:rsid w:val="00A36A19"/>
    <w:rsid w:val="00A36DA5"/>
    <w:rsid w:val="00A36FFE"/>
    <w:rsid w:val="00A373BF"/>
    <w:rsid w:val="00A375D2"/>
    <w:rsid w:val="00A376AE"/>
    <w:rsid w:val="00A37CC3"/>
    <w:rsid w:val="00A37D2B"/>
    <w:rsid w:val="00A401EA"/>
    <w:rsid w:val="00A4081A"/>
    <w:rsid w:val="00A40983"/>
    <w:rsid w:val="00A40BB2"/>
    <w:rsid w:val="00A40E78"/>
    <w:rsid w:val="00A40EE1"/>
    <w:rsid w:val="00A414FD"/>
    <w:rsid w:val="00A41BA3"/>
    <w:rsid w:val="00A42205"/>
    <w:rsid w:val="00A4260C"/>
    <w:rsid w:val="00A429A1"/>
    <w:rsid w:val="00A42D64"/>
    <w:rsid w:val="00A431E7"/>
    <w:rsid w:val="00A4375A"/>
    <w:rsid w:val="00A43DDF"/>
    <w:rsid w:val="00A44588"/>
    <w:rsid w:val="00A446BE"/>
    <w:rsid w:val="00A44D43"/>
    <w:rsid w:val="00A45066"/>
    <w:rsid w:val="00A45BF4"/>
    <w:rsid w:val="00A45CDD"/>
    <w:rsid w:val="00A45E5A"/>
    <w:rsid w:val="00A45F67"/>
    <w:rsid w:val="00A4631C"/>
    <w:rsid w:val="00A46385"/>
    <w:rsid w:val="00A464FE"/>
    <w:rsid w:val="00A46A30"/>
    <w:rsid w:val="00A46A8B"/>
    <w:rsid w:val="00A46E8B"/>
    <w:rsid w:val="00A47119"/>
    <w:rsid w:val="00A477E2"/>
    <w:rsid w:val="00A501C8"/>
    <w:rsid w:val="00A50423"/>
    <w:rsid w:val="00A505E1"/>
    <w:rsid w:val="00A50AE6"/>
    <w:rsid w:val="00A50BBF"/>
    <w:rsid w:val="00A514CF"/>
    <w:rsid w:val="00A516C8"/>
    <w:rsid w:val="00A5170D"/>
    <w:rsid w:val="00A51A43"/>
    <w:rsid w:val="00A51CC8"/>
    <w:rsid w:val="00A52014"/>
    <w:rsid w:val="00A524C6"/>
    <w:rsid w:val="00A525A4"/>
    <w:rsid w:val="00A5292A"/>
    <w:rsid w:val="00A52C50"/>
    <w:rsid w:val="00A53251"/>
    <w:rsid w:val="00A533F0"/>
    <w:rsid w:val="00A54CD2"/>
    <w:rsid w:val="00A54E7F"/>
    <w:rsid w:val="00A5525F"/>
    <w:rsid w:val="00A55518"/>
    <w:rsid w:val="00A55876"/>
    <w:rsid w:val="00A55A4B"/>
    <w:rsid w:val="00A55AE3"/>
    <w:rsid w:val="00A55CF1"/>
    <w:rsid w:val="00A55EEA"/>
    <w:rsid w:val="00A561EA"/>
    <w:rsid w:val="00A566A1"/>
    <w:rsid w:val="00A566E5"/>
    <w:rsid w:val="00A56AF5"/>
    <w:rsid w:val="00A57529"/>
    <w:rsid w:val="00A5791A"/>
    <w:rsid w:val="00A57B87"/>
    <w:rsid w:val="00A60EC5"/>
    <w:rsid w:val="00A625B7"/>
    <w:rsid w:val="00A62C71"/>
    <w:rsid w:val="00A62CE5"/>
    <w:rsid w:val="00A62D6A"/>
    <w:rsid w:val="00A63386"/>
    <w:rsid w:val="00A637AE"/>
    <w:rsid w:val="00A63A9B"/>
    <w:rsid w:val="00A63BBD"/>
    <w:rsid w:val="00A63D35"/>
    <w:rsid w:val="00A640EE"/>
    <w:rsid w:val="00A642EA"/>
    <w:rsid w:val="00A64420"/>
    <w:rsid w:val="00A645E9"/>
    <w:rsid w:val="00A64E20"/>
    <w:rsid w:val="00A65199"/>
    <w:rsid w:val="00A65213"/>
    <w:rsid w:val="00A6619C"/>
    <w:rsid w:val="00A665CA"/>
    <w:rsid w:val="00A66850"/>
    <w:rsid w:val="00A673C3"/>
    <w:rsid w:val="00A673E5"/>
    <w:rsid w:val="00A67583"/>
    <w:rsid w:val="00A67F0D"/>
    <w:rsid w:val="00A7028B"/>
    <w:rsid w:val="00A70410"/>
    <w:rsid w:val="00A70613"/>
    <w:rsid w:val="00A70626"/>
    <w:rsid w:val="00A70715"/>
    <w:rsid w:val="00A7071F"/>
    <w:rsid w:val="00A7072E"/>
    <w:rsid w:val="00A70E23"/>
    <w:rsid w:val="00A71DDC"/>
    <w:rsid w:val="00A72372"/>
    <w:rsid w:val="00A72780"/>
    <w:rsid w:val="00A72B48"/>
    <w:rsid w:val="00A72B7E"/>
    <w:rsid w:val="00A72BEA"/>
    <w:rsid w:val="00A72E96"/>
    <w:rsid w:val="00A73D54"/>
    <w:rsid w:val="00A741A6"/>
    <w:rsid w:val="00A746D2"/>
    <w:rsid w:val="00A74CBE"/>
    <w:rsid w:val="00A74E64"/>
    <w:rsid w:val="00A758B6"/>
    <w:rsid w:val="00A75E64"/>
    <w:rsid w:val="00A75F39"/>
    <w:rsid w:val="00A761B1"/>
    <w:rsid w:val="00A762DA"/>
    <w:rsid w:val="00A764AA"/>
    <w:rsid w:val="00A768D6"/>
    <w:rsid w:val="00A76C69"/>
    <w:rsid w:val="00A80A72"/>
    <w:rsid w:val="00A80C51"/>
    <w:rsid w:val="00A80F44"/>
    <w:rsid w:val="00A81144"/>
    <w:rsid w:val="00A81341"/>
    <w:rsid w:val="00A81878"/>
    <w:rsid w:val="00A81CB4"/>
    <w:rsid w:val="00A8250C"/>
    <w:rsid w:val="00A827D8"/>
    <w:rsid w:val="00A82C91"/>
    <w:rsid w:val="00A8312D"/>
    <w:rsid w:val="00A8368B"/>
    <w:rsid w:val="00A83C9C"/>
    <w:rsid w:val="00A843DD"/>
    <w:rsid w:val="00A84AC1"/>
    <w:rsid w:val="00A84AFF"/>
    <w:rsid w:val="00A8518C"/>
    <w:rsid w:val="00A860D4"/>
    <w:rsid w:val="00A874BD"/>
    <w:rsid w:val="00A87574"/>
    <w:rsid w:val="00A87789"/>
    <w:rsid w:val="00A879E2"/>
    <w:rsid w:val="00A87A52"/>
    <w:rsid w:val="00A87A53"/>
    <w:rsid w:val="00A87C70"/>
    <w:rsid w:val="00A90371"/>
    <w:rsid w:val="00A90E73"/>
    <w:rsid w:val="00A90F69"/>
    <w:rsid w:val="00A91A78"/>
    <w:rsid w:val="00A91BA2"/>
    <w:rsid w:val="00A91ED8"/>
    <w:rsid w:val="00A9272B"/>
    <w:rsid w:val="00A92884"/>
    <w:rsid w:val="00A93747"/>
    <w:rsid w:val="00A938B0"/>
    <w:rsid w:val="00A93A7E"/>
    <w:rsid w:val="00A94705"/>
    <w:rsid w:val="00A94AEC"/>
    <w:rsid w:val="00A94E4B"/>
    <w:rsid w:val="00A95F89"/>
    <w:rsid w:val="00A96047"/>
    <w:rsid w:val="00A961A4"/>
    <w:rsid w:val="00A96343"/>
    <w:rsid w:val="00A96540"/>
    <w:rsid w:val="00A97072"/>
    <w:rsid w:val="00A97677"/>
    <w:rsid w:val="00AA0480"/>
    <w:rsid w:val="00AA0580"/>
    <w:rsid w:val="00AA0823"/>
    <w:rsid w:val="00AA18F1"/>
    <w:rsid w:val="00AA24B0"/>
    <w:rsid w:val="00AA2826"/>
    <w:rsid w:val="00AA2861"/>
    <w:rsid w:val="00AA2B45"/>
    <w:rsid w:val="00AA2E20"/>
    <w:rsid w:val="00AA331E"/>
    <w:rsid w:val="00AA396F"/>
    <w:rsid w:val="00AA3BA2"/>
    <w:rsid w:val="00AA47BB"/>
    <w:rsid w:val="00AA53DC"/>
    <w:rsid w:val="00AA7068"/>
    <w:rsid w:val="00AA77DE"/>
    <w:rsid w:val="00AB0416"/>
    <w:rsid w:val="00AB08BE"/>
    <w:rsid w:val="00AB0AC5"/>
    <w:rsid w:val="00AB0E8A"/>
    <w:rsid w:val="00AB0E91"/>
    <w:rsid w:val="00AB1149"/>
    <w:rsid w:val="00AB1339"/>
    <w:rsid w:val="00AB1E3A"/>
    <w:rsid w:val="00AB2245"/>
    <w:rsid w:val="00AB2317"/>
    <w:rsid w:val="00AB333A"/>
    <w:rsid w:val="00AB39C6"/>
    <w:rsid w:val="00AB40DF"/>
    <w:rsid w:val="00AB4B3C"/>
    <w:rsid w:val="00AB4E32"/>
    <w:rsid w:val="00AB5424"/>
    <w:rsid w:val="00AB5526"/>
    <w:rsid w:val="00AB5540"/>
    <w:rsid w:val="00AB59DE"/>
    <w:rsid w:val="00AB5A01"/>
    <w:rsid w:val="00AB5E79"/>
    <w:rsid w:val="00AB6CA5"/>
    <w:rsid w:val="00AB72A8"/>
    <w:rsid w:val="00AB757E"/>
    <w:rsid w:val="00AB75EA"/>
    <w:rsid w:val="00AC0370"/>
    <w:rsid w:val="00AC0584"/>
    <w:rsid w:val="00AC06B5"/>
    <w:rsid w:val="00AC0B1B"/>
    <w:rsid w:val="00AC0EEA"/>
    <w:rsid w:val="00AC157E"/>
    <w:rsid w:val="00AC219A"/>
    <w:rsid w:val="00AC2BCF"/>
    <w:rsid w:val="00AC2DBE"/>
    <w:rsid w:val="00AC3213"/>
    <w:rsid w:val="00AC33F9"/>
    <w:rsid w:val="00AC3B7E"/>
    <w:rsid w:val="00AC3BD2"/>
    <w:rsid w:val="00AC403C"/>
    <w:rsid w:val="00AC4197"/>
    <w:rsid w:val="00AC4299"/>
    <w:rsid w:val="00AC442D"/>
    <w:rsid w:val="00AC557B"/>
    <w:rsid w:val="00AC5684"/>
    <w:rsid w:val="00AC5699"/>
    <w:rsid w:val="00AC57DF"/>
    <w:rsid w:val="00AC6761"/>
    <w:rsid w:val="00AC6800"/>
    <w:rsid w:val="00AC69FA"/>
    <w:rsid w:val="00AC6C0B"/>
    <w:rsid w:val="00AC6CBA"/>
    <w:rsid w:val="00AC7412"/>
    <w:rsid w:val="00AC7B6E"/>
    <w:rsid w:val="00AD0021"/>
    <w:rsid w:val="00AD00E2"/>
    <w:rsid w:val="00AD00F9"/>
    <w:rsid w:val="00AD03FA"/>
    <w:rsid w:val="00AD0D5E"/>
    <w:rsid w:val="00AD1201"/>
    <w:rsid w:val="00AD160B"/>
    <w:rsid w:val="00AD189D"/>
    <w:rsid w:val="00AD1D77"/>
    <w:rsid w:val="00AD228B"/>
    <w:rsid w:val="00AD34B8"/>
    <w:rsid w:val="00AD3FD4"/>
    <w:rsid w:val="00AD419B"/>
    <w:rsid w:val="00AD41A5"/>
    <w:rsid w:val="00AD4229"/>
    <w:rsid w:val="00AD4773"/>
    <w:rsid w:val="00AD54D5"/>
    <w:rsid w:val="00AD5B5B"/>
    <w:rsid w:val="00AD5C9E"/>
    <w:rsid w:val="00AD6168"/>
    <w:rsid w:val="00AD683D"/>
    <w:rsid w:val="00AD6A84"/>
    <w:rsid w:val="00AD728D"/>
    <w:rsid w:val="00AD7443"/>
    <w:rsid w:val="00AD7590"/>
    <w:rsid w:val="00AE00AA"/>
    <w:rsid w:val="00AE19A2"/>
    <w:rsid w:val="00AE2ACF"/>
    <w:rsid w:val="00AE2E03"/>
    <w:rsid w:val="00AE435C"/>
    <w:rsid w:val="00AE4672"/>
    <w:rsid w:val="00AE4D66"/>
    <w:rsid w:val="00AE54A4"/>
    <w:rsid w:val="00AE54FD"/>
    <w:rsid w:val="00AE56BB"/>
    <w:rsid w:val="00AE5BC5"/>
    <w:rsid w:val="00AE655C"/>
    <w:rsid w:val="00AE671F"/>
    <w:rsid w:val="00AE6CE0"/>
    <w:rsid w:val="00AE7549"/>
    <w:rsid w:val="00AE76A7"/>
    <w:rsid w:val="00AE7C8B"/>
    <w:rsid w:val="00AF2886"/>
    <w:rsid w:val="00AF2B04"/>
    <w:rsid w:val="00AF2D15"/>
    <w:rsid w:val="00AF3038"/>
    <w:rsid w:val="00AF33D3"/>
    <w:rsid w:val="00AF3423"/>
    <w:rsid w:val="00AF45A9"/>
    <w:rsid w:val="00AF4DB2"/>
    <w:rsid w:val="00AF4FF5"/>
    <w:rsid w:val="00AF53D4"/>
    <w:rsid w:val="00AF5419"/>
    <w:rsid w:val="00AF554D"/>
    <w:rsid w:val="00AF5709"/>
    <w:rsid w:val="00AF5FDD"/>
    <w:rsid w:val="00AF628C"/>
    <w:rsid w:val="00AF62F6"/>
    <w:rsid w:val="00AF6791"/>
    <w:rsid w:val="00AF6CA4"/>
    <w:rsid w:val="00AF6E67"/>
    <w:rsid w:val="00AF72F2"/>
    <w:rsid w:val="00AF7AFA"/>
    <w:rsid w:val="00AF7BBB"/>
    <w:rsid w:val="00AF7FCB"/>
    <w:rsid w:val="00B00152"/>
    <w:rsid w:val="00B00287"/>
    <w:rsid w:val="00B01182"/>
    <w:rsid w:val="00B0123E"/>
    <w:rsid w:val="00B017B4"/>
    <w:rsid w:val="00B01ACA"/>
    <w:rsid w:val="00B01C5A"/>
    <w:rsid w:val="00B02167"/>
    <w:rsid w:val="00B02F01"/>
    <w:rsid w:val="00B03293"/>
    <w:rsid w:val="00B03412"/>
    <w:rsid w:val="00B0349A"/>
    <w:rsid w:val="00B037D7"/>
    <w:rsid w:val="00B037D8"/>
    <w:rsid w:val="00B03A08"/>
    <w:rsid w:val="00B03EB3"/>
    <w:rsid w:val="00B03EFF"/>
    <w:rsid w:val="00B04308"/>
    <w:rsid w:val="00B051E4"/>
    <w:rsid w:val="00B05BD9"/>
    <w:rsid w:val="00B064CA"/>
    <w:rsid w:val="00B0702D"/>
    <w:rsid w:val="00B078FB"/>
    <w:rsid w:val="00B101CC"/>
    <w:rsid w:val="00B108DA"/>
    <w:rsid w:val="00B1092E"/>
    <w:rsid w:val="00B1110E"/>
    <w:rsid w:val="00B1127A"/>
    <w:rsid w:val="00B114AA"/>
    <w:rsid w:val="00B119CF"/>
    <w:rsid w:val="00B11DA4"/>
    <w:rsid w:val="00B122E2"/>
    <w:rsid w:val="00B12855"/>
    <w:rsid w:val="00B12F37"/>
    <w:rsid w:val="00B13097"/>
    <w:rsid w:val="00B13261"/>
    <w:rsid w:val="00B1382A"/>
    <w:rsid w:val="00B1400B"/>
    <w:rsid w:val="00B1509E"/>
    <w:rsid w:val="00B15C8A"/>
    <w:rsid w:val="00B163A0"/>
    <w:rsid w:val="00B16792"/>
    <w:rsid w:val="00B17128"/>
    <w:rsid w:val="00B17153"/>
    <w:rsid w:val="00B17289"/>
    <w:rsid w:val="00B172AB"/>
    <w:rsid w:val="00B173C6"/>
    <w:rsid w:val="00B1775D"/>
    <w:rsid w:val="00B17EBF"/>
    <w:rsid w:val="00B208BF"/>
    <w:rsid w:val="00B20ABA"/>
    <w:rsid w:val="00B21002"/>
    <w:rsid w:val="00B21742"/>
    <w:rsid w:val="00B21B34"/>
    <w:rsid w:val="00B21D0A"/>
    <w:rsid w:val="00B21DCC"/>
    <w:rsid w:val="00B220E6"/>
    <w:rsid w:val="00B224E8"/>
    <w:rsid w:val="00B22736"/>
    <w:rsid w:val="00B233F8"/>
    <w:rsid w:val="00B24BBD"/>
    <w:rsid w:val="00B24DE8"/>
    <w:rsid w:val="00B25223"/>
    <w:rsid w:val="00B2551D"/>
    <w:rsid w:val="00B262E8"/>
    <w:rsid w:val="00B2651C"/>
    <w:rsid w:val="00B26597"/>
    <w:rsid w:val="00B266F7"/>
    <w:rsid w:val="00B266FE"/>
    <w:rsid w:val="00B26976"/>
    <w:rsid w:val="00B26E73"/>
    <w:rsid w:val="00B27AB0"/>
    <w:rsid w:val="00B27FE5"/>
    <w:rsid w:val="00B300C1"/>
    <w:rsid w:val="00B3035A"/>
    <w:rsid w:val="00B30576"/>
    <w:rsid w:val="00B30816"/>
    <w:rsid w:val="00B30992"/>
    <w:rsid w:val="00B309BA"/>
    <w:rsid w:val="00B31112"/>
    <w:rsid w:val="00B31CDA"/>
    <w:rsid w:val="00B31E5E"/>
    <w:rsid w:val="00B31F42"/>
    <w:rsid w:val="00B31F4A"/>
    <w:rsid w:val="00B322DB"/>
    <w:rsid w:val="00B328C6"/>
    <w:rsid w:val="00B331F5"/>
    <w:rsid w:val="00B3351D"/>
    <w:rsid w:val="00B335E3"/>
    <w:rsid w:val="00B337F3"/>
    <w:rsid w:val="00B342BE"/>
    <w:rsid w:val="00B342D9"/>
    <w:rsid w:val="00B344EF"/>
    <w:rsid w:val="00B34A62"/>
    <w:rsid w:val="00B35A74"/>
    <w:rsid w:val="00B35AA6"/>
    <w:rsid w:val="00B35B60"/>
    <w:rsid w:val="00B3608A"/>
    <w:rsid w:val="00B360DB"/>
    <w:rsid w:val="00B36383"/>
    <w:rsid w:val="00B3708E"/>
    <w:rsid w:val="00B3747C"/>
    <w:rsid w:val="00B37E4E"/>
    <w:rsid w:val="00B40010"/>
    <w:rsid w:val="00B40406"/>
    <w:rsid w:val="00B40AE9"/>
    <w:rsid w:val="00B40E48"/>
    <w:rsid w:val="00B4180F"/>
    <w:rsid w:val="00B418D0"/>
    <w:rsid w:val="00B41F75"/>
    <w:rsid w:val="00B4210B"/>
    <w:rsid w:val="00B422A2"/>
    <w:rsid w:val="00B42609"/>
    <w:rsid w:val="00B42C82"/>
    <w:rsid w:val="00B444A5"/>
    <w:rsid w:val="00B444EA"/>
    <w:rsid w:val="00B44902"/>
    <w:rsid w:val="00B450D8"/>
    <w:rsid w:val="00B45376"/>
    <w:rsid w:val="00B453C0"/>
    <w:rsid w:val="00B45B03"/>
    <w:rsid w:val="00B46761"/>
    <w:rsid w:val="00B4680D"/>
    <w:rsid w:val="00B46D81"/>
    <w:rsid w:val="00B47235"/>
    <w:rsid w:val="00B47246"/>
    <w:rsid w:val="00B477C3"/>
    <w:rsid w:val="00B47F56"/>
    <w:rsid w:val="00B50122"/>
    <w:rsid w:val="00B5097F"/>
    <w:rsid w:val="00B50AFC"/>
    <w:rsid w:val="00B50F94"/>
    <w:rsid w:val="00B5128E"/>
    <w:rsid w:val="00B51C26"/>
    <w:rsid w:val="00B525D3"/>
    <w:rsid w:val="00B52B5D"/>
    <w:rsid w:val="00B52E38"/>
    <w:rsid w:val="00B5327C"/>
    <w:rsid w:val="00B53506"/>
    <w:rsid w:val="00B5375F"/>
    <w:rsid w:val="00B53B82"/>
    <w:rsid w:val="00B53D56"/>
    <w:rsid w:val="00B54C8D"/>
    <w:rsid w:val="00B54F19"/>
    <w:rsid w:val="00B55166"/>
    <w:rsid w:val="00B551A3"/>
    <w:rsid w:val="00B55733"/>
    <w:rsid w:val="00B55A02"/>
    <w:rsid w:val="00B55A5C"/>
    <w:rsid w:val="00B56395"/>
    <w:rsid w:val="00B5666A"/>
    <w:rsid w:val="00B576BD"/>
    <w:rsid w:val="00B576FD"/>
    <w:rsid w:val="00B57BA1"/>
    <w:rsid w:val="00B60618"/>
    <w:rsid w:val="00B607C0"/>
    <w:rsid w:val="00B6081F"/>
    <w:rsid w:val="00B60AEE"/>
    <w:rsid w:val="00B60C9F"/>
    <w:rsid w:val="00B611F2"/>
    <w:rsid w:val="00B61568"/>
    <w:rsid w:val="00B61780"/>
    <w:rsid w:val="00B61BC1"/>
    <w:rsid w:val="00B61E37"/>
    <w:rsid w:val="00B6202C"/>
    <w:rsid w:val="00B62349"/>
    <w:rsid w:val="00B62D6B"/>
    <w:rsid w:val="00B632DC"/>
    <w:rsid w:val="00B63371"/>
    <w:rsid w:val="00B636E1"/>
    <w:rsid w:val="00B63D28"/>
    <w:rsid w:val="00B63E49"/>
    <w:rsid w:val="00B63F2B"/>
    <w:rsid w:val="00B6446F"/>
    <w:rsid w:val="00B647D6"/>
    <w:rsid w:val="00B64829"/>
    <w:rsid w:val="00B65044"/>
    <w:rsid w:val="00B655BD"/>
    <w:rsid w:val="00B65FD9"/>
    <w:rsid w:val="00B6606D"/>
    <w:rsid w:val="00B670E4"/>
    <w:rsid w:val="00B67622"/>
    <w:rsid w:val="00B71125"/>
    <w:rsid w:val="00B714B9"/>
    <w:rsid w:val="00B71C1F"/>
    <w:rsid w:val="00B721FC"/>
    <w:rsid w:val="00B72229"/>
    <w:rsid w:val="00B72890"/>
    <w:rsid w:val="00B7300E"/>
    <w:rsid w:val="00B73821"/>
    <w:rsid w:val="00B73BE0"/>
    <w:rsid w:val="00B73C78"/>
    <w:rsid w:val="00B73E53"/>
    <w:rsid w:val="00B74686"/>
    <w:rsid w:val="00B7482E"/>
    <w:rsid w:val="00B74BFC"/>
    <w:rsid w:val="00B75208"/>
    <w:rsid w:val="00B75EE3"/>
    <w:rsid w:val="00B77A2E"/>
    <w:rsid w:val="00B810C4"/>
    <w:rsid w:val="00B814F8"/>
    <w:rsid w:val="00B817FC"/>
    <w:rsid w:val="00B82028"/>
    <w:rsid w:val="00B8213F"/>
    <w:rsid w:val="00B82281"/>
    <w:rsid w:val="00B823F0"/>
    <w:rsid w:val="00B833FE"/>
    <w:rsid w:val="00B83F59"/>
    <w:rsid w:val="00B84C02"/>
    <w:rsid w:val="00B84E8A"/>
    <w:rsid w:val="00B857B2"/>
    <w:rsid w:val="00B8580B"/>
    <w:rsid w:val="00B85917"/>
    <w:rsid w:val="00B8605F"/>
    <w:rsid w:val="00B860DB"/>
    <w:rsid w:val="00B86231"/>
    <w:rsid w:val="00B86B88"/>
    <w:rsid w:val="00B86C59"/>
    <w:rsid w:val="00B872F9"/>
    <w:rsid w:val="00B8732C"/>
    <w:rsid w:val="00B875EB"/>
    <w:rsid w:val="00B900E6"/>
    <w:rsid w:val="00B9029C"/>
    <w:rsid w:val="00B9053D"/>
    <w:rsid w:val="00B90799"/>
    <w:rsid w:val="00B909D8"/>
    <w:rsid w:val="00B90CCE"/>
    <w:rsid w:val="00B9117D"/>
    <w:rsid w:val="00B9145A"/>
    <w:rsid w:val="00B915A1"/>
    <w:rsid w:val="00B91762"/>
    <w:rsid w:val="00B92489"/>
    <w:rsid w:val="00B92B35"/>
    <w:rsid w:val="00B92D0C"/>
    <w:rsid w:val="00B9312A"/>
    <w:rsid w:val="00B931B7"/>
    <w:rsid w:val="00B932EE"/>
    <w:rsid w:val="00B9330C"/>
    <w:rsid w:val="00B93541"/>
    <w:rsid w:val="00B93A58"/>
    <w:rsid w:val="00B93AE5"/>
    <w:rsid w:val="00B941B9"/>
    <w:rsid w:val="00B94691"/>
    <w:rsid w:val="00B94786"/>
    <w:rsid w:val="00B94823"/>
    <w:rsid w:val="00B9488E"/>
    <w:rsid w:val="00B9501B"/>
    <w:rsid w:val="00B950E9"/>
    <w:rsid w:val="00B952E7"/>
    <w:rsid w:val="00B968B3"/>
    <w:rsid w:val="00B968B7"/>
    <w:rsid w:val="00B96BED"/>
    <w:rsid w:val="00B96C7E"/>
    <w:rsid w:val="00B96FB5"/>
    <w:rsid w:val="00B9751D"/>
    <w:rsid w:val="00B976E8"/>
    <w:rsid w:val="00B97C8D"/>
    <w:rsid w:val="00BA03B9"/>
    <w:rsid w:val="00BA0524"/>
    <w:rsid w:val="00BA078C"/>
    <w:rsid w:val="00BA09ED"/>
    <w:rsid w:val="00BA0C39"/>
    <w:rsid w:val="00BA0D47"/>
    <w:rsid w:val="00BA0E08"/>
    <w:rsid w:val="00BA123B"/>
    <w:rsid w:val="00BA1474"/>
    <w:rsid w:val="00BA16A4"/>
    <w:rsid w:val="00BA1CDC"/>
    <w:rsid w:val="00BA20DB"/>
    <w:rsid w:val="00BA2750"/>
    <w:rsid w:val="00BA328A"/>
    <w:rsid w:val="00BA32EB"/>
    <w:rsid w:val="00BA39E2"/>
    <w:rsid w:val="00BA3B26"/>
    <w:rsid w:val="00BA3C10"/>
    <w:rsid w:val="00BA4953"/>
    <w:rsid w:val="00BA4FFE"/>
    <w:rsid w:val="00BA5119"/>
    <w:rsid w:val="00BA52AB"/>
    <w:rsid w:val="00BA541C"/>
    <w:rsid w:val="00BA5524"/>
    <w:rsid w:val="00BA5D35"/>
    <w:rsid w:val="00BA5E77"/>
    <w:rsid w:val="00BA61F0"/>
    <w:rsid w:val="00BA6B84"/>
    <w:rsid w:val="00BA73E1"/>
    <w:rsid w:val="00BA76F3"/>
    <w:rsid w:val="00BA785B"/>
    <w:rsid w:val="00BA79C5"/>
    <w:rsid w:val="00BA7B9D"/>
    <w:rsid w:val="00BA7C89"/>
    <w:rsid w:val="00BA7E32"/>
    <w:rsid w:val="00BB036F"/>
    <w:rsid w:val="00BB0436"/>
    <w:rsid w:val="00BB06ED"/>
    <w:rsid w:val="00BB08A5"/>
    <w:rsid w:val="00BB0D64"/>
    <w:rsid w:val="00BB1020"/>
    <w:rsid w:val="00BB114B"/>
    <w:rsid w:val="00BB1689"/>
    <w:rsid w:val="00BB2590"/>
    <w:rsid w:val="00BB289A"/>
    <w:rsid w:val="00BB2ABA"/>
    <w:rsid w:val="00BB2BBB"/>
    <w:rsid w:val="00BB3522"/>
    <w:rsid w:val="00BB3835"/>
    <w:rsid w:val="00BB3AFC"/>
    <w:rsid w:val="00BB3D00"/>
    <w:rsid w:val="00BB4059"/>
    <w:rsid w:val="00BB4068"/>
    <w:rsid w:val="00BB41BE"/>
    <w:rsid w:val="00BB5012"/>
    <w:rsid w:val="00BB5675"/>
    <w:rsid w:val="00BB5878"/>
    <w:rsid w:val="00BB58B6"/>
    <w:rsid w:val="00BB5F4D"/>
    <w:rsid w:val="00BB6392"/>
    <w:rsid w:val="00BB64B7"/>
    <w:rsid w:val="00BB7696"/>
    <w:rsid w:val="00BB79BE"/>
    <w:rsid w:val="00BB7BE2"/>
    <w:rsid w:val="00BB7DC2"/>
    <w:rsid w:val="00BC0376"/>
    <w:rsid w:val="00BC038E"/>
    <w:rsid w:val="00BC06EB"/>
    <w:rsid w:val="00BC0895"/>
    <w:rsid w:val="00BC0AC4"/>
    <w:rsid w:val="00BC1218"/>
    <w:rsid w:val="00BC1F5E"/>
    <w:rsid w:val="00BC2911"/>
    <w:rsid w:val="00BC2BB6"/>
    <w:rsid w:val="00BC2D2F"/>
    <w:rsid w:val="00BC2DD4"/>
    <w:rsid w:val="00BC3004"/>
    <w:rsid w:val="00BC372F"/>
    <w:rsid w:val="00BC3880"/>
    <w:rsid w:val="00BC39F2"/>
    <w:rsid w:val="00BC3A57"/>
    <w:rsid w:val="00BC3B1B"/>
    <w:rsid w:val="00BC4BBE"/>
    <w:rsid w:val="00BC4E9C"/>
    <w:rsid w:val="00BC5A76"/>
    <w:rsid w:val="00BC6132"/>
    <w:rsid w:val="00BC63C9"/>
    <w:rsid w:val="00BC6709"/>
    <w:rsid w:val="00BD032B"/>
    <w:rsid w:val="00BD04E5"/>
    <w:rsid w:val="00BD052B"/>
    <w:rsid w:val="00BD0785"/>
    <w:rsid w:val="00BD13E1"/>
    <w:rsid w:val="00BD1660"/>
    <w:rsid w:val="00BD1BB5"/>
    <w:rsid w:val="00BD1CC1"/>
    <w:rsid w:val="00BD22A4"/>
    <w:rsid w:val="00BD2457"/>
    <w:rsid w:val="00BD2C2B"/>
    <w:rsid w:val="00BD3259"/>
    <w:rsid w:val="00BD3290"/>
    <w:rsid w:val="00BD3433"/>
    <w:rsid w:val="00BD3823"/>
    <w:rsid w:val="00BD40CA"/>
    <w:rsid w:val="00BD47B8"/>
    <w:rsid w:val="00BD4880"/>
    <w:rsid w:val="00BD49A8"/>
    <w:rsid w:val="00BD4AA1"/>
    <w:rsid w:val="00BD658A"/>
    <w:rsid w:val="00BD7023"/>
    <w:rsid w:val="00BE027D"/>
    <w:rsid w:val="00BE03EF"/>
    <w:rsid w:val="00BE05EF"/>
    <w:rsid w:val="00BE0731"/>
    <w:rsid w:val="00BE18B6"/>
    <w:rsid w:val="00BE2996"/>
    <w:rsid w:val="00BE2DE3"/>
    <w:rsid w:val="00BE30D5"/>
    <w:rsid w:val="00BE3178"/>
    <w:rsid w:val="00BE32CD"/>
    <w:rsid w:val="00BE4237"/>
    <w:rsid w:val="00BE46B0"/>
    <w:rsid w:val="00BE5529"/>
    <w:rsid w:val="00BE5C19"/>
    <w:rsid w:val="00BE655A"/>
    <w:rsid w:val="00BE68EC"/>
    <w:rsid w:val="00BE690B"/>
    <w:rsid w:val="00BE6E82"/>
    <w:rsid w:val="00BE74E8"/>
    <w:rsid w:val="00BE74FC"/>
    <w:rsid w:val="00BE753E"/>
    <w:rsid w:val="00BE7A5E"/>
    <w:rsid w:val="00BF048C"/>
    <w:rsid w:val="00BF06CF"/>
    <w:rsid w:val="00BF0968"/>
    <w:rsid w:val="00BF0BD2"/>
    <w:rsid w:val="00BF0ED9"/>
    <w:rsid w:val="00BF1698"/>
    <w:rsid w:val="00BF1D6E"/>
    <w:rsid w:val="00BF307C"/>
    <w:rsid w:val="00BF33D6"/>
    <w:rsid w:val="00BF385A"/>
    <w:rsid w:val="00BF3908"/>
    <w:rsid w:val="00BF3B9C"/>
    <w:rsid w:val="00BF48C9"/>
    <w:rsid w:val="00BF49A9"/>
    <w:rsid w:val="00BF4EBA"/>
    <w:rsid w:val="00BF4FE3"/>
    <w:rsid w:val="00BF536E"/>
    <w:rsid w:val="00BF5D26"/>
    <w:rsid w:val="00BF5F0E"/>
    <w:rsid w:val="00BF69D9"/>
    <w:rsid w:val="00BF71CB"/>
    <w:rsid w:val="00BF7B32"/>
    <w:rsid w:val="00BF7BA9"/>
    <w:rsid w:val="00C009FF"/>
    <w:rsid w:val="00C00D7D"/>
    <w:rsid w:val="00C01328"/>
    <w:rsid w:val="00C01A05"/>
    <w:rsid w:val="00C01D11"/>
    <w:rsid w:val="00C0233B"/>
    <w:rsid w:val="00C02D88"/>
    <w:rsid w:val="00C0302E"/>
    <w:rsid w:val="00C03033"/>
    <w:rsid w:val="00C037C6"/>
    <w:rsid w:val="00C03862"/>
    <w:rsid w:val="00C0458A"/>
    <w:rsid w:val="00C04B76"/>
    <w:rsid w:val="00C04D51"/>
    <w:rsid w:val="00C04E6D"/>
    <w:rsid w:val="00C04F36"/>
    <w:rsid w:val="00C054C2"/>
    <w:rsid w:val="00C05978"/>
    <w:rsid w:val="00C05D1B"/>
    <w:rsid w:val="00C063E0"/>
    <w:rsid w:val="00C0666C"/>
    <w:rsid w:val="00C0728C"/>
    <w:rsid w:val="00C07A0A"/>
    <w:rsid w:val="00C07F0A"/>
    <w:rsid w:val="00C10434"/>
    <w:rsid w:val="00C10794"/>
    <w:rsid w:val="00C107A2"/>
    <w:rsid w:val="00C109F8"/>
    <w:rsid w:val="00C111B0"/>
    <w:rsid w:val="00C114C7"/>
    <w:rsid w:val="00C12201"/>
    <w:rsid w:val="00C12203"/>
    <w:rsid w:val="00C12583"/>
    <w:rsid w:val="00C130A9"/>
    <w:rsid w:val="00C13305"/>
    <w:rsid w:val="00C135D0"/>
    <w:rsid w:val="00C13741"/>
    <w:rsid w:val="00C13C36"/>
    <w:rsid w:val="00C13D2B"/>
    <w:rsid w:val="00C13F67"/>
    <w:rsid w:val="00C1471A"/>
    <w:rsid w:val="00C1479F"/>
    <w:rsid w:val="00C14896"/>
    <w:rsid w:val="00C154D6"/>
    <w:rsid w:val="00C158E2"/>
    <w:rsid w:val="00C15A8B"/>
    <w:rsid w:val="00C15AEB"/>
    <w:rsid w:val="00C15D94"/>
    <w:rsid w:val="00C15FA2"/>
    <w:rsid w:val="00C1646D"/>
    <w:rsid w:val="00C167B2"/>
    <w:rsid w:val="00C169F0"/>
    <w:rsid w:val="00C176BD"/>
    <w:rsid w:val="00C1782C"/>
    <w:rsid w:val="00C17ABD"/>
    <w:rsid w:val="00C20491"/>
    <w:rsid w:val="00C209B3"/>
    <w:rsid w:val="00C22254"/>
    <w:rsid w:val="00C227B2"/>
    <w:rsid w:val="00C22818"/>
    <w:rsid w:val="00C22F9F"/>
    <w:rsid w:val="00C22FA3"/>
    <w:rsid w:val="00C22FEA"/>
    <w:rsid w:val="00C23104"/>
    <w:rsid w:val="00C231A7"/>
    <w:rsid w:val="00C23963"/>
    <w:rsid w:val="00C23D0F"/>
    <w:rsid w:val="00C23FA7"/>
    <w:rsid w:val="00C24445"/>
    <w:rsid w:val="00C244A1"/>
    <w:rsid w:val="00C2489F"/>
    <w:rsid w:val="00C249E7"/>
    <w:rsid w:val="00C257FE"/>
    <w:rsid w:val="00C25A23"/>
    <w:rsid w:val="00C25C9C"/>
    <w:rsid w:val="00C25E33"/>
    <w:rsid w:val="00C262C0"/>
    <w:rsid w:val="00C263D1"/>
    <w:rsid w:val="00C26FE2"/>
    <w:rsid w:val="00C27348"/>
    <w:rsid w:val="00C27695"/>
    <w:rsid w:val="00C278E7"/>
    <w:rsid w:val="00C300E1"/>
    <w:rsid w:val="00C3020D"/>
    <w:rsid w:val="00C30359"/>
    <w:rsid w:val="00C30849"/>
    <w:rsid w:val="00C31685"/>
    <w:rsid w:val="00C31AD5"/>
    <w:rsid w:val="00C31C41"/>
    <w:rsid w:val="00C31DE1"/>
    <w:rsid w:val="00C31FAA"/>
    <w:rsid w:val="00C32574"/>
    <w:rsid w:val="00C325C0"/>
    <w:rsid w:val="00C32891"/>
    <w:rsid w:val="00C3307E"/>
    <w:rsid w:val="00C3338C"/>
    <w:rsid w:val="00C341DA"/>
    <w:rsid w:val="00C3434F"/>
    <w:rsid w:val="00C3481E"/>
    <w:rsid w:val="00C34ED6"/>
    <w:rsid w:val="00C350F5"/>
    <w:rsid w:val="00C3655D"/>
    <w:rsid w:val="00C36709"/>
    <w:rsid w:val="00C36BD2"/>
    <w:rsid w:val="00C36D60"/>
    <w:rsid w:val="00C36F30"/>
    <w:rsid w:val="00C37588"/>
    <w:rsid w:val="00C37A0A"/>
    <w:rsid w:val="00C37CBE"/>
    <w:rsid w:val="00C37EE8"/>
    <w:rsid w:val="00C407EB"/>
    <w:rsid w:val="00C40B08"/>
    <w:rsid w:val="00C40EFE"/>
    <w:rsid w:val="00C414A4"/>
    <w:rsid w:val="00C417E4"/>
    <w:rsid w:val="00C42315"/>
    <w:rsid w:val="00C42850"/>
    <w:rsid w:val="00C43C44"/>
    <w:rsid w:val="00C44007"/>
    <w:rsid w:val="00C443AB"/>
    <w:rsid w:val="00C4460E"/>
    <w:rsid w:val="00C44836"/>
    <w:rsid w:val="00C449B2"/>
    <w:rsid w:val="00C449B6"/>
    <w:rsid w:val="00C449F5"/>
    <w:rsid w:val="00C45232"/>
    <w:rsid w:val="00C454E1"/>
    <w:rsid w:val="00C459D2"/>
    <w:rsid w:val="00C46092"/>
    <w:rsid w:val="00C463E4"/>
    <w:rsid w:val="00C471CD"/>
    <w:rsid w:val="00C47721"/>
    <w:rsid w:val="00C47CF5"/>
    <w:rsid w:val="00C47ED9"/>
    <w:rsid w:val="00C5033D"/>
    <w:rsid w:val="00C50C7E"/>
    <w:rsid w:val="00C513E8"/>
    <w:rsid w:val="00C51492"/>
    <w:rsid w:val="00C5171A"/>
    <w:rsid w:val="00C51972"/>
    <w:rsid w:val="00C51FD2"/>
    <w:rsid w:val="00C5225E"/>
    <w:rsid w:val="00C52779"/>
    <w:rsid w:val="00C52B24"/>
    <w:rsid w:val="00C52F77"/>
    <w:rsid w:val="00C531FC"/>
    <w:rsid w:val="00C534D9"/>
    <w:rsid w:val="00C537B6"/>
    <w:rsid w:val="00C53CB8"/>
    <w:rsid w:val="00C550D8"/>
    <w:rsid w:val="00C55B05"/>
    <w:rsid w:val="00C55E0F"/>
    <w:rsid w:val="00C5611A"/>
    <w:rsid w:val="00C569AB"/>
    <w:rsid w:val="00C56AEE"/>
    <w:rsid w:val="00C56D33"/>
    <w:rsid w:val="00C570A4"/>
    <w:rsid w:val="00C57363"/>
    <w:rsid w:val="00C57A52"/>
    <w:rsid w:val="00C57CE1"/>
    <w:rsid w:val="00C57DC4"/>
    <w:rsid w:val="00C57E5F"/>
    <w:rsid w:val="00C6095A"/>
    <w:rsid w:val="00C60995"/>
    <w:rsid w:val="00C61379"/>
    <w:rsid w:val="00C616D1"/>
    <w:rsid w:val="00C61B2F"/>
    <w:rsid w:val="00C61F3B"/>
    <w:rsid w:val="00C62230"/>
    <w:rsid w:val="00C62761"/>
    <w:rsid w:val="00C634BF"/>
    <w:rsid w:val="00C6354A"/>
    <w:rsid w:val="00C63C29"/>
    <w:rsid w:val="00C63F8A"/>
    <w:rsid w:val="00C6437E"/>
    <w:rsid w:val="00C64886"/>
    <w:rsid w:val="00C6700C"/>
    <w:rsid w:val="00C670C4"/>
    <w:rsid w:val="00C67363"/>
    <w:rsid w:val="00C677E8"/>
    <w:rsid w:val="00C67F9E"/>
    <w:rsid w:val="00C70D09"/>
    <w:rsid w:val="00C70F2A"/>
    <w:rsid w:val="00C7113E"/>
    <w:rsid w:val="00C7118D"/>
    <w:rsid w:val="00C71331"/>
    <w:rsid w:val="00C71BC1"/>
    <w:rsid w:val="00C72229"/>
    <w:rsid w:val="00C72A3D"/>
    <w:rsid w:val="00C735E0"/>
    <w:rsid w:val="00C735F9"/>
    <w:rsid w:val="00C738CC"/>
    <w:rsid w:val="00C73ACB"/>
    <w:rsid w:val="00C73D2F"/>
    <w:rsid w:val="00C7405B"/>
    <w:rsid w:val="00C74990"/>
    <w:rsid w:val="00C74A98"/>
    <w:rsid w:val="00C752B9"/>
    <w:rsid w:val="00C75C40"/>
    <w:rsid w:val="00C75D56"/>
    <w:rsid w:val="00C75D76"/>
    <w:rsid w:val="00C75F7C"/>
    <w:rsid w:val="00C76100"/>
    <w:rsid w:val="00C76137"/>
    <w:rsid w:val="00C7637E"/>
    <w:rsid w:val="00C77651"/>
    <w:rsid w:val="00C77E9D"/>
    <w:rsid w:val="00C77EFF"/>
    <w:rsid w:val="00C806C3"/>
    <w:rsid w:val="00C80721"/>
    <w:rsid w:val="00C80B19"/>
    <w:rsid w:val="00C80F30"/>
    <w:rsid w:val="00C81117"/>
    <w:rsid w:val="00C81271"/>
    <w:rsid w:val="00C818B6"/>
    <w:rsid w:val="00C820A7"/>
    <w:rsid w:val="00C82B27"/>
    <w:rsid w:val="00C82D5B"/>
    <w:rsid w:val="00C82F67"/>
    <w:rsid w:val="00C8331D"/>
    <w:rsid w:val="00C836A5"/>
    <w:rsid w:val="00C837C7"/>
    <w:rsid w:val="00C83813"/>
    <w:rsid w:val="00C83DC5"/>
    <w:rsid w:val="00C85553"/>
    <w:rsid w:val="00C858EC"/>
    <w:rsid w:val="00C85A55"/>
    <w:rsid w:val="00C85E16"/>
    <w:rsid w:val="00C86765"/>
    <w:rsid w:val="00C86823"/>
    <w:rsid w:val="00C86CBE"/>
    <w:rsid w:val="00C86DEB"/>
    <w:rsid w:val="00C8703F"/>
    <w:rsid w:val="00C904DD"/>
    <w:rsid w:val="00C90523"/>
    <w:rsid w:val="00C90F7D"/>
    <w:rsid w:val="00C912B0"/>
    <w:rsid w:val="00C91A27"/>
    <w:rsid w:val="00C9293A"/>
    <w:rsid w:val="00C92F1D"/>
    <w:rsid w:val="00C932CC"/>
    <w:rsid w:val="00C938D8"/>
    <w:rsid w:val="00C939E5"/>
    <w:rsid w:val="00C93AA4"/>
    <w:rsid w:val="00C93FE8"/>
    <w:rsid w:val="00C944BE"/>
    <w:rsid w:val="00C945C4"/>
    <w:rsid w:val="00C94F70"/>
    <w:rsid w:val="00C9541A"/>
    <w:rsid w:val="00C956A0"/>
    <w:rsid w:val="00C957D8"/>
    <w:rsid w:val="00C95D4A"/>
    <w:rsid w:val="00C95E42"/>
    <w:rsid w:val="00C96051"/>
    <w:rsid w:val="00C960BA"/>
    <w:rsid w:val="00C97344"/>
    <w:rsid w:val="00C9738F"/>
    <w:rsid w:val="00C97ACB"/>
    <w:rsid w:val="00CA01F0"/>
    <w:rsid w:val="00CA0369"/>
    <w:rsid w:val="00CA05BD"/>
    <w:rsid w:val="00CA0608"/>
    <w:rsid w:val="00CA0C48"/>
    <w:rsid w:val="00CA143F"/>
    <w:rsid w:val="00CA2438"/>
    <w:rsid w:val="00CA3035"/>
    <w:rsid w:val="00CA3264"/>
    <w:rsid w:val="00CA33FB"/>
    <w:rsid w:val="00CA3A31"/>
    <w:rsid w:val="00CA3C95"/>
    <w:rsid w:val="00CA4232"/>
    <w:rsid w:val="00CA4B35"/>
    <w:rsid w:val="00CA64C6"/>
    <w:rsid w:val="00CA667C"/>
    <w:rsid w:val="00CA6AB0"/>
    <w:rsid w:val="00CA7287"/>
    <w:rsid w:val="00CA7443"/>
    <w:rsid w:val="00CA74BD"/>
    <w:rsid w:val="00CA75E3"/>
    <w:rsid w:val="00CA766E"/>
    <w:rsid w:val="00CA7D5C"/>
    <w:rsid w:val="00CA7E2F"/>
    <w:rsid w:val="00CB01AD"/>
    <w:rsid w:val="00CB08DE"/>
    <w:rsid w:val="00CB1267"/>
    <w:rsid w:val="00CB132B"/>
    <w:rsid w:val="00CB16E7"/>
    <w:rsid w:val="00CB1C62"/>
    <w:rsid w:val="00CB20E3"/>
    <w:rsid w:val="00CB27EA"/>
    <w:rsid w:val="00CB2A4A"/>
    <w:rsid w:val="00CB4097"/>
    <w:rsid w:val="00CB42A6"/>
    <w:rsid w:val="00CB46DC"/>
    <w:rsid w:val="00CB5338"/>
    <w:rsid w:val="00CB593A"/>
    <w:rsid w:val="00CB614B"/>
    <w:rsid w:val="00CB639C"/>
    <w:rsid w:val="00CB685C"/>
    <w:rsid w:val="00CB6E2D"/>
    <w:rsid w:val="00CB717A"/>
    <w:rsid w:val="00CB72F6"/>
    <w:rsid w:val="00CB7471"/>
    <w:rsid w:val="00CB7516"/>
    <w:rsid w:val="00CB7C19"/>
    <w:rsid w:val="00CC0735"/>
    <w:rsid w:val="00CC07C5"/>
    <w:rsid w:val="00CC192B"/>
    <w:rsid w:val="00CC25D8"/>
    <w:rsid w:val="00CC28A5"/>
    <w:rsid w:val="00CC29EB"/>
    <w:rsid w:val="00CC3056"/>
    <w:rsid w:val="00CC3B21"/>
    <w:rsid w:val="00CC3CBB"/>
    <w:rsid w:val="00CC4734"/>
    <w:rsid w:val="00CC4C67"/>
    <w:rsid w:val="00CC5EAE"/>
    <w:rsid w:val="00CC5FB0"/>
    <w:rsid w:val="00CC68E4"/>
    <w:rsid w:val="00CC706F"/>
    <w:rsid w:val="00CC7208"/>
    <w:rsid w:val="00CC7350"/>
    <w:rsid w:val="00CC78AC"/>
    <w:rsid w:val="00CD05AC"/>
    <w:rsid w:val="00CD0983"/>
    <w:rsid w:val="00CD0DC4"/>
    <w:rsid w:val="00CD0FB1"/>
    <w:rsid w:val="00CD10CA"/>
    <w:rsid w:val="00CD1567"/>
    <w:rsid w:val="00CD252A"/>
    <w:rsid w:val="00CD288D"/>
    <w:rsid w:val="00CD2EF3"/>
    <w:rsid w:val="00CD35F6"/>
    <w:rsid w:val="00CD3AB9"/>
    <w:rsid w:val="00CD3E6E"/>
    <w:rsid w:val="00CD423A"/>
    <w:rsid w:val="00CD4336"/>
    <w:rsid w:val="00CD46BD"/>
    <w:rsid w:val="00CD48B2"/>
    <w:rsid w:val="00CD4A50"/>
    <w:rsid w:val="00CD4F33"/>
    <w:rsid w:val="00CD55EE"/>
    <w:rsid w:val="00CD5691"/>
    <w:rsid w:val="00CD5A64"/>
    <w:rsid w:val="00CD6202"/>
    <w:rsid w:val="00CD63B1"/>
    <w:rsid w:val="00CD63E2"/>
    <w:rsid w:val="00CD6D8D"/>
    <w:rsid w:val="00CD7EC1"/>
    <w:rsid w:val="00CE0380"/>
    <w:rsid w:val="00CE0708"/>
    <w:rsid w:val="00CE072B"/>
    <w:rsid w:val="00CE12C3"/>
    <w:rsid w:val="00CE14C7"/>
    <w:rsid w:val="00CE1804"/>
    <w:rsid w:val="00CE195F"/>
    <w:rsid w:val="00CE1A00"/>
    <w:rsid w:val="00CE1CD2"/>
    <w:rsid w:val="00CE2094"/>
    <w:rsid w:val="00CE28ED"/>
    <w:rsid w:val="00CE4314"/>
    <w:rsid w:val="00CE452E"/>
    <w:rsid w:val="00CE45B7"/>
    <w:rsid w:val="00CE488E"/>
    <w:rsid w:val="00CE4EEC"/>
    <w:rsid w:val="00CE50D2"/>
    <w:rsid w:val="00CE532A"/>
    <w:rsid w:val="00CE5743"/>
    <w:rsid w:val="00CE5848"/>
    <w:rsid w:val="00CE59A9"/>
    <w:rsid w:val="00CE5A08"/>
    <w:rsid w:val="00CE5EF9"/>
    <w:rsid w:val="00CE63A7"/>
    <w:rsid w:val="00CE653D"/>
    <w:rsid w:val="00CE6F60"/>
    <w:rsid w:val="00CE6F70"/>
    <w:rsid w:val="00CF0771"/>
    <w:rsid w:val="00CF0E61"/>
    <w:rsid w:val="00CF0F64"/>
    <w:rsid w:val="00CF14C0"/>
    <w:rsid w:val="00CF1886"/>
    <w:rsid w:val="00CF1A51"/>
    <w:rsid w:val="00CF26B1"/>
    <w:rsid w:val="00CF2DC1"/>
    <w:rsid w:val="00CF2F51"/>
    <w:rsid w:val="00CF3510"/>
    <w:rsid w:val="00CF358F"/>
    <w:rsid w:val="00CF40AB"/>
    <w:rsid w:val="00CF4233"/>
    <w:rsid w:val="00CF4B62"/>
    <w:rsid w:val="00CF54F0"/>
    <w:rsid w:val="00CF6075"/>
    <w:rsid w:val="00CF60F5"/>
    <w:rsid w:val="00CF610D"/>
    <w:rsid w:val="00CF61F4"/>
    <w:rsid w:val="00CF66D4"/>
    <w:rsid w:val="00CF6717"/>
    <w:rsid w:val="00CF6909"/>
    <w:rsid w:val="00CF6B04"/>
    <w:rsid w:val="00CF71C9"/>
    <w:rsid w:val="00CF79AC"/>
    <w:rsid w:val="00D004F6"/>
    <w:rsid w:val="00D00544"/>
    <w:rsid w:val="00D005CC"/>
    <w:rsid w:val="00D009FB"/>
    <w:rsid w:val="00D00A59"/>
    <w:rsid w:val="00D00BCD"/>
    <w:rsid w:val="00D00BEB"/>
    <w:rsid w:val="00D00C92"/>
    <w:rsid w:val="00D0196A"/>
    <w:rsid w:val="00D01C63"/>
    <w:rsid w:val="00D0221A"/>
    <w:rsid w:val="00D02381"/>
    <w:rsid w:val="00D02A0C"/>
    <w:rsid w:val="00D02C19"/>
    <w:rsid w:val="00D02CF7"/>
    <w:rsid w:val="00D0342F"/>
    <w:rsid w:val="00D03711"/>
    <w:rsid w:val="00D03B3F"/>
    <w:rsid w:val="00D03D23"/>
    <w:rsid w:val="00D03D4C"/>
    <w:rsid w:val="00D03D7A"/>
    <w:rsid w:val="00D04697"/>
    <w:rsid w:val="00D046EF"/>
    <w:rsid w:val="00D04916"/>
    <w:rsid w:val="00D053C4"/>
    <w:rsid w:val="00D05698"/>
    <w:rsid w:val="00D057E4"/>
    <w:rsid w:val="00D05AB7"/>
    <w:rsid w:val="00D05F8A"/>
    <w:rsid w:val="00D0646C"/>
    <w:rsid w:val="00D06B56"/>
    <w:rsid w:val="00D07645"/>
    <w:rsid w:val="00D07729"/>
    <w:rsid w:val="00D07F95"/>
    <w:rsid w:val="00D105BC"/>
    <w:rsid w:val="00D10942"/>
    <w:rsid w:val="00D113CD"/>
    <w:rsid w:val="00D115F2"/>
    <w:rsid w:val="00D117FE"/>
    <w:rsid w:val="00D12665"/>
    <w:rsid w:val="00D1272B"/>
    <w:rsid w:val="00D12A13"/>
    <w:rsid w:val="00D12A9E"/>
    <w:rsid w:val="00D12D6E"/>
    <w:rsid w:val="00D13191"/>
    <w:rsid w:val="00D1345B"/>
    <w:rsid w:val="00D1402E"/>
    <w:rsid w:val="00D147CD"/>
    <w:rsid w:val="00D149D9"/>
    <w:rsid w:val="00D14AFA"/>
    <w:rsid w:val="00D14E38"/>
    <w:rsid w:val="00D14E76"/>
    <w:rsid w:val="00D15354"/>
    <w:rsid w:val="00D15678"/>
    <w:rsid w:val="00D15A86"/>
    <w:rsid w:val="00D16D86"/>
    <w:rsid w:val="00D1713B"/>
    <w:rsid w:val="00D174BD"/>
    <w:rsid w:val="00D174F6"/>
    <w:rsid w:val="00D17724"/>
    <w:rsid w:val="00D179AA"/>
    <w:rsid w:val="00D20B13"/>
    <w:rsid w:val="00D20C2F"/>
    <w:rsid w:val="00D21284"/>
    <w:rsid w:val="00D215AE"/>
    <w:rsid w:val="00D216C1"/>
    <w:rsid w:val="00D217F6"/>
    <w:rsid w:val="00D21B61"/>
    <w:rsid w:val="00D223C6"/>
    <w:rsid w:val="00D22CC6"/>
    <w:rsid w:val="00D234C8"/>
    <w:rsid w:val="00D23962"/>
    <w:rsid w:val="00D23BE1"/>
    <w:rsid w:val="00D241D3"/>
    <w:rsid w:val="00D242A9"/>
    <w:rsid w:val="00D2440E"/>
    <w:rsid w:val="00D2487E"/>
    <w:rsid w:val="00D24CBB"/>
    <w:rsid w:val="00D25346"/>
    <w:rsid w:val="00D254A4"/>
    <w:rsid w:val="00D25C37"/>
    <w:rsid w:val="00D2611B"/>
    <w:rsid w:val="00D2634A"/>
    <w:rsid w:val="00D26717"/>
    <w:rsid w:val="00D26B3C"/>
    <w:rsid w:val="00D26B44"/>
    <w:rsid w:val="00D26E6D"/>
    <w:rsid w:val="00D27A44"/>
    <w:rsid w:val="00D27AB5"/>
    <w:rsid w:val="00D31319"/>
    <w:rsid w:val="00D313E7"/>
    <w:rsid w:val="00D32A48"/>
    <w:rsid w:val="00D32CCD"/>
    <w:rsid w:val="00D33135"/>
    <w:rsid w:val="00D33985"/>
    <w:rsid w:val="00D3406B"/>
    <w:rsid w:val="00D34939"/>
    <w:rsid w:val="00D34C5C"/>
    <w:rsid w:val="00D35184"/>
    <w:rsid w:val="00D3546D"/>
    <w:rsid w:val="00D35F97"/>
    <w:rsid w:val="00D364B5"/>
    <w:rsid w:val="00D364F3"/>
    <w:rsid w:val="00D36BF5"/>
    <w:rsid w:val="00D36CAD"/>
    <w:rsid w:val="00D37A04"/>
    <w:rsid w:val="00D37C5F"/>
    <w:rsid w:val="00D37C60"/>
    <w:rsid w:val="00D40368"/>
    <w:rsid w:val="00D40AFF"/>
    <w:rsid w:val="00D40DFE"/>
    <w:rsid w:val="00D40E28"/>
    <w:rsid w:val="00D4112C"/>
    <w:rsid w:val="00D41838"/>
    <w:rsid w:val="00D41DA1"/>
    <w:rsid w:val="00D422E0"/>
    <w:rsid w:val="00D4272C"/>
    <w:rsid w:val="00D42989"/>
    <w:rsid w:val="00D432F3"/>
    <w:rsid w:val="00D43324"/>
    <w:rsid w:val="00D442CD"/>
    <w:rsid w:val="00D44AAF"/>
    <w:rsid w:val="00D44FC1"/>
    <w:rsid w:val="00D4576C"/>
    <w:rsid w:val="00D45DE8"/>
    <w:rsid w:val="00D45FD7"/>
    <w:rsid w:val="00D46088"/>
    <w:rsid w:val="00D466BB"/>
    <w:rsid w:val="00D47081"/>
    <w:rsid w:val="00D47104"/>
    <w:rsid w:val="00D4719F"/>
    <w:rsid w:val="00D4754B"/>
    <w:rsid w:val="00D47A67"/>
    <w:rsid w:val="00D47D30"/>
    <w:rsid w:val="00D5001D"/>
    <w:rsid w:val="00D504A8"/>
    <w:rsid w:val="00D50B7B"/>
    <w:rsid w:val="00D50E38"/>
    <w:rsid w:val="00D51413"/>
    <w:rsid w:val="00D51472"/>
    <w:rsid w:val="00D5159B"/>
    <w:rsid w:val="00D51871"/>
    <w:rsid w:val="00D5199F"/>
    <w:rsid w:val="00D519E0"/>
    <w:rsid w:val="00D51AD9"/>
    <w:rsid w:val="00D52128"/>
    <w:rsid w:val="00D52235"/>
    <w:rsid w:val="00D52D7D"/>
    <w:rsid w:val="00D531CD"/>
    <w:rsid w:val="00D53483"/>
    <w:rsid w:val="00D53A05"/>
    <w:rsid w:val="00D53F18"/>
    <w:rsid w:val="00D5421F"/>
    <w:rsid w:val="00D54D34"/>
    <w:rsid w:val="00D54F19"/>
    <w:rsid w:val="00D54FBE"/>
    <w:rsid w:val="00D55790"/>
    <w:rsid w:val="00D55B21"/>
    <w:rsid w:val="00D55F21"/>
    <w:rsid w:val="00D56993"/>
    <w:rsid w:val="00D570ED"/>
    <w:rsid w:val="00D57128"/>
    <w:rsid w:val="00D576E9"/>
    <w:rsid w:val="00D578EF"/>
    <w:rsid w:val="00D5792B"/>
    <w:rsid w:val="00D608F5"/>
    <w:rsid w:val="00D60A82"/>
    <w:rsid w:val="00D6195E"/>
    <w:rsid w:val="00D61D3B"/>
    <w:rsid w:val="00D620A1"/>
    <w:rsid w:val="00D623E1"/>
    <w:rsid w:val="00D628CB"/>
    <w:rsid w:val="00D62A7A"/>
    <w:rsid w:val="00D6307D"/>
    <w:rsid w:val="00D634ED"/>
    <w:rsid w:val="00D63C1C"/>
    <w:rsid w:val="00D64491"/>
    <w:rsid w:val="00D64C17"/>
    <w:rsid w:val="00D65382"/>
    <w:rsid w:val="00D654DE"/>
    <w:rsid w:val="00D65584"/>
    <w:rsid w:val="00D65912"/>
    <w:rsid w:val="00D65F3D"/>
    <w:rsid w:val="00D66B22"/>
    <w:rsid w:val="00D66C73"/>
    <w:rsid w:val="00D66EAA"/>
    <w:rsid w:val="00D6735E"/>
    <w:rsid w:val="00D701EC"/>
    <w:rsid w:val="00D70371"/>
    <w:rsid w:val="00D70BD1"/>
    <w:rsid w:val="00D71352"/>
    <w:rsid w:val="00D71C93"/>
    <w:rsid w:val="00D72A33"/>
    <w:rsid w:val="00D72AE4"/>
    <w:rsid w:val="00D72E97"/>
    <w:rsid w:val="00D739CA"/>
    <w:rsid w:val="00D73B5A"/>
    <w:rsid w:val="00D73D36"/>
    <w:rsid w:val="00D73DAA"/>
    <w:rsid w:val="00D743A4"/>
    <w:rsid w:val="00D74990"/>
    <w:rsid w:val="00D74B04"/>
    <w:rsid w:val="00D752E8"/>
    <w:rsid w:val="00D7555A"/>
    <w:rsid w:val="00D75738"/>
    <w:rsid w:val="00D757CA"/>
    <w:rsid w:val="00D75C73"/>
    <w:rsid w:val="00D7676D"/>
    <w:rsid w:val="00D77503"/>
    <w:rsid w:val="00D77916"/>
    <w:rsid w:val="00D77A5F"/>
    <w:rsid w:val="00D803A1"/>
    <w:rsid w:val="00D807A3"/>
    <w:rsid w:val="00D80AF4"/>
    <w:rsid w:val="00D80F81"/>
    <w:rsid w:val="00D81145"/>
    <w:rsid w:val="00D81EF3"/>
    <w:rsid w:val="00D82535"/>
    <w:rsid w:val="00D826DA"/>
    <w:rsid w:val="00D82938"/>
    <w:rsid w:val="00D82AD3"/>
    <w:rsid w:val="00D82E5D"/>
    <w:rsid w:val="00D8380E"/>
    <w:rsid w:val="00D83A60"/>
    <w:rsid w:val="00D84796"/>
    <w:rsid w:val="00D8557C"/>
    <w:rsid w:val="00D8596F"/>
    <w:rsid w:val="00D85C1C"/>
    <w:rsid w:val="00D85E13"/>
    <w:rsid w:val="00D85EFA"/>
    <w:rsid w:val="00D85F1E"/>
    <w:rsid w:val="00D86020"/>
    <w:rsid w:val="00D868B2"/>
    <w:rsid w:val="00D86F6E"/>
    <w:rsid w:val="00D87C77"/>
    <w:rsid w:val="00D900F5"/>
    <w:rsid w:val="00D90885"/>
    <w:rsid w:val="00D90BA3"/>
    <w:rsid w:val="00D911EB"/>
    <w:rsid w:val="00D913F0"/>
    <w:rsid w:val="00D915CF"/>
    <w:rsid w:val="00D91D34"/>
    <w:rsid w:val="00D91DAA"/>
    <w:rsid w:val="00D92308"/>
    <w:rsid w:val="00D92801"/>
    <w:rsid w:val="00D92BE7"/>
    <w:rsid w:val="00D9321B"/>
    <w:rsid w:val="00D9323B"/>
    <w:rsid w:val="00D93364"/>
    <w:rsid w:val="00D9378E"/>
    <w:rsid w:val="00D93A02"/>
    <w:rsid w:val="00D93C65"/>
    <w:rsid w:val="00D93DA7"/>
    <w:rsid w:val="00D940E7"/>
    <w:rsid w:val="00D943B6"/>
    <w:rsid w:val="00D94610"/>
    <w:rsid w:val="00D94BB3"/>
    <w:rsid w:val="00D94C2B"/>
    <w:rsid w:val="00D955B5"/>
    <w:rsid w:val="00D9585C"/>
    <w:rsid w:val="00D95C87"/>
    <w:rsid w:val="00D95D1E"/>
    <w:rsid w:val="00D97A2C"/>
    <w:rsid w:val="00D97C85"/>
    <w:rsid w:val="00D97DA1"/>
    <w:rsid w:val="00DA00BF"/>
    <w:rsid w:val="00DA0502"/>
    <w:rsid w:val="00DA125C"/>
    <w:rsid w:val="00DA1A43"/>
    <w:rsid w:val="00DA395F"/>
    <w:rsid w:val="00DA3B0A"/>
    <w:rsid w:val="00DA3B3C"/>
    <w:rsid w:val="00DA3EDD"/>
    <w:rsid w:val="00DA445D"/>
    <w:rsid w:val="00DA4568"/>
    <w:rsid w:val="00DA4678"/>
    <w:rsid w:val="00DA4933"/>
    <w:rsid w:val="00DA4A52"/>
    <w:rsid w:val="00DA5363"/>
    <w:rsid w:val="00DA5545"/>
    <w:rsid w:val="00DA573F"/>
    <w:rsid w:val="00DA5ECA"/>
    <w:rsid w:val="00DA5F4D"/>
    <w:rsid w:val="00DA6887"/>
    <w:rsid w:val="00DA77DE"/>
    <w:rsid w:val="00DA781A"/>
    <w:rsid w:val="00DA7899"/>
    <w:rsid w:val="00DA78FC"/>
    <w:rsid w:val="00DB0290"/>
    <w:rsid w:val="00DB052E"/>
    <w:rsid w:val="00DB0531"/>
    <w:rsid w:val="00DB0FE6"/>
    <w:rsid w:val="00DB1230"/>
    <w:rsid w:val="00DB171A"/>
    <w:rsid w:val="00DB1A1D"/>
    <w:rsid w:val="00DB2065"/>
    <w:rsid w:val="00DB216A"/>
    <w:rsid w:val="00DB2D2B"/>
    <w:rsid w:val="00DB3E4E"/>
    <w:rsid w:val="00DB4138"/>
    <w:rsid w:val="00DB4154"/>
    <w:rsid w:val="00DB55DD"/>
    <w:rsid w:val="00DB593F"/>
    <w:rsid w:val="00DB5E20"/>
    <w:rsid w:val="00DB5FF7"/>
    <w:rsid w:val="00DB653A"/>
    <w:rsid w:val="00DB6FFE"/>
    <w:rsid w:val="00DB7150"/>
    <w:rsid w:val="00DB730A"/>
    <w:rsid w:val="00DB75E9"/>
    <w:rsid w:val="00DB7E9C"/>
    <w:rsid w:val="00DC01D6"/>
    <w:rsid w:val="00DC0270"/>
    <w:rsid w:val="00DC06FD"/>
    <w:rsid w:val="00DC0881"/>
    <w:rsid w:val="00DC1211"/>
    <w:rsid w:val="00DC1423"/>
    <w:rsid w:val="00DC29EA"/>
    <w:rsid w:val="00DC3059"/>
    <w:rsid w:val="00DC33EA"/>
    <w:rsid w:val="00DC5AB5"/>
    <w:rsid w:val="00DC5DDC"/>
    <w:rsid w:val="00DC5E63"/>
    <w:rsid w:val="00DC6251"/>
    <w:rsid w:val="00DC6471"/>
    <w:rsid w:val="00DC6BDE"/>
    <w:rsid w:val="00DC7BBB"/>
    <w:rsid w:val="00DC7BE2"/>
    <w:rsid w:val="00DD093C"/>
    <w:rsid w:val="00DD0B8D"/>
    <w:rsid w:val="00DD0D4F"/>
    <w:rsid w:val="00DD0E7C"/>
    <w:rsid w:val="00DD0F1C"/>
    <w:rsid w:val="00DD12AC"/>
    <w:rsid w:val="00DD17AD"/>
    <w:rsid w:val="00DD185F"/>
    <w:rsid w:val="00DD226E"/>
    <w:rsid w:val="00DD27AA"/>
    <w:rsid w:val="00DD3998"/>
    <w:rsid w:val="00DD3CD9"/>
    <w:rsid w:val="00DD3DB6"/>
    <w:rsid w:val="00DD46E4"/>
    <w:rsid w:val="00DD512A"/>
    <w:rsid w:val="00DD532E"/>
    <w:rsid w:val="00DD599D"/>
    <w:rsid w:val="00DD6A07"/>
    <w:rsid w:val="00DD6DDE"/>
    <w:rsid w:val="00DD6F17"/>
    <w:rsid w:val="00DD71B7"/>
    <w:rsid w:val="00DD76CA"/>
    <w:rsid w:val="00DE0065"/>
    <w:rsid w:val="00DE036C"/>
    <w:rsid w:val="00DE085A"/>
    <w:rsid w:val="00DE0C5D"/>
    <w:rsid w:val="00DE0CE5"/>
    <w:rsid w:val="00DE2029"/>
    <w:rsid w:val="00DE21B3"/>
    <w:rsid w:val="00DE2335"/>
    <w:rsid w:val="00DE24DD"/>
    <w:rsid w:val="00DE25C2"/>
    <w:rsid w:val="00DE3075"/>
    <w:rsid w:val="00DE3338"/>
    <w:rsid w:val="00DE3F6D"/>
    <w:rsid w:val="00DE4541"/>
    <w:rsid w:val="00DE4A80"/>
    <w:rsid w:val="00DE4FF6"/>
    <w:rsid w:val="00DE558F"/>
    <w:rsid w:val="00DE5BE2"/>
    <w:rsid w:val="00DE5CEF"/>
    <w:rsid w:val="00DE694A"/>
    <w:rsid w:val="00DE6DD4"/>
    <w:rsid w:val="00DE71D1"/>
    <w:rsid w:val="00DE7523"/>
    <w:rsid w:val="00DE796E"/>
    <w:rsid w:val="00DF008E"/>
    <w:rsid w:val="00DF1385"/>
    <w:rsid w:val="00DF16B3"/>
    <w:rsid w:val="00DF24DA"/>
    <w:rsid w:val="00DF26C2"/>
    <w:rsid w:val="00DF28A7"/>
    <w:rsid w:val="00DF2B62"/>
    <w:rsid w:val="00DF2F67"/>
    <w:rsid w:val="00DF39F4"/>
    <w:rsid w:val="00DF3AD9"/>
    <w:rsid w:val="00DF3F77"/>
    <w:rsid w:val="00DF490D"/>
    <w:rsid w:val="00DF49DF"/>
    <w:rsid w:val="00DF4A46"/>
    <w:rsid w:val="00DF4AB9"/>
    <w:rsid w:val="00DF4ABD"/>
    <w:rsid w:val="00DF595D"/>
    <w:rsid w:val="00DF5C97"/>
    <w:rsid w:val="00DF6179"/>
    <w:rsid w:val="00DF62C6"/>
    <w:rsid w:val="00DF6814"/>
    <w:rsid w:val="00DF68BA"/>
    <w:rsid w:val="00DF69BE"/>
    <w:rsid w:val="00DF70A5"/>
    <w:rsid w:val="00DF7215"/>
    <w:rsid w:val="00DF73CA"/>
    <w:rsid w:val="00DF7E2A"/>
    <w:rsid w:val="00E0004C"/>
    <w:rsid w:val="00E00AFF"/>
    <w:rsid w:val="00E011C0"/>
    <w:rsid w:val="00E01585"/>
    <w:rsid w:val="00E01603"/>
    <w:rsid w:val="00E01686"/>
    <w:rsid w:val="00E01CC2"/>
    <w:rsid w:val="00E02CEC"/>
    <w:rsid w:val="00E036FB"/>
    <w:rsid w:val="00E03731"/>
    <w:rsid w:val="00E03803"/>
    <w:rsid w:val="00E03B25"/>
    <w:rsid w:val="00E03F7B"/>
    <w:rsid w:val="00E04E94"/>
    <w:rsid w:val="00E04FCE"/>
    <w:rsid w:val="00E0505A"/>
    <w:rsid w:val="00E05289"/>
    <w:rsid w:val="00E058C7"/>
    <w:rsid w:val="00E0608D"/>
    <w:rsid w:val="00E06105"/>
    <w:rsid w:val="00E06890"/>
    <w:rsid w:val="00E06F97"/>
    <w:rsid w:val="00E0706F"/>
    <w:rsid w:val="00E073DF"/>
    <w:rsid w:val="00E0754C"/>
    <w:rsid w:val="00E0754F"/>
    <w:rsid w:val="00E076BE"/>
    <w:rsid w:val="00E07866"/>
    <w:rsid w:val="00E10334"/>
    <w:rsid w:val="00E109B3"/>
    <w:rsid w:val="00E12015"/>
    <w:rsid w:val="00E1246F"/>
    <w:rsid w:val="00E124B7"/>
    <w:rsid w:val="00E12B48"/>
    <w:rsid w:val="00E12D73"/>
    <w:rsid w:val="00E138AA"/>
    <w:rsid w:val="00E139FC"/>
    <w:rsid w:val="00E13E27"/>
    <w:rsid w:val="00E1416D"/>
    <w:rsid w:val="00E14D7D"/>
    <w:rsid w:val="00E167DC"/>
    <w:rsid w:val="00E16F4E"/>
    <w:rsid w:val="00E1717D"/>
    <w:rsid w:val="00E17703"/>
    <w:rsid w:val="00E17DA9"/>
    <w:rsid w:val="00E20F66"/>
    <w:rsid w:val="00E21086"/>
    <w:rsid w:val="00E21A2B"/>
    <w:rsid w:val="00E21C05"/>
    <w:rsid w:val="00E21EB0"/>
    <w:rsid w:val="00E228DC"/>
    <w:rsid w:val="00E22CA8"/>
    <w:rsid w:val="00E23573"/>
    <w:rsid w:val="00E238FE"/>
    <w:rsid w:val="00E24B39"/>
    <w:rsid w:val="00E2597F"/>
    <w:rsid w:val="00E25AA8"/>
    <w:rsid w:val="00E2634A"/>
    <w:rsid w:val="00E26E3D"/>
    <w:rsid w:val="00E26E86"/>
    <w:rsid w:val="00E27123"/>
    <w:rsid w:val="00E27157"/>
    <w:rsid w:val="00E27620"/>
    <w:rsid w:val="00E27965"/>
    <w:rsid w:val="00E30004"/>
    <w:rsid w:val="00E308A4"/>
    <w:rsid w:val="00E30A5B"/>
    <w:rsid w:val="00E316EE"/>
    <w:rsid w:val="00E317D4"/>
    <w:rsid w:val="00E32107"/>
    <w:rsid w:val="00E34BBB"/>
    <w:rsid w:val="00E34E8B"/>
    <w:rsid w:val="00E34F6B"/>
    <w:rsid w:val="00E35346"/>
    <w:rsid w:val="00E3553A"/>
    <w:rsid w:val="00E3569A"/>
    <w:rsid w:val="00E35827"/>
    <w:rsid w:val="00E3583E"/>
    <w:rsid w:val="00E35E72"/>
    <w:rsid w:val="00E36419"/>
    <w:rsid w:val="00E36B2A"/>
    <w:rsid w:val="00E3719F"/>
    <w:rsid w:val="00E37290"/>
    <w:rsid w:val="00E378B5"/>
    <w:rsid w:val="00E4094E"/>
    <w:rsid w:val="00E41455"/>
    <w:rsid w:val="00E41C77"/>
    <w:rsid w:val="00E41D4E"/>
    <w:rsid w:val="00E42D2F"/>
    <w:rsid w:val="00E435A1"/>
    <w:rsid w:val="00E435DB"/>
    <w:rsid w:val="00E44073"/>
    <w:rsid w:val="00E441A2"/>
    <w:rsid w:val="00E441F5"/>
    <w:rsid w:val="00E446EB"/>
    <w:rsid w:val="00E447C8"/>
    <w:rsid w:val="00E44B02"/>
    <w:rsid w:val="00E44D1F"/>
    <w:rsid w:val="00E4548A"/>
    <w:rsid w:val="00E45F8C"/>
    <w:rsid w:val="00E46002"/>
    <w:rsid w:val="00E462E5"/>
    <w:rsid w:val="00E46316"/>
    <w:rsid w:val="00E4692D"/>
    <w:rsid w:val="00E46C90"/>
    <w:rsid w:val="00E4770D"/>
    <w:rsid w:val="00E47EBC"/>
    <w:rsid w:val="00E503BB"/>
    <w:rsid w:val="00E5090B"/>
    <w:rsid w:val="00E51315"/>
    <w:rsid w:val="00E513C0"/>
    <w:rsid w:val="00E5157E"/>
    <w:rsid w:val="00E5162C"/>
    <w:rsid w:val="00E5198C"/>
    <w:rsid w:val="00E51BEF"/>
    <w:rsid w:val="00E528F9"/>
    <w:rsid w:val="00E5290F"/>
    <w:rsid w:val="00E52A59"/>
    <w:rsid w:val="00E53049"/>
    <w:rsid w:val="00E530A4"/>
    <w:rsid w:val="00E536F5"/>
    <w:rsid w:val="00E53E7E"/>
    <w:rsid w:val="00E53F7D"/>
    <w:rsid w:val="00E54047"/>
    <w:rsid w:val="00E541AF"/>
    <w:rsid w:val="00E54768"/>
    <w:rsid w:val="00E54905"/>
    <w:rsid w:val="00E54ECA"/>
    <w:rsid w:val="00E557AB"/>
    <w:rsid w:val="00E5590C"/>
    <w:rsid w:val="00E55985"/>
    <w:rsid w:val="00E56B3A"/>
    <w:rsid w:val="00E57161"/>
    <w:rsid w:val="00E5749A"/>
    <w:rsid w:val="00E604BD"/>
    <w:rsid w:val="00E6063C"/>
    <w:rsid w:val="00E60646"/>
    <w:rsid w:val="00E60651"/>
    <w:rsid w:val="00E60803"/>
    <w:rsid w:val="00E60E11"/>
    <w:rsid w:val="00E6217D"/>
    <w:rsid w:val="00E622E9"/>
    <w:rsid w:val="00E6266B"/>
    <w:rsid w:val="00E6295B"/>
    <w:rsid w:val="00E62EA1"/>
    <w:rsid w:val="00E647D7"/>
    <w:rsid w:val="00E64A03"/>
    <w:rsid w:val="00E64F82"/>
    <w:rsid w:val="00E65549"/>
    <w:rsid w:val="00E655FB"/>
    <w:rsid w:val="00E659C3"/>
    <w:rsid w:val="00E6604D"/>
    <w:rsid w:val="00E66A1D"/>
    <w:rsid w:val="00E66AAF"/>
    <w:rsid w:val="00E66CE1"/>
    <w:rsid w:val="00E66DB8"/>
    <w:rsid w:val="00E6701E"/>
    <w:rsid w:val="00E67B29"/>
    <w:rsid w:val="00E67BCF"/>
    <w:rsid w:val="00E700FD"/>
    <w:rsid w:val="00E705E3"/>
    <w:rsid w:val="00E712E0"/>
    <w:rsid w:val="00E7163C"/>
    <w:rsid w:val="00E71CAF"/>
    <w:rsid w:val="00E726A1"/>
    <w:rsid w:val="00E72A42"/>
    <w:rsid w:val="00E7301B"/>
    <w:rsid w:val="00E73448"/>
    <w:rsid w:val="00E73A73"/>
    <w:rsid w:val="00E74443"/>
    <w:rsid w:val="00E74581"/>
    <w:rsid w:val="00E74675"/>
    <w:rsid w:val="00E74EC4"/>
    <w:rsid w:val="00E758AA"/>
    <w:rsid w:val="00E75CA6"/>
    <w:rsid w:val="00E760C2"/>
    <w:rsid w:val="00E76384"/>
    <w:rsid w:val="00E766B7"/>
    <w:rsid w:val="00E7726D"/>
    <w:rsid w:val="00E773F0"/>
    <w:rsid w:val="00E77ECC"/>
    <w:rsid w:val="00E8078F"/>
    <w:rsid w:val="00E80A66"/>
    <w:rsid w:val="00E80B4D"/>
    <w:rsid w:val="00E80E31"/>
    <w:rsid w:val="00E81542"/>
    <w:rsid w:val="00E81905"/>
    <w:rsid w:val="00E82310"/>
    <w:rsid w:val="00E82866"/>
    <w:rsid w:val="00E82AD6"/>
    <w:rsid w:val="00E835A7"/>
    <w:rsid w:val="00E846EA"/>
    <w:rsid w:val="00E849EC"/>
    <w:rsid w:val="00E84D92"/>
    <w:rsid w:val="00E858B2"/>
    <w:rsid w:val="00E858D7"/>
    <w:rsid w:val="00E85C2A"/>
    <w:rsid w:val="00E866E4"/>
    <w:rsid w:val="00E86D2C"/>
    <w:rsid w:val="00E87A20"/>
    <w:rsid w:val="00E87E00"/>
    <w:rsid w:val="00E903CF"/>
    <w:rsid w:val="00E90F35"/>
    <w:rsid w:val="00E91059"/>
    <w:rsid w:val="00E91233"/>
    <w:rsid w:val="00E912BB"/>
    <w:rsid w:val="00E9145C"/>
    <w:rsid w:val="00E9152E"/>
    <w:rsid w:val="00E916E8"/>
    <w:rsid w:val="00E9256F"/>
    <w:rsid w:val="00E925F6"/>
    <w:rsid w:val="00E92964"/>
    <w:rsid w:val="00E92D68"/>
    <w:rsid w:val="00E9344F"/>
    <w:rsid w:val="00E948E6"/>
    <w:rsid w:val="00E94F2D"/>
    <w:rsid w:val="00E9556F"/>
    <w:rsid w:val="00E95ECE"/>
    <w:rsid w:val="00E960FA"/>
    <w:rsid w:val="00E96122"/>
    <w:rsid w:val="00E96699"/>
    <w:rsid w:val="00E972D4"/>
    <w:rsid w:val="00EA0DB4"/>
    <w:rsid w:val="00EA1F21"/>
    <w:rsid w:val="00EA26A3"/>
    <w:rsid w:val="00EA270E"/>
    <w:rsid w:val="00EA2B02"/>
    <w:rsid w:val="00EA30DA"/>
    <w:rsid w:val="00EA3310"/>
    <w:rsid w:val="00EA388D"/>
    <w:rsid w:val="00EA4613"/>
    <w:rsid w:val="00EA4767"/>
    <w:rsid w:val="00EA4A4B"/>
    <w:rsid w:val="00EA4ADC"/>
    <w:rsid w:val="00EA572A"/>
    <w:rsid w:val="00EA5890"/>
    <w:rsid w:val="00EA5B63"/>
    <w:rsid w:val="00EA6068"/>
    <w:rsid w:val="00EA6EF5"/>
    <w:rsid w:val="00EA7089"/>
    <w:rsid w:val="00EA73D7"/>
    <w:rsid w:val="00EA7BA6"/>
    <w:rsid w:val="00EA7CD0"/>
    <w:rsid w:val="00EB0DAE"/>
    <w:rsid w:val="00EB0E74"/>
    <w:rsid w:val="00EB251A"/>
    <w:rsid w:val="00EB2681"/>
    <w:rsid w:val="00EB26B9"/>
    <w:rsid w:val="00EB2798"/>
    <w:rsid w:val="00EB2B0B"/>
    <w:rsid w:val="00EB2EDA"/>
    <w:rsid w:val="00EB30E8"/>
    <w:rsid w:val="00EB316D"/>
    <w:rsid w:val="00EB3408"/>
    <w:rsid w:val="00EB345F"/>
    <w:rsid w:val="00EB367A"/>
    <w:rsid w:val="00EB3842"/>
    <w:rsid w:val="00EB4092"/>
    <w:rsid w:val="00EB41D8"/>
    <w:rsid w:val="00EB4448"/>
    <w:rsid w:val="00EB49BB"/>
    <w:rsid w:val="00EB4F6E"/>
    <w:rsid w:val="00EB57B3"/>
    <w:rsid w:val="00EB59C4"/>
    <w:rsid w:val="00EB5B6D"/>
    <w:rsid w:val="00EB5C5C"/>
    <w:rsid w:val="00EB60F8"/>
    <w:rsid w:val="00EB63C9"/>
    <w:rsid w:val="00EB63E8"/>
    <w:rsid w:val="00EB698E"/>
    <w:rsid w:val="00EB6C24"/>
    <w:rsid w:val="00EB7B19"/>
    <w:rsid w:val="00EB7C96"/>
    <w:rsid w:val="00EC0020"/>
    <w:rsid w:val="00EC0698"/>
    <w:rsid w:val="00EC0CF4"/>
    <w:rsid w:val="00EC0F96"/>
    <w:rsid w:val="00EC18C7"/>
    <w:rsid w:val="00EC19E8"/>
    <w:rsid w:val="00EC19F0"/>
    <w:rsid w:val="00EC1A5A"/>
    <w:rsid w:val="00EC1A8B"/>
    <w:rsid w:val="00EC1B1F"/>
    <w:rsid w:val="00EC1EBA"/>
    <w:rsid w:val="00EC210A"/>
    <w:rsid w:val="00EC2A13"/>
    <w:rsid w:val="00EC2D82"/>
    <w:rsid w:val="00EC2E73"/>
    <w:rsid w:val="00EC31AD"/>
    <w:rsid w:val="00EC418C"/>
    <w:rsid w:val="00EC4229"/>
    <w:rsid w:val="00EC46BE"/>
    <w:rsid w:val="00EC47D1"/>
    <w:rsid w:val="00EC5741"/>
    <w:rsid w:val="00EC594C"/>
    <w:rsid w:val="00EC59AE"/>
    <w:rsid w:val="00EC5BF9"/>
    <w:rsid w:val="00EC6595"/>
    <w:rsid w:val="00EC689A"/>
    <w:rsid w:val="00EC6C33"/>
    <w:rsid w:val="00EC6FF2"/>
    <w:rsid w:val="00EC7B75"/>
    <w:rsid w:val="00ED02AD"/>
    <w:rsid w:val="00ED074D"/>
    <w:rsid w:val="00ED09CC"/>
    <w:rsid w:val="00ED0C26"/>
    <w:rsid w:val="00ED0C2B"/>
    <w:rsid w:val="00ED1153"/>
    <w:rsid w:val="00ED182C"/>
    <w:rsid w:val="00ED1B86"/>
    <w:rsid w:val="00ED1C4E"/>
    <w:rsid w:val="00ED35B4"/>
    <w:rsid w:val="00ED37DB"/>
    <w:rsid w:val="00ED39D1"/>
    <w:rsid w:val="00ED3AA5"/>
    <w:rsid w:val="00ED3B7B"/>
    <w:rsid w:val="00ED3C92"/>
    <w:rsid w:val="00ED43F5"/>
    <w:rsid w:val="00ED4509"/>
    <w:rsid w:val="00ED4C26"/>
    <w:rsid w:val="00ED4E5A"/>
    <w:rsid w:val="00ED55C6"/>
    <w:rsid w:val="00ED5ED1"/>
    <w:rsid w:val="00ED5EFC"/>
    <w:rsid w:val="00ED6434"/>
    <w:rsid w:val="00ED695C"/>
    <w:rsid w:val="00ED727F"/>
    <w:rsid w:val="00ED79E5"/>
    <w:rsid w:val="00ED7F60"/>
    <w:rsid w:val="00EE0278"/>
    <w:rsid w:val="00EE07E0"/>
    <w:rsid w:val="00EE0970"/>
    <w:rsid w:val="00EE0C3E"/>
    <w:rsid w:val="00EE0CC4"/>
    <w:rsid w:val="00EE0EDD"/>
    <w:rsid w:val="00EE14F0"/>
    <w:rsid w:val="00EE182F"/>
    <w:rsid w:val="00EE18D5"/>
    <w:rsid w:val="00EE203D"/>
    <w:rsid w:val="00EE20A2"/>
    <w:rsid w:val="00EE2DDF"/>
    <w:rsid w:val="00EE3825"/>
    <w:rsid w:val="00EE39A6"/>
    <w:rsid w:val="00EE451E"/>
    <w:rsid w:val="00EE4A9D"/>
    <w:rsid w:val="00EE4D2C"/>
    <w:rsid w:val="00EE4F03"/>
    <w:rsid w:val="00EE5008"/>
    <w:rsid w:val="00EE5671"/>
    <w:rsid w:val="00EE62BF"/>
    <w:rsid w:val="00EE6A9D"/>
    <w:rsid w:val="00EE7214"/>
    <w:rsid w:val="00EE7B06"/>
    <w:rsid w:val="00EF0930"/>
    <w:rsid w:val="00EF0C4C"/>
    <w:rsid w:val="00EF1837"/>
    <w:rsid w:val="00EF1A78"/>
    <w:rsid w:val="00EF1D0B"/>
    <w:rsid w:val="00EF2665"/>
    <w:rsid w:val="00EF388E"/>
    <w:rsid w:val="00EF3F8D"/>
    <w:rsid w:val="00EF4778"/>
    <w:rsid w:val="00EF4B91"/>
    <w:rsid w:val="00EF5E25"/>
    <w:rsid w:val="00EF6019"/>
    <w:rsid w:val="00EF6BC9"/>
    <w:rsid w:val="00EF6E86"/>
    <w:rsid w:val="00EF7306"/>
    <w:rsid w:val="00EF7672"/>
    <w:rsid w:val="00EF7BE6"/>
    <w:rsid w:val="00F00913"/>
    <w:rsid w:val="00F00A6A"/>
    <w:rsid w:val="00F00B38"/>
    <w:rsid w:val="00F00DD9"/>
    <w:rsid w:val="00F00E6E"/>
    <w:rsid w:val="00F012A6"/>
    <w:rsid w:val="00F013B4"/>
    <w:rsid w:val="00F016A5"/>
    <w:rsid w:val="00F017DD"/>
    <w:rsid w:val="00F01901"/>
    <w:rsid w:val="00F01A1A"/>
    <w:rsid w:val="00F01C80"/>
    <w:rsid w:val="00F01CCA"/>
    <w:rsid w:val="00F01EDE"/>
    <w:rsid w:val="00F0243B"/>
    <w:rsid w:val="00F0280C"/>
    <w:rsid w:val="00F03039"/>
    <w:rsid w:val="00F0343C"/>
    <w:rsid w:val="00F03BBD"/>
    <w:rsid w:val="00F0409A"/>
    <w:rsid w:val="00F045C9"/>
    <w:rsid w:val="00F0491A"/>
    <w:rsid w:val="00F049D2"/>
    <w:rsid w:val="00F04A66"/>
    <w:rsid w:val="00F04ABC"/>
    <w:rsid w:val="00F04F68"/>
    <w:rsid w:val="00F064E5"/>
    <w:rsid w:val="00F06D80"/>
    <w:rsid w:val="00F06F97"/>
    <w:rsid w:val="00F07103"/>
    <w:rsid w:val="00F074C3"/>
    <w:rsid w:val="00F0757E"/>
    <w:rsid w:val="00F079D7"/>
    <w:rsid w:val="00F07AA9"/>
    <w:rsid w:val="00F07CA3"/>
    <w:rsid w:val="00F07D63"/>
    <w:rsid w:val="00F07FF7"/>
    <w:rsid w:val="00F10425"/>
    <w:rsid w:val="00F10AEF"/>
    <w:rsid w:val="00F10F1D"/>
    <w:rsid w:val="00F11741"/>
    <w:rsid w:val="00F126B0"/>
    <w:rsid w:val="00F129F0"/>
    <w:rsid w:val="00F12E5A"/>
    <w:rsid w:val="00F143B7"/>
    <w:rsid w:val="00F146BD"/>
    <w:rsid w:val="00F14B09"/>
    <w:rsid w:val="00F14F55"/>
    <w:rsid w:val="00F15066"/>
    <w:rsid w:val="00F15215"/>
    <w:rsid w:val="00F15371"/>
    <w:rsid w:val="00F1557D"/>
    <w:rsid w:val="00F15E52"/>
    <w:rsid w:val="00F16C4F"/>
    <w:rsid w:val="00F170D2"/>
    <w:rsid w:val="00F1728E"/>
    <w:rsid w:val="00F17996"/>
    <w:rsid w:val="00F17BAB"/>
    <w:rsid w:val="00F17CC9"/>
    <w:rsid w:val="00F20203"/>
    <w:rsid w:val="00F20BFE"/>
    <w:rsid w:val="00F20F5F"/>
    <w:rsid w:val="00F21457"/>
    <w:rsid w:val="00F21EEA"/>
    <w:rsid w:val="00F22BA4"/>
    <w:rsid w:val="00F235B1"/>
    <w:rsid w:val="00F23B50"/>
    <w:rsid w:val="00F23E1B"/>
    <w:rsid w:val="00F23FA5"/>
    <w:rsid w:val="00F25184"/>
    <w:rsid w:val="00F257FE"/>
    <w:rsid w:val="00F25E12"/>
    <w:rsid w:val="00F26056"/>
    <w:rsid w:val="00F26095"/>
    <w:rsid w:val="00F2645E"/>
    <w:rsid w:val="00F265BF"/>
    <w:rsid w:val="00F269A7"/>
    <w:rsid w:val="00F26A53"/>
    <w:rsid w:val="00F26AC1"/>
    <w:rsid w:val="00F271D3"/>
    <w:rsid w:val="00F273C1"/>
    <w:rsid w:val="00F301C2"/>
    <w:rsid w:val="00F302B8"/>
    <w:rsid w:val="00F30AE8"/>
    <w:rsid w:val="00F30BC8"/>
    <w:rsid w:val="00F30D1D"/>
    <w:rsid w:val="00F310C8"/>
    <w:rsid w:val="00F3127E"/>
    <w:rsid w:val="00F3136F"/>
    <w:rsid w:val="00F31779"/>
    <w:rsid w:val="00F31FA4"/>
    <w:rsid w:val="00F323BC"/>
    <w:rsid w:val="00F326C5"/>
    <w:rsid w:val="00F32945"/>
    <w:rsid w:val="00F32A46"/>
    <w:rsid w:val="00F32DC6"/>
    <w:rsid w:val="00F33103"/>
    <w:rsid w:val="00F3334B"/>
    <w:rsid w:val="00F3526A"/>
    <w:rsid w:val="00F35270"/>
    <w:rsid w:val="00F35F18"/>
    <w:rsid w:val="00F360FF"/>
    <w:rsid w:val="00F3611C"/>
    <w:rsid w:val="00F36195"/>
    <w:rsid w:val="00F3643F"/>
    <w:rsid w:val="00F36C85"/>
    <w:rsid w:val="00F37034"/>
    <w:rsid w:val="00F3766D"/>
    <w:rsid w:val="00F405A3"/>
    <w:rsid w:val="00F406D2"/>
    <w:rsid w:val="00F40A16"/>
    <w:rsid w:val="00F41FE8"/>
    <w:rsid w:val="00F42630"/>
    <w:rsid w:val="00F42AE7"/>
    <w:rsid w:val="00F42F34"/>
    <w:rsid w:val="00F43660"/>
    <w:rsid w:val="00F43CAE"/>
    <w:rsid w:val="00F446DB"/>
    <w:rsid w:val="00F44FE2"/>
    <w:rsid w:val="00F45725"/>
    <w:rsid w:val="00F46092"/>
    <w:rsid w:val="00F462FE"/>
    <w:rsid w:val="00F46895"/>
    <w:rsid w:val="00F469D4"/>
    <w:rsid w:val="00F46AF4"/>
    <w:rsid w:val="00F476E5"/>
    <w:rsid w:val="00F47C96"/>
    <w:rsid w:val="00F47F30"/>
    <w:rsid w:val="00F50FFA"/>
    <w:rsid w:val="00F5105E"/>
    <w:rsid w:val="00F514CC"/>
    <w:rsid w:val="00F51663"/>
    <w:rsid w:val="00F51AC4"/>
    <w:rsid w:val="00F51B4D"/>
    <w:rsid w:val="00F5256A"/>
    <w:rsid w:val="00F52CDE"/>
    <w:rsid w:val="00F52F14"/>
    <w:rsid w:val="00F53CA9"/>
    <w:rsid w:val="00F54612"/>
    <w:rsid w:val="00F54834"/>
    <w:rsid w:val="00F55759"/>
    <w:rsid w:val="00F55D2C"/>
    <w:rsid w:val="00F567D5"/>
    <w:rsid w:val="00F56A00"/>
    <w:rsid w:val="00F56A53"/>
    <w:rsid w:val="00F56E64"/>
    <w:rsid w:val="00F571DC"/>
    <w:rsid w:val="00F57394"/>
    <w:rsid w:val="00F5788F"/>
    <w:rsid w:val="00F57963"/>
    <w:rsid w:val="00F600A0"/>
    <w:rsid w:val="00F604FC"/>
    <w:rsid w:val="00F612BB"/>
    <w:rsid w:val="00F6180A"/>
    <w:rsid w:val="00F619CF"/>
    <w:rsid w:val="00F61D91"/>
    <w:rsid w:val="00F625EB"/>
    <w:rsid w:val="00F62942"/>
    <w:rsid w:val="00F62DBA"/>
    <w:rsid w:val="00F63192"/>
    <w:rsid w:val="00F6399E"/>
    <w:rsid w:val="00F63E0B"/>
    <w:rsid w:val="00F64748"/>
    <w:rsid w:val="00F649D8"/>
    <w:rsid w:val="00F64D97"/>
    <w:rsid w:val="00F64E51"/>
    <w:rsid w:val="00F65172"/>
    <w:rsid w:val="00F652B0"/>
    <w:rsid w:val="00F65B91"/>
    <w:rsid w:val="00F662F8"/>
    <w:rsid w:val="00F663E5"/>
    <w:rsid w:val="00F66549"/>
    <w:rsid w:val="00F667E4"/>
    <w:rsid w:val="00F66E8F"/>
    <w:rsid w:val="00F6761B"/>
    <w:rsid w:val="00F6778B"/>
    <w:rsid w:val="00F6787E"/>
    <w:rsid w:val="00F6796B"/>
    <w:rsid w:val="00F708DF"/>
    <w:rsid w:val="00F71485"/>
    <w:rsid w:val="00F7160F"/>
    <w:rsid w:val="00F719E0"/>
    <w:rsid w:val="00F72265"/>
    <w:rsid w:val="00F72649"/>
    <w:rsid w:val="00F727AD"/>
    <w:rsid w:val="00F72A42"/>
    <w:rsid w:val="00F72A81"/>
    <w:rsid w:val="00F72D3A"/>
    <w:rsid w:val="00F73472"/>
    <w:rsid w:val="00F73EFF"/>
    <w:rsid w:val="00F7419D"/>
    <w:rsid w:val="00F74293"/>
    <w:rsid w:val="00F74B24"/>
    <w:rsid w:val="00F75679"/>
    <w:rsid w:val="00F75723"/>
    <w:rsid w:val="00F75C3E"/>
    <w:rsid w:val="00F75C5E"/>
    <w:rsid w:val="00F75E97"/>
    <w:rsid w:val="00F76779"/>
    <w:rsid w:val="00F77451"/>
    <w:rsid w:val="00F77674"/>
    <w:rsid w:val="00F77792"/>
    <w:rsid w:val="00F77A98"/>
    <w:rsid w:val="00F77B45"/>
    <w:rsid w:val="00F77B9B"/>
    <w:rsid w:val="00F80699"/>
    <w:rsid w:val="00F80E56"/>
    <w:rsid w:val="00F811EC"/>
    <w:rsid w:val="00F816BB"/>
    <w:rsid w:val="00F81816"/>
    <w:rsid w:val="00F82AA9"/>
    <w:rsid w:val="00F82B61"/>
    <w:rsid w:val="00F82D59"/>
    <w:rsid w:val="00F82E64"/>
    <w:rsid w:val="00F832D4"/>
    <w:rsid w:val="00F8353D"/>
    <w:rsid w:val="00F8355E"/>
    <w:rsid w:val="00F83CB3"/>
    <w:rsid w:val="00F83D16"/>
    <w:rsid w:val="00F83EFD"/>
    <w:rsid w:val="00F83F38"/>
    <w:rsid w:val="00F83FDB"/>
    <w:rsid w:val="00F86239"/>
    <w:rsid w:val="00F86551"/>
    <w:rsid w:val="00F866E3"/>
    <w:rsid w:val="00F8670C"/>
    <w:rsid w:val="00F870E1"/>
    <w:rsid w:val="00F909FE"/>
    <w:rsid w:val="00F90A2E"/>
    <w:rsid w:val="00F90FB8"/>
    <w:rsid w:val="00F91A45"/>
    <w:rsid w:val="00F929D1"/>
    <w:rsid w:val="00F92E1A"/>
    <w:rsid w:val="00F92E20"/>
    <w:rsid w:val="00F9384F"/>
    <w:rsid w:val="00F941F7"/>
    <w:rsid w:val="00F9485D"/>
    <w:rsid w:val="00F94D38"/>
    <w:rsid w:val="00F94D56"/>
    <w:rsid w:val="00F94E7E"/>
    <w:rsid w:val="00F94FFE"/>
    <w:rsid w:val="00F95B33"/>
    <w:rsid w:val="00F9620C"/>
    <w:rsid w:val="00F96325"/>
    <w:rsid w:val="00F96A71"/>
    <w:rsid w:val="00F96C40"/>
    <w:rsid w:val="00F971EF"/>
    <w:rsid w:val="00F9765B"/>
    <w:rsid w:val="00FA0F02"/>
    <w:rsid w:val="00FA13B5"/>
    <w:rsid w:val="00FA1423"/>
    <w:rsid w:val="00FA16CE"/>
    <w:rsid w:val="00FA181A"/>
    <w:rsid w:val="00FA21D1"/>
    <w:rsid w:val="00FA235F"/>
    <w:rsid w:val="00FA2435"/>
    <w:rsid w:val="00FA2ACC"/>
    <w:rsid w:val="00FA2B3B"/>
    <w:rsid w:val="00FA2D35"/>
    <w:rsid w:val="00FA30C9"/>
    <w:rsid w:val="00FA324E"/>
    <w:rsid w:val="00FA3336"/>
    <w:rsid w:val="00FA344C"/>
    <w:rsid w:val="00FA4C78"/>
    <w:rsid w:val="00FA4F7F"/>
    <w:rsid w:val="00FA5470"/>
    <w:rsid w:val="00FA585F"/>
    <w:rsid w:val="00FA5C45"/>
    <w:rsid w:val="00FA652C"/>
    <w:rsid w:val="00FA6ABB"/>
    <w:rsid w:val="00FA7127"/>
    <w:rsid w:val="00FA7330"/>
    <w:rsid w:val="00FA7517"/>
    <w:rsid w:val="00FB0181"/>
    <w:rsid w:val="00FB0C82"/>
    <w:rsid w:val="00FB1371"/>
    <w:rsid w:val="00FB1633"/>
    <w:rsid w:val="00FB177B"/>
    <w:rsid w:val="00FB18AA"/>
    <w:rsid w:val="00FB19D0"/>
    <w:rsid w:val="00FB24EC"/>
    <w:rsid w:val="00FB2E4B"/>
    <w:rsid w:val="00FB2FF1"/>
    <w:rsid w:val="00FB30B4"/>
    <w:rsid w:val="00FB38EF"/>
    <w:rsid w:val="00FB39BC"/>
    <w:rsid w:val="00FB3AF1"/>
    <w:rsid w:val="00FB4562"/>
    <w:rsid w:val="00FB4742"/>
    <w:rsid w:val="00FB4869"/>
    <w:rsid w:val="00FB60B4"/>
    <w:rsid w:val="00FB61F0"/>
    <w:rsid w:val="00FB73DC"/>
    <w:rsid w:val="00FB799F"/>
    <w:rsid w:val="00FB7C75"/>
    <w:rsid w:val="00FC0811"/>
    <w:rsid w:val="00FC1F51"/>
    <w:rsid w:val="00FC3267"/>
    <w:rsid w:val="00FC36CB"/>
    <w:rsid w:val="00FC36FC"/>
    <w:rsid w:val="00FC3DE5"/>
    <w:rsid w:val="00FC514D"/>
    <w:rsid w:val="00FC548C"/>
    <w:rsid w:val="00FC54F7"/>
    <w:rsid w:val="00FC56E7"/>
    <w:rsid w:val="00FC5C1B"/>
    <w:rsid w:val="00FC77C7"/>
    <w:rsid w:val="00FD0148"/>
    <w:rsid w:val="00FD0720"/>
    <w:rsid w:val="00FD0C35"/>
    <w:rsid w:val="00FD1D02"/>
    <w:rsid w:val="00FD2084"/>
    <w:rsid w:val="00FD2142"/>
    <w:rsid w:val="00FD24E3"/>
    <w:rsid w:val="00FD2A1D"/>
    <w:rsid w:val="00FD3189"/>
    <w:rsid w:val="00FD3482"/>
    <w:rsid w:val="00FD3544"/>
    <w:rsid w:val="00FD367E"/>
    <w:rsid w:val="00FD38CC"/>
    <w:rsid w:val="00FD391B"/>
    <w:rsid w:val="00FD39F9"/>
    <w:rsid w:val="00FD4253"/>
    <w:rsid w:val="00FD4C28"/>
    <w:rsid w:val="00FD4EBF"/>
    <w:rsid w:val="00FD4FB8"/>
    <w:rsid w:val="00FD563D"/>
    <w:rsid w:val="00FD5B78"/>
    <w:rsid w:val="00FD5ED3"/>
    <w:rsid w:val="00FD6D81"/>
    <w:rsid w:val="00FD7458"/>
    <w:rsid w:val="00FD75F3"/>
    <w:rsid w:val="00FD7F64"/>
    <w:rsid w:val="00FE0558"/>
    <w:rsid w:val="00FE06E3"/>
    <w:rsid w:val="00FE0969"/>
    <w:rsid w:val="00FE0AAD"/>
    <w:rsid w:val="00FE1578"/>
    <w:rsid w:val="00FE17F9"/>
    <w:rsid w:val="00FE20A0"/>
    <w:rsid w:val="00FE2120"/>
    <w:rsid w:val="00FE26AD"/>
    <w:rsid w:val="00FE31FF"/>
    <w:rsid w:val="00FE4302"/>
    <w:rsid w:val="00FE4370"/>
    <w:rsid w:val="00FE45D8"/>
    <w:rsid w:val="00FE486A"/>
    <w:rsid w:val="00FE4E49"/>
    <w:rsid w:val="00FE56A2"/>
    <w:rsid w:val="00FE59DC"/>
    <w:rsid w:val="00FE5A77"/>
    <w:rsid w:val="00FE5F3F"/>
    <w:rsid w:val="00FE5F4C"/>
    <w:rsid w:val="00FE6632"/>
    <w:rsid w:val="00FE69FB"/>
    <w:rsid w:val="00FE6C5C"/>
    <w:rsid w:val="00FE7337"/>
    <w:rsid w:val="00FE7C1D"/>
    <w:rsid w:val="00FF070C"/>
    <w:rsid w:val="00FF0F15"/>
    <w:rsid w:val="00FF10AE"/>
    <w:rsid w:val="00FF175A"/>
    <w:rsid w:val="00FF1A26"/>
    <w:rsid w:val="00FF1EDF"/>
    <w:rsid w:val="00FF326B"/>
    <w:rsid w:val="00FF3F05"/>
    <w:rsid w:val="00FF446E"/>
    <w:rsid w:val="00FF45AA"/>
    <w:rsid w:val="00FF4C64"/>
    <w:rsid w:val="00FF5297"/>
    <w:rsid w:val="00FF5421"/>
    <w:rsid w:val="00FF63C2"/>
    <w:rsid w:val="00FF6602"/>
    <w:rsid w:val="00FF66F9"/>
    <w:rsid w:val="00FF681C"/>
    <w:rsid w:val="00FF7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colormru v:ext="edit" colors="#002a6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sz w:val="22"/>
        <w:szCs w:val="22"/>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header" w:uiPriority="99"/>
    <w:lsdException w:name="footer" w:uiPriority="99"/>
    <w:lsdException w:name="caption" w:uiPriority="99" w:qFormat="1"/>
    <w:lsdException w:name="table of figures" w:uiPriority="99"/>
    <w:lsdException w:name="footnote reference" w:uiPriority="99"/>
    <w:lsdException w:name="annotation reference" w:uiPriority="99"/>
    <w:lsdException w:name="page number" w:uiPriority="99" w:qFormat="1"/>
    <w:lsdException w:name="endnote reference" w:uiPriority="99"/>
    <w:lsdException w:name="endnote text" w:uiPriority="99"/>
    <w:lsdException w:name="List Bullet" w:uiPriority="99"/>
    <w:lsdException w:name="List Number" w:semiHidden="0" w:uiPriority="99" w:unhideWhenUsed="0"/>
    <w:lsdException w:name="List 4" w:semiHidden="0" w:unhideWhenUsed="0"/>
    <w:lsdException w:name="List 5" w:semiHidden="0" w:unhideWhenUsed="0"/>
    <w:lsdException w:name="List Bullet 3" w:uiPriority="99"/>
    <w:lsdException w:name="List Number 2" w:uiPriority="99"/>
    <w:lsdException w:name="Title" w:semiHidden="0" w:uiPriority="99" w:unhideWhenUsed="0" w:qFormat="1"/>
    <w:lsdException w:name="Body Tex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99" w:unhideWhenUsed="0" w:qFormat="1"/>
    <w:lsdException w:name="Emphasis" w:semiHidden="0" w:uiPriority="99" w:unhideWhenUsed="0" w:qFormat="1"/>
    <w:lsdException w:name="Normal (Web)" w:uiPriority="99"/>
    <w:lsdException w:name="annotation subject" w:uiPriority="99"/>
    <w:lsdException w:name="No List" w:uiPriority="99"/>
    <w:lsdException w:name="Outline List 2" w:uiPriority="99"/>
    <w:lsdException w:name="Table Simple 1" w:uiPriority="99"/>
    <w:lsdException w:name="Balloon Text" w:uiPriority="99"/>
    <w:lsdException w:name="Table Grid" w:semiHidden="0" w:uiPriority="9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qFormat="1"/>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1"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1"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1" w:unhideWhenUsed="0"/>
    <w:lsdException w:name="Medium Shading 2 Accent 2" w:semiHidden="0" w:uiPriority="64" w:unhideWhenUsed="0"/>
    <w:lsdException w:name="Medium List 1 Accent 2" w:semiHidden="0" w:uiPriority="99" w:unhideWhenUsed="0"/>
    <w:lsdException w:name="Medium List 2 Accent 2" w:semiHidden="0" w:uiPriority="66" w:unhideWhenUsed="0"/>
    <w:lsdException w:name="Medium Grid 1 Accent 2" w:semiHidden="0" w:uiPriority="34" w:unhideWhenUsed="0" w:qFormat="1"/>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99" w:unhideWhenUsed="0"/>
    <w:lsdException w:name="Colorful Grid Accent 2" w:semiHidden="0" w:uiPriority="99" w:unhideWhenUsed="0"/>
    <w:lsdException w:name="Light Shading Accent 3" w:semiHidden="0" w:uiPriority="60" w:unhideWhenUsed="0"/>
    <w:lsdException w:name="Light List Accent 3" w:semiHidden="0" w:uiPriority="61" w:unhideWhenUsed="0"/>
    <w:lsdException w:name="Light Grid Accent 3" w:semiHidden="0" w:uiPriority="34" w:unhideWhenUsed="0" w:qFormat="1"/>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99" w:unhideWhenUsed="0" w:qFormat="1"/>
    <w:lsdException w:name="Subtle Reference" w:semiHidden="0" w:uiPriority="99" w:unhideWhenUsed="0" w:qFormat="1"/>
    <w:lsdException w:name="Intense Reference" w:semiHidden="0" w:uiPriority="99"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235E42"/>
    <w:pPr>
      <w:spacing w:after="120"/>
    </w:pPr>
  </w:style>
  <w:style w:type="paragraph" w:styleId="Heading1">
    <w:name w:val="heading 1"/>
    <w:basedOn w:val="Normal"/>
    <w:next w:val="Normal"/>
    <w:link w:val="Heading1Char"/>
    <w:uiPriority w:val="99"/>
    <w:qFormat/>
    <w:rsid w:val="00396227"/>
    <w:pPr>
      <w:keepNext/>
      <w:numPr>
        <w:numId w:val="7"/>
      </w:numPr>
      <w:outlineLvl w:val="0"/>
    </w:pPr>
    <w:rPr>
      <w:rFonts w:asciiTheme="minorHAnsi" w:hAnsiTheme="minorHAnsi" w:cstheme="minorHAnsi"/>
      <w:bCs/>
      <w:color w:val="003880"/>
      <w:kern w:val="32"/>
      <w:sz w:val="32"/>
      <w:szCs w:val="72"/>
    </w:rPr>
  </w:style>
  <w:style w:type="paragraph" w:styleId="Heading2">
    <w:name w:val="heading 2"/>
    <w:basedOn w:val="Normal"/>
    <w:next w:val="Normal"/>
    <w:link w:val="Heading2Char"/>
    <w:uiPriority w:val="99"/>
    <w:qFormat/>
    <w:rsid w:val="00DE0C5D"/>
    <w:pPr>
      <w:keepNext/>
      <w:numPr>
        <w:ilvl w:val="1"/>
        <w:numId w:val="7"/>
      </w:numPr>
      <w:outlineLvl w:val="1"/>
    </w:pPr>
    <w:rPr>
      <w:bCs/>
      <w:iCs/>
      <w:color w:val="003880"/>
      <w:sz w:val="24"/>
      <w:szCs w:val="48"/>
    </w:rPr>
  </w:style>
  <w:style w:type="paragraph" w:styleId="Heading3">
    <w:name w:val="heading 3"/>
    <w:basedOn w:val="Normal"/>
    <w:next w:val="Normal"/>
    <w:link w:val="Heading3Char"/>
    <w:autoRedefine/>
    <w:uiPriority w:val="99"/>
    <w:qFormat/>
    <w:rsid w:val="00DB55DD"/>
    <w:pPr>
      <w:keepNext/>
      <w:spacing w:before="360" w:line="276" w:lineRule="auto"/>
      <w:outlineLvl w:val="2"/>
    </w:pPr>
    <w:rPr>
      <w:rFonts w:asciiTheme="minorHAnsi" w:hAnsiTheme="minorHAnsi" w:cstheme="minorHAnsi"/>
      <w:b/>
      <w:bCs/>
      <w:i/>
      <w:iCs/>
      <w:color w:val="003880"/>
      <w:sz w:val="24"/>
      <w:szCs w:val="28"/>
    </w:rPr>
  </w:style>
  <w:style w:type="paragraph" w:styleId="Heading4">
    <w:name w:val="heading 4"/>
    <w:basedOn w:val="Normal"/>
    <w:next w:val="Normal"/>
    <w:link w:val="Heading4Char"/>
    <w:uiPriority w:val="99"/>
    <w:qFormat/>
    <w:rsid w:val="00643C39"/>
    <w:pPr>
      <w:keepNext/>
      <w:numPr>
        <w:ilvl w:val="3"/>
        <w:numId w:val="7"/>
      </w:numPr>
      <w:spacing w:before="240" w:after="60"/>
      <w:outlineLvl w:val="3"/>
    </w:pPr>
    <w:rPr>
      <w:b/>
      <w:bCs/>
      <w:sz w:val="24"/>
      <w:szCs w:val="28"/>
    </w:rPr>
  </w:style>
  <w:style w:type="paragraph" w:styleId="Heading5">
    <w:name w:val="heading 5"/>
    <w:basedOn w:val="Normal"/>
    <w:next w:val="Normal"/>
    <w:link w:val="Heading5Char"/>
    <w:uiPriority w:val="99"/>
    <w:qFormat/>
    <w:rsid w:val="00643C39"/>
    <w:pPr>
      <w:numPr>
        <w:ilvl w:val="4"/>
        <w:numId w:val="3"/>
      </w:numPr>
      <w:spacing w:before="240" w:after="60"/>
      <w:outlineLvl w:val="4"/>
    </w:pPr>
    <w:rPr>
      <w:b/>
      <w:bCs/>
      <w:i/>
      <w:iCs/>
      <w:sz w:val="26"/>
      <w:szCs w:val="26"/>
    </w:rPr>
  </w:style>
  <w:style w:type="paragraph" w:styleId="Heading6">
    <w:name w:val="heading 6"/>
    <w:basedOn w:val="Normal"/>
    <w:next w:val="Normal"/>
    <w:link w:val="Heading6Char"/>
    <w:uiPriority w:val="99"/>
    <w:qFormat/>
    <w:rsid w:val="00643C39"/>
    <w:pPr>
      <w:numPr>
        <w:ilvl w:val="5"/>
        <w:numId w:val="3"/>
      </w:numPr>
      <w:spacing w:before="240" w:after="60"/>
      <w:outlineLvl w:val="5"/>
    </w:pPr>
    <w:rPr>
      <w:b/>
      <w:bCs/>
    </w:rPr>
  </w:style>
  <w:style w:type="paragraph" w:styleId="Heading7">
    <w:name w:val="heading 7"/>
    <w:basedOn w:val="Normal"/>
    <w:next w:val="Normal"/>
    <w:link w:val="Heading7Char"/>
    <w:uiPriority w:val="99"/>
    <w:qFormat/>
    <w:rsid w:val="00643C39"/>
    <w:pPr>
      <w:numPr>
        <w:ilvl w:val="6"/>
        <w:numId w:val="3"/>
      </w:numPr>
      <w:spacing w:before="240" w:after="60"/>
      <w:outlineLvl w:val="6"/>
    </w:pPr>
  </w:style>
  <w:style w:type="paragraph" w:styleId="Heading8">
    <w:name w:val="heading 8"/>
    <w:basedOn w:val="Normal"/>
    <w:next w:val="Normal"/>
    <w:link w:val="Heading8Char"/>
    <w:uiPriority w:val="99"/>
    <w:qFormat/>
    <w:rsid w:val="00643C39"/>
    <w:pPr>
      <w:numPr>
        <w:ilvl w:val="7"/>
        <w:numId w:val="3"/>
      </w:numPr>
      <w:spacing w:before="240" w:after="60"/>
      <w:outlineLvl w:val="7"/>
    </w:pPr>
    <w:rPr>
      <w:i/>
      <w:iCs/>
    </w:rPr>
  </w:style>
  <w:style w:type="paragraph" w:styleId="Heading9">
    <w:name w:val="heading 9"/>
    <w:basedOn w:val="Normal"/>
    <w:next w:val="Normal"/>
    <w:link w:val="Heading9Char"/>
    <w:uiPriority w:val="99"/>
    <w:qFormat/>
    <w:rsid w:val="00643C39"/>
    <w:pPr>
      <w:numPr>
        <w:ilvl w:val="8"/>
        <w:numId w:val="3"/>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396227"/>
    <w:rPr>
      <w:rFonts w:asciiTheme="minorHAnsi" w:hAnsiTheme="minorHAnsi" w:cstheme="minorHAnsi"/>
      <w:bCs/>
      <w:color w:val="003880"/>
      <w:kern w:val="32"/>
      <w:sz w:val="32"/>
      <w:szCs w:val="72"/>
    </w:rPr>
  </w:style>
  <w:style w:type="character" w:customStyle="1" w:styleId="Heading2Char">
    <w:name w:val="Heading 2 Char"/>
    <w:link w:val="Heading2"/>
    <w:uiPriority w:val="99"/>
    <w:rsid w:val="00DE0C5D"/>
    <w:rPr>
      <w:bCs/>
      <w:iCs/>
      <w:color w:val="003880"/>
      <w:sz w:val="24"/>
      <w:szCs w:val="48"/>
    </w:rPr>
  </w:style>
  <w:style w:type="character" w:customStyle="1" w:styleId="Heading3Char">
    <w:name w:val="Heading 3 Char"/>
    <w:link w:val="Heading3"/>
    <w:uiPriority w:val="99"/>
    <w:rsid w:val="00DB55DD"/>
    <w:rPr>
      <w:rFonts w:asciiTheme="minorHAnsi" w:hAnsiTheme="minorHAnsi" w:cstheme="minorHAnsi"/>
      <w:b/>
      <w:bCs/>
      <w:i/>
      <w:iCs/>
      <w:color w:val="003880"/>
      <w:sz w:val="24"/>
      <w:szCs w:val="28"/>
    </w:rPr>
  </w:style>
  <w:style w:type="paragraph" w:styleId="Footer">
    <w:name w:val="footer"/>
    <w:basedOn w:val="Normal"/>
    <w:link w:val="FooterChar"/>
    <w:uiPriority w:val="99"/>
    <w:rsid w:val="005F5956"/>
    <w:pPr>
      <w:tabs>
        <w:tab w:val="center" w:pos="4320"/>
        <w:tab w:val="right" w:pos="8640"/>
      </w:tabs>
    </w:pPr>
    <w:rPr>
      <w:b/>
      <w:caps/>
      <w:sz w:val="16"/>
      <w:szCs w:val="16"/>
    </w:rPr>
  </w:style>
  <w:style w:type="character" w:customStyle="1" w:styleId="FooterChar">
    <w:name w:val="Footer Char"/>
    <w:link w:val="Footer"/>
    <w:uiPriority w:val="99"/>
    <w:rsid w:val="00623899"/>
    <w:rPr>
      <w:rFonts w:ascii="Gill Sans MT" w:hAnsi="Gill Sans MT"/>
      <w:b/>
      <w:caps/>
      <w:sz w:val="16"/>
      <w:szCs w:val="16"/>
    </w:rPr>
  </w:style>
  <w:style w:type="character" w:styleId="FootnoteReference">
    <w:name w:val="footnote reference"/>
    <w:aliases w:val=" BVI fnr,BVI fnr,ftref,referencia nota al pie,footnote ref,16 Point,Superscript 6 Point,fr,(NECG) Footnote Reference"/>
    <w:uiPriority w:val="99"/>
    <w:rsid w:val="00890B09"/>
    <w:rPr>
      <w:rFonts w:ascii="Times New Roman" w:hAnsi="Times New Roman"/>
      <w:sz w:val="22"/>
      <w:szCs w:val="22"/>
      <w:vertAlign w:val="superscript"/>
    </w:rPr>
  </w:style>
  <w:style w:type="paragraph" w:styleId="Header">
    <w:name w:val="header"/>
    <w:basedOn w:val="Normal"/>
    <w:link w:val="HeaderChar"/>
    <w:uiPriority w:val="99"/>
    <w:rsid w:val="006A672B"/>
    <w:pPr>
      <w:tabs>
        <w:tab w:val="center" w:pos="4320"/>
        <w:tab w:val="right" w:pos="8640"/>
      </w:tabs>
    </w:pPr>
    <w:rPr>
      <w:caps/>
      <w:sz w:val="16"/>
      <w:szCs w:val="16"/>
    </w:rPr>
  </w:style>
  <w:style w:type="character" w:customStyle="1" w:styleId="HeaderChar">
    <w:name w:val="Header Char"/>
    <w:link w:val="Header"/>
    <w:uiPriority w:val="99"/>
    <w:rsid w:val="006A672B"/>
    <w:rPr>
      <w:rFonts w:ascii="Gill Sans MT" w:hAnsi="Gill Sans MT"/>
      <w:caps/>
      <w:sz w:val="16"/>
      <w:szCs w:val="16"/>
    </w:rPr>
  </w:style>
  <w:style w:type="paragraph" w:styleId="ListNumber">
    <w:name w:val="List Number"/>
    <w:basedOn w:val="Normal"/>
    <w:link w:val="ListNumberChar"/>
    <w:uiPriority w:val="99"/>
    <w:rsid w:val="00890B09"/>
    <w:pPr>
      <w:tabs>
        <w:tab w:val="num" w:pos="360"/>
      </w:tabs>
    </w:pPr>
  </w:style>
  <w:style w:type="paragraph" w:styleId="List">
    <w:name w:val="List"/>
    <w:basedOn w:val="Normal"/>
    <w:rsid w:val="00890B09"/>
    <w:pPr>
      <w:ind w:left="360" w:hanging="360"/>
    </w:pPr>
  </w:style>
  <w:style w:type="character" w:styleId="PageNumber">
    <w:name w:val="page number"/>
    <w:uiPriority w:val="99"/>
    <w:qFormat/>
    <w:rsid w:val="00D14AFA"/>
    <w:rPr>
      <w:rFonts w:ascii="Calibri" w:hAnsi="Calibri" w:cs="Calibri"/>
      <w:color w:val="595959" w:themeColor="text1" w:themeTint="A6"/>
      <w:sz w:val="24"/>
    </w:rPr>
  </w:style>
  <w:style w:type="paragraph" w:styleId="TableofFigures">
    <w:name w:val="table of figures"/>
    <w:basedOn w:val="Normal"/>
    <w:next w:val="Normal"/>
    <w:uiPriority w:val="99"/>
    <w:rsid w:val="00803B3F"/>
    <w:pPr>
      <w:ind w:left="440" w:hanging="440"/>
    </w:pPr>
  </w:style>
  <w:style w:type="paragraph" w:customStyle="1" w:styleId="2ParagraphHeadline">
    <w:name w:val="2 Paragraph Headline"/>
    <w:basedOn w:val="Normal"/>
    <w:link w:val="2ParagraphHeadlineChar"/>
    <w:qFormat/>
    <w:rsid w:val="005C475A"/>
    <w:rPr>
      <w:rFonts w:eastAsiaTheme="minorHAnsi"/>
      <w:b/>
      <w:bCs/>
      <w:color w:val="68BAD6"/>
      <w:szCs w:val="14"/>
    </w:rPr>
  </w:style>
  <w:style w:type="character" w:styleId="Hyperlink">
    <w:name w:val="Hyperlink"/>
    <w:uiPriority w:val="99"/>
    <w:rsid w:val="00890B09"/>
    <w:rPr>
      <w:rFonts w:ascii="Gill Sans MT" w:hAnsi="Gill Sans MT"/>
      <w:color w:val="auto"/>
      <w:sz w:val="22"/>
      <w:u w:val="single"/>
    </w:rPr>
  </w:style>
  <w:style w:type="paragraph" w:styleId="ListBullet">
    <w:name w:val="List Bullet"/>
    <w:basedOn w:val="Normal"/>
    <w:uiPriority w:val="99"/>
    <w:rsid w:val="00D234C8"/>
    <w:pPr>
      <w:numPr>
        <w:numId w:val="1"/>
      </w:numPr>
    </w:pPr>
  </w:style>
  <w:style w:type="paragraph" w:styleId="Caption">
    <w:name w:val="caption"/>
    <w:aliases w:val="Figure"/>
    <w:basedOn w:val="Normal"/>
    <w:next w:val="Normal"/>
    <w:autoRedefine/>
    <w:uiPriority w:val="99"/>
    <w:qFormat/>
    <w:rsid w:val="001A3FC6"/>
    <w:pPr>
      <w:keepNext/>
      <w:tabs>
        <w:tab w:val="left" w:pos="993"/>
      </w:tabs>
      <w:spacing w:line="276" w:lineRule="auto"/>
      <w:jc w:val="center"/>
    </w:pPr>
    <w:rPr>
      <w:rFonts w:asciiTheme="minorHAnsi" w:hAnsiTheme="minorHAnsi" w:cstheme="minorHAnsi"/>
      <w:b/>
      <w:lang w:val="en-GB"/>
    </w:rPr>
  </w:style>
  <w:style w:type="character" w:customStyle="1" w:styleId="2ParagraphHeadlineChar">
    <w:name w:val="2 Paragraph Headline Char"/>
    <w:basedOn w:val="DefaultParagraphFont"/>
    <w:link w:val="2ParagraphHeadline"/>
    <w:rsid w:val="005C475A"/>
    <w:rPr>
      <w:rFonts w:eastAsiaTheme="minorHAnsi"/>
      <w:b/>
      <w:bCs/>
      <w:color w:val="68BAD6"/>
      <w:szCs w:val="14"/>
    </w:rPr>
  </w:style>
  <w:style w:type="paragraph" w:customStyle="1" w:styleId="MediumGrid21">
    <w:name w:val="Medium Grid 21"/>
    <w:link w:val="MediumGrid2Char"/>
    <w:uiPriority w:val="1"/>
    <w:qFormat/>
    <w:rsid w:val="0027184C"/>
    <w:rPr>
      <w:rFonts w:ascii="Gill Sans MT" w:hAnsi="Gill Sans MT"/>
      <w:szCs w:val="24"/>
    </w:rPr>
  </w:style>
  <w:style w:type="character" w:customStyle="1" w:styleId="MediumGrid2Char">
    <w:name w:val="Medium Grid 2 Char"/>
    <w:link w:val="MediumGrid21"/>
    <w:uiPriority w:val="1"/>
    <w:rsid w:val="00A04901"/>
    <w:rPr>
      <w:rFonts w:ascii="Gill Sans MT" w:hAnsi="Gill Sans MT"/>
      <w:sz w:val="22"/>
      <w:szCs w:val="24"/>
      <w:lang w:val="en-US" w:eastAsia="en-US" w:bidi="ar-SA"/>
    </w:rPr>
  </w:style>
  <w:style w:type="paragraph" w:styleId="TOCHeading">
    <w:name w:val="TOC Heading"/>
    <w:basedOn w:val="Heading1"/>
    <w:next w:val="Normal"/>
    <w:uiPriority w:val="39"/>
    <w:unhideWhenUsed/>
    <w:qFormat/>
    <w:rsid w:val="00F816BB"/>
    <w:pPr>
      <w:keepLines/>
      <w:spacing w:before="480" w:line="276" w:lineRule="auto"/>
      <w:ind w:left="0" w:firstLine="0"/>
      <w:outlineLvl w:val="9"/>
    </w:pPr>
    <w:rPr>
      <w:rFonts w:asciiTheme="majorHAnsi" w:eastAsiaTheme="majorEastAsia" w:hAnsiTheme="majorHAnsi" w:cstheme="majorBidi"/>
      <w:b/>
      <w:color w:val="365F91" w:themeColor="accent1" w:themeShade="BF"/>
      <w:kern w:val="0"/>
      <w:sz w:val="28"/>
      <w:szCs w:val="28"/>
      <w:lang w:eastAsia="ja-JP"/>
    </w:rPr>
  </w:style>
  <w:style w:type="paragraph" w:styleId="FootnoteText">
    <w:name w:val="footnote text"/>
    <w:aliases w:val="FOOTNOTES,fn,single space,footnote text,Footnote Text Char Char,Footnote Text Char Char Char Char,Footnote Text Char Char Char Char Char Char Char Char,Footnote Text Char Char Char Char Char Char Char"/>
    <w:basedOn w:val="Normal"/>
    <w:link w:val="FootnoteTextChar"/>
    <w:uiPriority w:val="99"/>
    <w:rsid w:val="005D7550"/>
    <w:rPr>
      <w:sz w:val="20"/>
    </w:rPr>
  </w:style>
  <w:style w:type="paragraph" w:styleId="TOC1">
    <w:name w:val="toc 1"/>
    <w:basedOn w:val="Normal"/>
    <w:next w:val="Normal"/>
    <w:autoRedefine/>
    <w:uiPriority w:val="39"/>
    <w:qFormat/>
    <w:rsid w:val="006F6337"/>
    <w:pPr>
      <w:tabs>
        <w:tab w:val="left" w:pos="720"/>
        <w:tab w:val="right" w:pos="9000"/>
      </w:tabs>
      <w:spacing w:before="240" w:after="240"/>
      <w:ind w:left="720" w:hanging="720"/>
    </w:pPr>
    <w:rPr>
      <w:rFonts w:asciiTheme="majorHAnsi" w:hAnsiTheme="majorHAnsi" w:cstheme="minorHAnsi"/>
      <w:b/>
      <w:bCs/>
      <w:caps/>
      <w:noProof/>
      <w:color w:val="003880"/>
      <w:sz w:val="20"/>
      <w:szCs w:val="24"/>
    </w:rPr>
  </w:style>
  <w:style w:type="paragraph" w:styleId="TOC2">
    <w:name w:val="toc 2"/>
    <w:basedOn w:val="Normal"/>
    <w:next w:val="Normal"/>
    <w:autoRedefine/>
    <w:uiPriority w:val="39"/>
    <w:qFormat/>
    <w:rsid w:val="00BA3B26"/>
    <w:pPr>
      <w:tabs>
        <w:tab w:val="left" w:pos="720"/>
        <w:tab w:val="right" w:pos="9000"/>
      </w:tabs>
      <w:spacing w:before="40" w:after="40"/>
    </w:pPr>
    <w:rPr>
      <w:rFonts w:asciiTheme="minorHAnsi" w:hAnsiTheme="minorHAnsi" w:cstheme="minorHAnsi"/>
      <w:b/>
      <w:bCs/>
      <w:sz w:val="20"/>
    </w:rPr>
  </w:style>
  <w:style w:type="paragraph" w:styleId="TOC3">
    <w:name w:val="toc 3"/>
    <w:basedOn w:val="Normal"/>
    <w:next w:val="Normal"/>
    <w:autoRedefine/>
    <w:uiPriority w:val="39"/>
    <w:qFormat/>
    <w:rsid w:val="00C820A7"/>
    <w:pPr>
      <w:tabs>
        <w:tab w:val="left" w:pos="720"/>
        <w:tab w:val="right" w:pos="9000"/>
      </w:tabs>
    </w:pPr>
    <w:rPr>
      <w:rFonts w:asciiTheme="minorHAnsi" w:hAnsiTheme="minorHAnsi" w:cstheme="minorHAnsi"/>
      <w:sz w:val="20"/>
    </w:rPr>
  </w:style>
  <w:style w:type="paragraph" w:styleId="TOC4">
    <w:name w:val="toc 4"/>
    <w:basedOn w:val="Normal"/>
    <w:next w:val="Normal"/>
    <w:autoRedefine/>
    <w:uiPriority w:val="99"/>
    <w:rsid w:val="00C86DEB"/>
    <w:pPr>
      <w:ind w:left="440"/>
    </w:pPr>
    <w:rPr>
      <w:rFonts w:asciiTheme="minorHAnsi" w:hAnsiTheme="minorHAnsi" w:cstheme="minorHAnsi"/>
      <w:sz w:val="20"/>
    </w:rPr>
  </w:style>
  <w:style w:type="paragraph" w:styleId="TOC5">
    <w:name w:val="toc 5"/>
    <w:basedOn w:val="Normal"/>
    <w:next w:val="Normal"/>
    <w:autoRedefine/>
    <w:uiPriority w:val="99"/>
    <w:rsid w:val="00C86DEB"/>
    <w:pPr>
      <w:ind w:left="660"/>
    </w:pPr>
    <w:rPr>
      <w:rFonts w:asciiTheme="minorHAnsi" w:hAnsiTheme="minorHAnsi" w:cstheme="minorHAnsi"/>
      <w:sz w:val="20"/>
    </w:rPr>
  </w:style>
  <w:style w:type="paragraph" w:styleId="TOC6">
    <w:name w:val="toc 6"/>
    <w:basedOn w:val="Normal"/>
    <w:next w:val="Normal"/>
    <w:autoRedefine/>
    <w:uiPriority w:val="99"/>
    <w:rsid w:val="00C86DEB"/>
    <w:pPr>
      <w:ind w:left="880"/>
    </w:pPr>
    <w:rPr>
      <w:rFonts w:asciiTheme="minorHAnsi" w:hAnsiTheme="minorHAnsi" w:cstheme="minorHAnsi"/>
      <w:sz w:val="20"/>
    </w:rPr>
  </w:style>
  <w:style w:type="paragraph" w:styleId="TOC7">
    <w:name w:val="toc 7"/>
    <w:basedOn w:val="Normal"/>
    <w:next w:val="Normal"/>
    <w:autoRedefine/>
    <w:uiPriority w:val="99"/>
    <w:rsid w:val="00C86DEB"/>
    <w:pPr>
      <w:ind w:left="1100"/>
    </w:pPr>
    <w:rPr>
      <w:rFonts w:asciiTheme="minorHAnsi" w:hAnsiTheme="minorHAnsi" w:cstheme="minorHAnsi"/>
      <w:sz w:val="20"/>
    </w:rPr>
  </w:style>
  <w:style w:type="paragraph" w:styleId="TOC8">
    <w:name w:val="toc 8"/>
    <w:basedOn w:val="Normal"/>
    <w:next w:val="Normal"/>
    <w:autoRedefine/>
    <w:uiPriority w:val="99"/>
    <w:rsid w:val="00C86DEB"/>
    <w:pPr>
      <w:ind w:left="1320"/>
    </w:pPr>
    <w:rPr>
      <w:rFonts w:asciiTheme="minorHAnsi" w:hAnsiTheme="minorHAnsi" w:cstheme="minorHAnsi"/>
      <w:sz w:val="20"/>
    </w:rPr>
  </w:style>
  <w:style w:type="paragraph" w:styleId="TOC9">
    <w:name w:val="toc 9"/>
    <w:basedOn w:val="Normal"/>
    <w:next w:val="Normal"/>
    <w:autoRedefine/>
    <w:uiPriority w:val="99"/>
    <w:rsid w:val="00C86DEB"/>
    <w:pPr>
      <w:ind w:left="1540"/>
    </w:pPr>
    <w:rPr>
      <w:rFonts w:asciiTheme="minorHAnsi" w:hAnsiTheme="minorHAnsi" w:cstheme="minorHAnsi"/>
      <w:sz w:val="20"/>
    </w:rPr>
  </w:style>
  <w:style w:type="paragraph" w:styleId="Title">
    <w:name w:val="Title"/>
    <w:basedOn w:val="Normal"/>
    <w:link w:val="TitleChar"/>
    <w:uiPriority w:val="99"/>
    <w:qFormat/>
    <w:rsid w:val="00643C39"/>
    <w:pPr>
      <w:spacing w:before="240" w:after="60"/>
      <w:ind w:left="1267"/>
      <w:outlineLvl w:val="0"/>
    </w:pPr>
    <w:rPr>
      <w:rFonts w:cs="Arial"/>
      <w:bCs/>
      <w:caps/>
      <w:kern w:val="28"/>
      <w:sz w:val="80"/>
      <w:szCs w:val="80"/>
    </w:rPr>
  </w:style>
  <w:style w:type="paragraph" w:customStyle="1" w:styleId="Disclaimer">
    <w:name w:val="Disclaimer"/>
    <w:basedOn w:val="Normal"/>
    <w:rsid w:val="00300CA5"/>
    <w:pPr>
      <w:spacing w:after="160" w:line="280" w:lineRule="exact"/>
      <w:ind w:left="1080" w:right="1080"/>
    </w:pPr>
    <w:rPr>
      <w:rFonts w:ascii="Arial" w:hAnsi="Arial" w:cs="Arial"/>
      <w:color w:val="FFFFFF"/>
    </w:rPr>
  </w:style>
  <w:style w:type="paragraph" w:customStyle="1" w:styleId="Disclaimer--MONTHYEAR">
    <w:name w:val="Disclaimer--MONTH YEAR"/>
    <w:basedOn w:val="Disclaimer"/>
    <w:rsid w:val="00300CA5"/>
    <w:pPr>
      <w:spacing w:after="240"/>
    </w:pPr>
    <w:rPr>
      <w:rFonts w:ascii="Arial Bold" w:hAnsi="Arial Bold"/>
      <w:b/>
      <w:caps/>
    </w:rPr>
  </w:style>
  <w:style w:type="paragraph" w:styleId="Subtitle">
    <w:name w:val="Subtitle"/>
    <w:basedOn w:val="Normal"/>
    <w:link w:val="SubtitleChar"/>
    <w:autoRedefine/>
    <w:uiPriority w:val="99"/>
    <w:qFormat/>
    <w:rsid w:val="00643C39"/>
    <w:pPr>
      <w:spacing w:after="60"/>
      <w:ind w:left="1267"/>
      <w:outlineLvl w:val="1"/>
    </w:pPr>
    <w:rPr>
      <w:rFonts w:cs="Arial"/>
      <w:caps/>
      <w:sz w:val="32"/>
      <w:szCs w:val="32"/>
    </w:rPr>
  </w:style>
  <w:style w:type="table" w:styleId="TableGrid">
    <w:name w:val="Table Grid"/>
    <w:basedOn w:val="TableNormal"/>
    <w:uiPriority w:val="99"/>
    <w:rsid w:val="0077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dul">
    <w:name w:val="Judul"/>
    <w:basedOn w:val="Normal"/>
    <w:link w:val="JudulChar"/>
    <w:rsid w:val="00E30A5B"/>
    <w:pPr>
      <w:spacing w:before="240"/>
    </w:pPr>
    <w:rPr>
      <w:b/>
    </w:rPr>
  </w:style>
  <w:style w:type="character" w:customStyle="1" w:styleId="JudulChar">
    <w:name w:val="Judul Char"/>
    <w:link w:val="Judul"/>
    <w:rsid w:val="00E30A5B"/>
    <w:rPr>
      <w:rFonts w:ascii="Gill Sans MT" w:hAnsi="Gill Sans MT"/>
      <w:b/>
      <w:sz w:val="22"/>
      <w:szCs w:val="22"/>
      <w:lang w:val="en-US" w:eastAsia="en-US" w:bidi="ar-SA"/>
    </w:rPr>
  </w:style>
  <w:style w:type="paragraph" w:customStyle="1" w:styleId="ColorfulList-Accent11">
    <w:name w:val="Colorful List - Accent 11"/>
    <w:basedOn w:val="Normal"/>
    <w:uiPriority w:val="34"/>
    <w:qFormat/>
    <w:rsid w:val="00643C39"/>
    <w:pPr>
      <w:ind w:left="720"/>
      <w:contextualSpacing/>
    </w:pPr>
    <w:rPr>
      <w:rFonts w:eastAsia="Calibri"/>
    </w:rPr>
  </w:style>
  <w:style w:type="paragraph" w:customStyle="1" w:styleId="FigureTitle">
    <w:name w:val="Figure Title"/>
    <w:basedOn w:val="Normal"/>
    <w:next w:val="Normal"/>
    <w:rsid w:val="00B96BED"/>
    <w:pPr>
      <w:spacing w:before="160"/>
    </w:pPr>
    <w:rPr>
      <w:rFonts w:ascii="HelveticaNeueLT Std" w:hAnsi="HelveticaNeueLT Std"/>
      <w:b/>
      <w:caps/>
      <w:color w:val="6C4713"/>
      <w:sz w:val="18"/>
      <w:szCs w:val="18"/>
    </w:rPr>
  </w:style>
  <w:style w:type="paragraph" w:customStyle="1" w:styleId="TableText">
    <w:name w:val="Table Text"/>
    <w:aliases w:val="tt,table text,table titles,Table Titles,table title,tx,t,TableText"/>
    <w:basedOn w:val="Normal"/>
    <w:link w:val="TableTextChar"/>
    <w:uiPriority w:val="99"/>
    <w:rsid w:val="00623899"/>
    <w:rPr>
      <w:rFonts w:ascii="HelveticaNeueLT Std" w:eastAsia="MinioMM_485 SB 585 NO 11 OP" w:hAnsi="HelveticaNeueLT Std"/>
      <w:color w:val="6C4713"/>
      <w:sz w:val="18"/>
      <w:szCs w:val="18"/>
    </w:rPr>
  </w:style>
  <w:style w:type="character" w:customStyle="1" w:styleId="TableTextChar">
    <w:name w:val="Table Text Char"/>
    <w:aliases w:val="tt Char,table text Char,table titles Char,Table Titles Char,table title Char,tx Char,t Char,TableText Char"/>
    <w:link w:val="TableText"/>
    <w:uiPriority w:val="99"/>
    <w:rsid w:val="00623899"/>
    <w:rPr>
      <w:rFonts w:ascii="HelveticaNeueLT Std" w:eastAsia="MinioMM_485 SB 585 NO 11 OP" w:hAnsi="HelveticaNeueLT Std"/>
      <w:color w:val="6C4713"/>
      <w:sz w:val="18"/>
      <w:szCs w:val="18"/>
    </w:rPr>
  </w:style>
  <w:style w:type="paragraph" w:customStyle="1" w:styleId="Bullet1">
    <w:name w:val="Bullet 1"/>
    <w:basedOn w:val="Normal"/>
    <w:rsid w:val="00623899"/>
    <w:pPr>
      <w:numPr>
        <w:numId w:val="2"/>
      </w:numPr>
    </w:pPr>
    <w:rPr>
      <w:rFonts w:ascii="Times New Roman" w:eastAsia="MinioMM_485 SB 585 NO 11 OP" w:hAnsi="Times New Roman"/>
      <w:sz w:val="24"/>
    </w:rPr>
  </w:style>
  <w:style w:type="paragraph" w:customStyle="1" w:styleId="Bullet1-Last">
    <w:name w:val="Bullet 1 - Last"/>
    <w:basedOn w:val="Bullet1"/>
    <w:rsid w:val="00643C39"/>
    <w:pPr>
      <w:numPr>
        <w:numId w:val="0"/>
      </w:numPr>
    </w:pPr>
  </w:style>
  <w:style w:type="paragraph" w:customStyle="1" w:styleId="TableTitle">
    <w:name w:val="Table Title"/>
    <w:basedOn w:val="Normal"/>
    <w:rsid w:val="00623899"/>
    <w:pPr>
      <w:spacing w:before="160"/>
    </w:pPr>
    <w:rPr>
      <w:rFonts w:ascii="HelveticaNeueLT Std" w:hAnsi="HelveticaNeueLT Std"/>
      <w:b/>
      <w:caps/>
      <w:color w:val="6C4713"/>
      <w:sz w:val="18"/>
      <w:szCs w:val="18"/>
    </w:rPr>
  </w:style>
  <w:style w:type="character" w:styleId="CommentReference">
    <w:name w:val="annotation reference"/>
    <w:uiPriority w:val="99"/>
    <w:unhideWhenUsed/>
    <w:rsid w:val="00623899"/>
    <w:rPr>
      <w:sz w:val="16"/>
      <w:szCs w:val="16"/>
    </w:rPr>
  </w:style>
  <w:style w:type="paragraph" w:styleId="CommentText">
    <w:name w:val="annotation text"/>
    <w:basedOn w:val="Normal"/>
    <w:link w:val="CommentTextChar"/>
    <w:uiPriority w:val="99"/>
    <w:unhideWhenUsed/>
    <w:rsid w:val="00623899"/>
    <w:rPr>
      <w:sz w:val="20"/>
    </w:rPr>
  </w:style>
  <w:style w:type="character" w:customStyle="1" w:styleId="CommentTextChar">
    <w:name w:val="Comment Text Char"/>
    <w:link w:val="CommentText"/>
    <w:uiPriority w:val="99"/>
    <w:rsid w:val="00623899"/>
    <w:rPr>
      <w:rFonts w:ascii="Gill Sans MT" w:hAnsi="Gill Sans MT"/>
    </w:rPr>
  </w:style>
  <w:style w:type="paragraph" w:styleId="BalloonText">
    <w:name w:val="Balloon Text"/>
    <w:basedOn w:val="Normal"/>
    <w:link w:val="BalloonTextChar"/>
    <w:uiPriority w:val="99"/>
    <w:unhideWhenUsed/>
    <w:rsid w:val="00623899"/>
    <w:rPr>
      <w:rFonts w:ascii="Tahoma" w:hAnsi="Tahoma" w:cs="Tahoma"/>
      <w:sz w:val="16"/>
      <w:szCs w:val="16"/>
    </w:rPr>
  </w:style>
  <w:style w:type="character" w:customStyle="1" w:styleId="BalloonTextChar">
    <w:name w:val="Balloon Text Char"/>
    <w:link w:val="BalloonText"/>
    <w:uiPriority w:val="99"/>
    <w:rsid w:val="00623899"/>
    <w:rPr>
      <w:rFonts w:ascii="Tahoma" w:hAnsi="Tahoma" w:cs="Tahoma"/>
      <w:sz w:val="16"/>
      <w:szCs w:val="16"/>
    </w:rPr>
  </w:style>
  <w:style w:type="paragraph" w:styleId="PlainText">
    <w:name w:val="Plain Text"/>
    <w:basedOn w:val="Normal"/>
    <w:link w:val="PlainTextChar"/>
    <w:rsid w:val="00BC3A57"/>
    <w:rPr>
      <w:rFonts w:ascii="Times New Roman" w:hAnsi="Times New Roman"/>
      <w:sz w:val="20"/>
    </w:rPr>
  </w:style>
  <w:style w:type="character" w:customStyle="1" w:styleId="PlainTextChar">
    <w:name w:val="Plain Text Char"/>
    <w:basedOn w:val="DefaultParagraphFont"/>
    <w:link w:val="PlainText"/>
    <w:rsid w:val="00BC3A57"/>
  </w:style>
  <w:style w:type="paragraph" w:styleId="BodyTextIndent">
    <w:name w:val="Body Text Indent"/>
    <w:basedOn w:val="Normal"/>
    <w:link w:val="BodyTextIndentChar"/>
    <w:rsid w:val="00A165E9"/>
    <w:pPr>
      <w:ind w:left="1440"/>
    </w:pPr>
    <w:rPr>
      <w:rFonts w:ascii="Gill Sans" w:hAnsi="Gill Sans"/>
      <w:sz w:val="24"/>
    </w:rPr>
  </w:style>
  <w:style w:type="character" w:customStyle="1" w:styleId="BodyTextIndentChar">
    <w:name w:val="Body Text Indent Char"/>
    <w:link w:val="BodyTextIndent"/>
    <w:rsid w:val="00A165E9"/>
    <w:rPr>
      <w:rFonts w:ascii="Gill Sans" w:hAnsi="Gill Sans"/>
      <w:sz w:val="24"/>
      <w:szCs w:val="24"/>
    </w:rPr>
  </w:style>
  <w:style w:type="character" w:customStyle="1" w:styleId="hps">
    <w:name w:val="hps"/>
    <w:basedOn w:val="DefaultParagraphFont"/>
    <w:rsid w:val="00A165E9"/>
  </w:style>
  <w:style w:type="character" w:customStyle="1" w:styleId="shorttext">
    <w:name w:val="short_text"/>
    <w:basedOn w:val="DefaultParagraphFont"/>
    <w:rsid w:val="00A165E9"/>
  </w:style>
  <w:style w:type="paragraph" w:styleId="DocumentMap">
    <w:name w:val="Document Map"/>
    <w:basedOn w:val="Normal"/>
    <w:link w:val="DocumentMapChar"/>
    <w:rsid w:val="00872520"/>
    <w:rPr>
      <w:rFonts w:ascii="Tahoma" w:hAnsi="Tahoma" w:cs="Tahoma"/>
      <w:sz w:val="16"/>
      <w:szCs w:val="16"/>
    </w:rPr>
  </w:style>
  <w:style w:type="character" w:customStyle="1" w:styleId="DocumentMapChar">
    <w:name w:val="Document Map Char"/>
    <w:link w:val="DocumentMap"/>
    <w:rsid w:val="00872520"/>
    <w:rPr>
      <w:rFonts w:ascii="Tahoma" w:hAnsi="Tahoma" w:cs="Tahoma"/>
      <w:sz w:val="16"/>
      <w:szCs w:val="16"/>
    </w:rPr>
  </w:style>
  <w:style w:type="paragraph" w:customStyle="1" w:styleId="Default">
    <w:name w:val="Default"/>
    <w:rsid w:val="00544C24"/>
    <w:pPr>
      <w:autoSpaceDE w:val="0"/>
      <w:autoSpaceDN w:val="0"/>
      <w:adjustRightInd w:val="0"/>
    </w:pPr>
    <w:rPr>
      <w:rFonts w:eastAsia="Calibri"/>
      <w:color w:val="000000"/>
      <w:sz w:val="24"/>
      <w:szCs w:val="24"/>
    </w:rPr>
  </w:style>
  <w:style w:type="paragraph" w:styleId="BodyText">
    <w:name w:val="Body Text"/>
    <w:basedOn w:val="Normal"/>
    <w:link w:val="BodyTextChar"/>
    <w:uiPriority w:val="99"/>
    <w:rsid w:val="00B8605F"/>
    <w:rPr>
      <w:lang w:val="en-AU"/>
    </w:rPr>
  </w:style>
  <w:style w:type="character" w:customStyle="1" w:styleId="BodyTextChar">
    <w:name w:val="Body Text Char"/>
    <w:link w:val="BodyText"/>
    <w:uiPriority w:val="99"/>
    <w:rsid w:val="00B8605F"/>
    <w:rPr>
      <w:lang w:val="en-AU"/>
    </w:rPr>
  </w:style>
  <w:style w:type="paragraph" w:customStyle="1" w:styleId="PhotoCredit">
    <w:name w:val="Photo Credit"/>
    <w:basedOn w:val="MediumGrid21"/>
    <w:link w:val="PhotoCreditChar"/>
    <w:qFormat/>
    <w:rsid w:val="007018F4"/>
    <w:pPr>
      <w:spacing w:before="40" w:after="120"/>
      <w:ind w:right="43"/>
      <w:jc w:val="right"/>
    </w:pPr>
    <w:rPr>
      <w:sz w:val="16"/>
      <w:szCs w:val="16"/>
    </w:rPr>
  </w:style>
  <w:style w:type="character" w:customStyle="1" w:styleId="PhotoCreditChar">
    <w:name w:val="Photo Credit Char"/>
    <w:link w:val="PhotoCredit"/>
    <w:rsid w:val="007018F4"/>
    <w:rPr>
      <w:rFonts w:ascii="Gill Sans MT" w:hAnsi="Gill Sans MT"/>
      <w:sz w:val="16"/>
      <w:szCs w:val="16"/>
      <w:lang w:val="en-US" w:eastAsia="en-US" w:bidi="ar-SA"/>
    </w:rPr>
  </w:style>
  <w:style w:type="character" w:styleId="FollowedHyperlink">
    <w:name w:val="FollowedHyperlink"/>
    <w:uiPriority w:val="99"/>
    <w:rsid w:val="00263712"/>
    <w:rPr>
      <w:color w:val="800080"/>
      <w:u w:val="single"/>
    </w:rPr>
  </w:style>
  <w:style w:type="paragraph" w:styleId="CommentSubject">
    <w:name w:val="annotation subject"/>
    <w:basedOn w:val="CommentText"/>
    <w:next w:val="CommentText"/>
    <w:link w:val="CommentSubjectChar"/>
    <w:uiPriority w:val="99"/>
    <w:rsid w:val="000B7B10"/>
    <w:rPr>
      <w:b/>
      <w:bCs/>
    </w:rPr>
  </w:style>
  <w:style w:type="character" w:customStyle="1" w:styleId="CommentSubjectChar">
    <w:name w:val="Comment Subject Char"/>
    <w:link w:val="CommentSubject"/>
    <w:uiPriority w:val="99"/>
    <w:rsid w:val="000B7B10"/>
    <w:rPr>
      <w:rFonts w:ascii="Gill Sans MT" w:hAnsi="Gill Sans MT"/>
      <w:b/>
      <w:bCs/>
    </w:rPr>
  </w:style>
  <w:style w:type="paragraph" w:customStyle="1" w:styleId="ColorfulShading-Accent11">
    <w:name w:val="Colorful Shading - Accent 11"/>
    <w:hidden/>
    <w:uiPriority w:val="99"/>
    <w:semiHidden/>
    <w:rsid w:val="00854F96"/>
    <w:rPr>
      <w:rFonts w:ascii="Gill Sans MT" w:hAnsi="Gill Sans MT"/>
      <w:szCs w:val="24"/>
    </w:rPr>
  </w:style>
  <w:style w:type="character" w:customStyle="1" w:styleId="longtext">
    <w:name w:val="long_text"/>
    <w:rsid w:val="006C0D80"/>
  </w:style>
  <w:style w:type="paragraph" w:customStyle="1" w:styleId="ColorfulList-Accent12">
    <w:name w:val="Colorful List - Accent 12"/>
    <w:aliases w:val="First Level Outline,Colorful List - Accent 121"/>
    <w:basedOn w:val="Normal"/>
    <w:link w:val="ColorfulList-Accent1Char1"/>
    <w:uiPriority w:val="34"/>
    <w:qFormat/>
    <w:rsid w:val="00B422A2"/>
    <w:pPr>
      <w:spacing w:after="200" w:line="276" w:lineRule="auto"/>
      <w:ind w:left="720"/>
      <w:contextualSpacing/>
    </w:pPr>
    <w:rPr>
      <w:rFonts w:eastAsia="Calibri"/>
    </w:rPr>
  </w:style>
  <w:style w:type="character" w:customStyle="1" w:styleId="ColorfulList-Accent1Char1">
    <w:name w:val="Colorful List - Accent 1 Char1"/>
    <w:aliases w:val="First Level Outline Char"/>
    <w:link w:val="ColorfulList-Accent12"/>
    <w:uiPriority w:val="34"/>
    <w:locked/>
    <w:rsid w:val="00B47235"/>
    <w:rPr>
      <w:rFonts w:ascii="Calibri" w:eastAsia="Calibri" w:hAnsi="Calibri"/>
      <w:sz w:val="22"/>
      <w:szCs w:val="22"/>
    </w:rPr>
  </w:style>
  <w:style w:type="paragraph" w:customStyle="1" w:styleId="NoSpacing1">
    <w:name w:val="No Spacing1"/>
    <w:link w:val="NoSpacingChar"/>
    <w:uiPriority w:val="1"/>
    <w:qFormat/>
    <w:rsid w:val="00526ECC"/>
    <w:rPr>
      <w:rFonts w:ascii="Gill Sans MT" w:hAnsi="Gill Sans MT"/>
      <w:szCs w:val="24"/>
    </w:rPr>
  </w:style>
  <w:style w:type="character" w:customStyle="1" w:styleId="NoSpacingChar">
    <w:name w:val="No Spacing Char"/>
    <w:link w:val="NoSpacing1"/>
    <w:uiPriority w:val="99"/>
    <w:rsid w:val="00526ECC"/>
    <w:rPr>
      <w:rFonts w:ascii="Gill Sans MT" w:hAnsi="Gill Sans MT"/>
      <w:szCs w:val="24"/>
    </w:rPr>
  </w:style>
  <w:style w:type="character" w:styleId="Emphasis">
    <w:name w:val="Emphasis"/>
    <w:uiPriority w:val="99"/>
    <w:qFormat/>
    <w:rsid w:val="005B5083"/>
    <w:rPr>
      <w:i/>
      <w:iCs/>
    </w:rPr>
  </w:style>
  <w:style w:type="character" w:customStyle="1" w:styleId="st">
    <w:name w:val="st"/>
    <w:rsid w:val="0029188D"/>
  </w:style>
  <w:style w:type="character" w:styleId="Strong">
    <w:name w:val="Strong"/>
    <w:uiPriority w:val="99"/>
    <w:qFormat/>
    <w:rsid w:val="00D6735E"/>
    <w:rPr>
      <w:b/>
      <w:bCs/>
    </w:rPr>
  </w:style>
  <w:style w:type="paragraph" w:customStyle="1" w:styleId="xl66">
    <w:name w:val="xl66"/>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rPr>
  </w:style>
  <w:style w:type="paragraph" w:customStyle="1" w:styleId="xl67">
    <w:name w:val="xl67"/>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68">
    <w:name w:val="xl68"/>
    <w:basedOn w:val="Normal"/>
    <w:rsid w:val="008516CD"/>
    <w:pPr>
      <w:pBdr>
        <w:top w:val="single" w:sz="4" w:space="0" w:color="auto"/>
        <w:left w:val="single" w:sz="4" w:space="0" w:color="auto"/>
        <w:bottom w:val="single" w:sz="4" w:space="0" w:color="auto"/>
      </w:pBdr>
      <w:shd w:val="clear" w:color="000000" w:fill="A6A6A6"/>
      <w:spacing w:before="100" w:beforeAutospacing="1" w:after="100" w:afterAutospacing="1"/>
      <w:textAlignment w:val="center"/>
    </w:pPr>
    <w:rPr>
      <w:b/>
      <w:bCs/>
      <w:sz w:val="20"/>
    </w:rPr>
  </w:style>
  <w:style w:type="paragraph" w:customStyle="1" w:styleId="xl69">
    <w:name w:val="xl69"/>
    <w:basedOn w:val="Normal"/>
    <w:rsid w:val="008516CD"/>
    <w:pPr>
      <w:pBdr>
        <w:top w:val="single" w:sz="4" w:space="0" w:color="auto"/>
        <w:bottom w:val="single" w:sz="4" w:space="0" w:color="auto"/>
      </w:pBdr>
      <w:shd w:val="clear" w:color="000000" w:fill="A6A6A6"/>
      <w:spacing w:before="100" w:beforeAutospacing="1" w:after="100" w:afterAutospacing="1"/>
      <w:textAlignment w:val="center"/>
    </w:pPr>
    <w:rPr>
      <w:b/>
      <w:bCs/>
      <w:sz w:val="20"/>
    </w:rPr>
  </w:style>
  <w:style w:type="paragraph" w:customStyle="1" w:styleId="xl70">
    <w:name w:val="xl70"/>
    <w:basedOn w:val="Normal"/>
    <w:rsid w:val="008516CD"/>
    <w:pPr>
      <w:pBdr>
        <w:top w:val="single" w:sz="4" w:space="0" w:color="auto"/>
        <w:bottom w:val="single" w:sz="4" w:space="0" w:color="auto"/>
      </w:pBdr>
      <w:shd w:val="clear" w:color="000000" w:fill="A6A6A6"/>
      <w:spacing w:before="100" w:beforeAutospacing="1" w:after="100" w:afterAutospacing="1"/>
      <w:textAlignment w:val="center"/>
    </w:pPr>
    <w:rPr>
      <w:sz w:val="20"/>
    </w:rPr>
  </w:style>
  <w:style w:type="paragraph" w:customStyle="1" w:styleId="xl71">
    <w:name w:val="xl71"/>
    <w:basedOn w:val="Normal"/>
    <w:rsid w:val="008516C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rPr>
  </w:style>
  <w:style w:type="paragraph" w:customStyle="1" w:styleId="xl72">
    <w:name w:val="xl72"/>
    <w:basedOn w:val="Normal"/>
    <w:rsid w:val="008516C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rPr>
  </w:style>
  <w:style w:type="paragraph" w:customStyle="1" w:styleId="xl73">
    <w:name w:val="xl73"/>
    <w:basedOn w:val="Normal"/>
    <w:rsid w:val="008516CD"/>
    <w:pPr>
      <w:pBdr>
        <w:top w:val="single" w:sz="4" w:space="0" w:color="auto"/>
        <w:left w:val="single" w:sz="4" w:space="0" w:color="auto"/>
        <w:bottom w:val="single" w:sz="4" w:space="0" w:color="auto"/>
      </w:pBdr>
      <w:shd w:val="clear" w:color="000000" w:fill="A6A6A6"/>
      <w:spacing w:before="100" w:beforeAutospacing="1" w:after="100" w:afterAutospacing="1"/>
      <w:jc w:val="right"/>
      <w:textAlignment w:val="center"/>
    </w:pPr>
    <w:rPr>
      <w:b/>
      <w:bCs/>
      <w:sz w:val="20"/>
    </w:rPr>
  </w:style>
  <w:style w:type="paragraph" w:customStyle="1" w:styleId="xl74">
    <w:name w:val="xl74"/>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75">
    <w:name w:val="xl75"/>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76">
    <w:name w:val="xl76"/>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77">
    <w:name w:val="xl77"/>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78">
    <w:name w:val="xl78"/>
    <w:basedOn w:val="Normal"/>
    <w:rsid w:val="008516CD"/>
    <w:pPr>
      <w:spacing w:before="100" w:beforeAutospacing="1" w:after="100" w:afterAutospacing="1"/>
    </w:pPr>
    <w:rPr>
      <w:sz w:val="20"/>
    </w:rPr>
  </w:style>
  <w:style w:type="paragraph" w:customStyle="1" w:styleId="xl79">
    <w:name w:val="xl79"/>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80">
    <w:name w:val="xl80"/>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1">
    <w:name w:val="xl81"/>
    <w:basedOn w:val="Normal"/>
    <w:rsid w:val="008516CD"/>
    <w:pPr>
      <w:spacing w:before="100" w:beforeAutospacing="1" w:after="100" w:afterAutospacing="1"/>
    </w:pPr>
    <w:rPr>
      <w:sz w:val="24"/>
    </w:rPr>
  </w:style>
  <w:style w:type="paragraph" w:customStyle="1" w:styleId="xl82">
    <w:name w:val="xl82"/>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3">
    <w:name w:val="xl83"/>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4">
    <w:name w:val="xl84"/>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5">
    <w:name w:val="xl85"/>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6">
    <w:name w:val="xl86"/>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sz w:val="20"/>
    </w:rPr>
  </w:style>
  <w:style w:type="paragraph" w:customStyle="1" w:styleId="xl87">
    <w:name w:val="xl87"/>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88">
    <w:name w:val="xl88"/>
    <w:basedOn w:val="Normal"/>
    <w:rsid w:val="008516CD"/>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89">
    <w:name w:val="xl89"/>
    <w:basedOn w:val="Normal"/>
    <w:rsid w:val="008516CD"/>
    <w:pPr>
      <w:pBdr>
        <w:top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90">
    <w:name w:val="xl90"/>
    <w:basedOn w:val="Normal"/>
    <w:rsid w:val="008516CD"/>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1">
    <w:name w:val="xl91"/>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2">
    <w:name w:val="xl92"/>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3">
    <w:name w:val="xl93"/>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4">
    <w:name w:val="xl94"/>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5">
    <w:name w:val="xl95"/>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6">
    <w:name w:val="xl96"/>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7">
    <w:name w:val="xl97"/>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8">
    <w:name w:val="xl98"/>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9">
    <w:name w:val="xl99"/>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100">
    <w:name w:val="xl100"/>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101">
    <w:name w:val="xl101"/>
    <w:basedOn w:val="Normal"/>
    <w:rsid w:val="008516CD"/>
    <w:pPr>
      <w:pBdr>
        <w:left w:val="single" w:sz="4" w:space="0" w:color="auto"/>
        <w:right w:val="single" w:sz="4" w:space="0" w:color="auto"/>
      </w:pBdr>
      <w:spacing w:before="100" w:beforeAutospacing="1" w:after="100" w:afterAutospacing="1"/>
      <w:jc w:val="center"/>
      <w:textAlignment w:val="center"/>
    </w:pPr>
    <w:rPr>
      <w:sz w:val="20"/>
    </w:rPr>
  </w:style>
  <w:style w:type="paragraph" w:customStyle="1" w:styleId="xl102">
    <w:name w:val="xl102"/>
    <w:basedOn w:val="Normal"/>
    <w:rsid w:val="008516CD"/>
    <w:pPr>
      <w:pBdr>
        <w:left w:val="single" w:sz="4" w:space="0" w:color="auto"/>
        <w:right w:val="single" w:sz="4" w:space="0" w:color="auto"/>
      </w:pBdr>
      <w:spacing w:before="100" w:beforeAutospacing="1" w:after="100" w:afterAutospacing="1"/>
      <w:jc w:val="center"/>
      <w:textAlignment w:val="center"/>
    </w:pPr>
    <w:rPr>
      <w:sz w:val="20"/>
    </w:rPr>
  </w:style>
  <w:style w:type="paragraph" w:customStyle="1" w:styleId="xl103">
    <w:name w:val="xl103"/>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04">
    <w:name w:val="xl104"/>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sz w:val="20"/>
    </w:rPr>
  </w:style>
  <w:style w:type="paragraph" w:styleId="NormalWeb">
    <w:name w:val="Normal (Web)"/>
    <w:basedOn w:val="Normal"/>
    <w:uiPriority w:val="99"/>
    <w:unhideWhenUsed/>
    <w:rsid w:val="00AB5526"/>
    <w:pPr>
      <w:spacing w:before="100" w:beforeAutospacing="1" w:after="100" w:afterAutospacing="1"/>
    </w:pPr>
    <w:rPr>
      <w:rFonts w:ascii="Times New Roman" w:hAnsi="Times New Roman"/>
      <w:sz w:val="24"/>
    </w:rPr>
  </w:style>
  <w:style w:type="paragraph" w:customStyle="1" w:styleId="MediumGrid27">
    <w:name w:val="Medium Grid 27"/>
    <w:uiPriority w:val="1"/>
    <w:qFormat/>
    <w:rsid w:val="00606CEF"/>
    <w:rPr>
      <w:rFonts w:ascii="Gill Sans MT" w:hAnsi="Gill Sans MT"/>
      <w:szCs w:val="24"/>
    </w:rPr>
  </w:style>
  <w:style w:type="paragraph" w:customStyle="1" w:styleId="Pa0">
    <w:name w:val="Pa0"/>
    <w:basedOn w:val="Normal"/>
    <w:next w:val="Normal"/>
    <w:uiPriority w:val="99"/>
    <w:rsid w:val="00606CEF"/>
    <w:pPr>
      <w:autoSpaceDE w:val="0"/>
      <w:autoSpaceDN w:val="0"/>
      <w:adjustRightInd w:val="0"/>
      <w:spacing w:line="201" w:lineRule="atLeast"/>
    </w:pPr>
    <w:rPr>
      <w:rFonts w:ascii="Cardo" w:hAnsi="Cardo"/>
      <w:sz w:val="24"/>
    </w:rPr>
  </w:style>
  <w:style w:type="paragraph" w:customStyle="1" w:styleId="msoaccenttext5">
    <w:name w:val="msoaccenttext5"/>
    <w:rsid w:val="00307299"/>
    <w:pPr>
      <w:spacing w:line="271" w:lineRule="auto"/>
    </w:pPr>
    <w:rPr>
      <w:rFonts w:ascii="Agency FB" w:hAnsi="Agency FB"/>
      <w:b/>
      <w:bCs/>
      <w:color w:val="336666"/>
      <w:kern w:val="28"/>
      <w:sz w:val="18"/>
      <w:szCs w:val="18"/>
    </w:rPr>
  </w:style>
  <w:style w:type="table" w:styleId="MediumShading1-Accent1">
    <w:name w:val="Medium Shading 1 Accent 1"/>
    <w:basedOn w:val="TableNormal"/>
    <w:uiPriority w:val="1"/>
    <w:rsid w:val="00FA2435"/>
    <w:rPr>
      <w:rFonts w:ascii="Gill Sans MT" w:eastAsia="Calibri" w:hAnsi="Gill Sans MT"/>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ColorfulList-Accent1Char">
    <w:name w:val="Colorful List - Accent 1 Char"/>
    <w:link w:val="MediumGrid1-Accent2"/>
    <w:uiPriority w:val="34"/>
    <w:locked/>
    <w:rsid w:val="00C93AA4"/>
    <w:rPr>
      <w:rFonts w:ascii="Calibri" w:eastAsia="Calibri" w:hAnsi="Calibri"/>
      <w:sz w:val="22"/>
      <w:szCs w:val="22"/>
    </w:rPr>
  </w:style>
  <w:style w:type="table" w:styleId="MediumGrid1-Accent2">
    <w:name w:val="Medium Grid 1 Accent 2"/>
    <w:basedOn w:val="TableNormal"/>
    <w:link w:val="ColorfulList-Accent1Char"/>
    <w:uiPriority w:val="34"/>
    <w:qFormat/>
    <w:rsid w:val="00C93AA4"/>
    <w:rPr>
      <w:rFonts w:eastAsia="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Grid2-Accent1">
    <w:name w:val="Medium Grid 2 Accent 1"/>
    <w:basedOn w:val="TableNormal"/>
    <w:uiPriority w:val="1"/>
    <w:rsid w:val="00C93AA4"/>
    <w:rPr>
      <w:rFonts w:ascii="Gill Sans MT" w:eastAsia="Calibri" w:hAnsi="Gill Sans MT"/>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MediumGrid22">
    <w:name w:val="Medium Grid 22"/>
    <w:uiPriority w:val="1"/>
    <w:qFormat/>
    <w:rsid w:val="004D74D4"/>
    <w:rPr>
      <w:rFonts w:ascii="Gill Sans MT" w:hAnsi="Gill Sans MT"/>
      <w:szCs w:val="24"/>
    </w:rPr>
  </w:style>
  <w:style w:type="paragraph" w:customStyle="1" w:styleId="ColorfulShading-Accent13">
    <w:name w:val="Colorful Shading - Accent 13"/>
    <w:hidden/>
    <w:uiPriority w:val="99"/>
    <w:semiHidden/>
    <w:rsid w:val="00B65FD9"/>
    <w:rPr>
      <w:rFonts w:eastAsia="Calibri"/>
    </w:rPr>
  </w:style>
  <w:style w:type="paragraph" w:styleId="NoSpacing">
    <w:name w:val="No Spacing"/>
    <w:uiPriority w:val="99"/>
    <w:qFormat/>
    <w:rsid w:val="007E1B55"/>
    <w:rPr>
      <w:rFonts w:eastAsia="Calibri"/>
    </w:rPr>
  </w:style>
  <w:style w:type="paragraph" w:styleId="ListParagraph">
    <w:name w:val="List Paragraph"/>
    <w:basedOn w:val="Normal"/>
    <w:link w:val="ListParagraphChar"/>
    <w:uiPriority w:val="34"/>
    <w:qFormat/>
    <w:rsid w:val="0084149E"/>
    <w:pPr>
      <w:spacing w:after="200" w:line="276" w:lineRule="auto"/>
      <w:ind w:left="720"/>
      <w:contextualSpacing/>
    </w:pPr>
    <w:rPr>
      <w:rFonts w:eastAsia="Calibri"/>
    </w:rPr>
  </w:style>
  <w:style w:type="paragraph" w:customStyle="1" w:styleId="MediumGrid23">
    <w:name w:val="Medium Grid 23"/>
    <w:uiPriority w:val="1"/>
    <w:qFormat/>
    <w:rsid w:val="00D868B2"/>
    <w:rPr>
      <w:rFonts w:ascii="Gill Sans MT" w:hAnsi="Gill Sans MT"/>
      <w:szCs w:val="24"/>
    </w:rPr>
  </w:style>
  <w:style w:type="paragraph" w:customStyle="1" w:styleId="ColorfulShading-Accent12">
    <w:name w:val="Colorful Shading - Accent 12"/>
    <w:hidden/>
    <w:uiPriority w:val="99"/>
    <w:semiHidden/>
    <w:rsid w:val="00260757"/>
    <w:rPr>
      <w:rFonts w:eastAsia="Calibri"/>
    </w:rPr>
  </w:style>
  <w:style w:type="paragraph" w:customStyle="1" w:styleId="MediumGrid24">
    <w:name w:val="Medium Grid 24"/>
    <w:uiPriority w:val="1"/>
    <w:qFormat/>
    <w:rsid w:val="00260757"/>
    <w:rPr>
      <w:rFonts w:ascii="Gill Sans MT" w:hAnsi="Gill Sans MT"/>
      <w:szCs w:val="24"/>
    </w:rPr>
  </w:style>
  <w:style w:type="paragraph" w:customStyle="1" w:styleId="MediumGrid25">
    <w:name w:val="Medium Grid 25"/>
    <w:uiPriority w:val="1"/>
    <w:qFormat/>
    <w:rsid w:val="00260757"/>
    <w:rPr>
      <w:rFonts w:ascii="Gill Sans MT" w:hAnsi="Gill Sans MT"/>
      <w:szCs w:val="24"/>
    </w:rPr>
  </w:style>
  <w:style w:type="paragraph" w:customStyle="1" w:styleId="MediumGrid26">
    <w:name w:val="Medium Grid 26"/>
    <w:uiPriority w:val="1"/>
    <w:qFormat/>
    <w:rsid w:val="00260757"/>
    <w:rPr>
      <w:rFonts w:ascii="Gill Sans MT" w:hAnsi="Gill Sans MT"/>
      <w:szCs w:val="24"/>
    </w:rPr>
  </w:style>
  <w:style w:type="character" w:customStyle="1" w:styleId="ListParagraphChar">
    <w:name w:val="List Paragraph Char"/>
    <w:link w:val="ListParagraph"/>
    <w:uiPriority w:val="34"/>
    <w:locked/>
    <w:rsid w:val="009757E5"/>
    <w:rPr>
      <w:rFonts w:ascii="Calibri" w:eastAsia="Calibri" w:hAnsi="Calibri"/>
      <w:sz w:val="22"/>
      <w:szCs w:val="22"/>
    </w:rPr>
  </w:style>
  <w:style w:type="character" w:customStyle="1" w:styleId="ColorfulList-Accent1Char2">
    <w:name w:val="Colorful List - Accent 1 Char2"/>
    <w:link w:val="ColorfulList-Accent1"/>
    <w:uiPriority w:val="34"/>
    <w:locked/>
    <w:rsid w:val="00E27965"/>
    <w:rPr>
      <w:rFonts w:ascii="Calibri" w:eastAsia="Calibri" w:hAnsi="Calibri"/>
      <w:sz w:val="22"/>
      <w:szCs w:val="22"/>
    </w:rPr>
  </w:style>
  <w:style w:type="table" w:styleId="ColorfulList-Accent1">
    <w:name w:val="Colorful List Accent 1"/>
    <w:basedOn w:val="TableNormal"/>
    <w:link w:val="ColorfulList-Accent1Char2"/>
    <w:uiPriority w:val="34"/>
    <w:qFormat/>
    <w:rsid w:val="00E27965"/>
    <w:rPr>
      <w:rFonts w:eastAsia="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ghtGrid-Accent3">
    <w:name w:val="Light Grid Accent 3"/>
    <w:basedOn w:val="TableNormal"/>
    <w:uiPriority w:val="34"/>
    <w:qFormat/>
    <w:rsid w:val="00846FAC"/>
    <w:rPr>
      <w:rFonts w:eastAsia="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Shading1-Accent2">
    <w:name w:val="Medium Shading 1 Accent 2"/>
    <w:basedOn w:val="TableNormal"/>
    <w:uiPriority w:val="1"/>
    <w:rsid w:val="00846FAC"/>
    <w:rPr>
      <w:rFonts w:ascii="Gill Sans MT" w:eastAsia="Calibri" w:hAnsi="Gill Sans MT"/>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styleId="Revision">
    <w:name w:val="Revision"/>
    <w:hidden/>
    <w:uiPriority w:val="99"/>
    <w:semiHidden/>
    <w:rsid w:val="00846FAC"/>
    <w:rPr>
      <w:rFonts w:ascii="Gill Sans MT" w:hAnsi="Gill Sans MT"/>
      <w:szCs w:val="24"/>
    </w:rPr>
  </w:style>
  <w:style w:type="character" w:customStyle="1" w:styleId="TitleChar">
    <w:name w:val="Title Char"/>
    <w:link w:val="Title"/>
    <w:uiPriority w:val="99"/>
    <w:rsid w:val="00007205"/>
    <w:rPr>
      <w:rFonts w:ascii="Gill Sans MT" w:hAnsi="Gill Sans MT" w:cs="Arial"/>
      <w:bCs/>
      <w:caps/>
      <w:kern w:val="28"/>
      <w:sz w:val="80"/>
      <w:szCs w:val="80"/>
    </w:rPr>
  </w:style>
  <w:style w:type="character" w:customStyle="1" w:styleId="SubtitleChar">
    <w:name w:val="Subtitle Char"/>
    <w:link w:val="Subtitle"/>
    <w:uiPriority w:val="99"/>
    <w:rsid w:val="00007205"/>
    <w:rPr>
      <w:rFonts w:ascii="Gill Sans MT" w:hAnsi="Gill Sans MT" w:cs="Arial"/>
      <w:caps/>
      <w:sz w:val="32"/>
      <w:szCs w:val="32"/>
    </w:rPr>
  </w:style>
  <w:style w:type="character" w:styleId="PlaceholderText">
    <w:name w:val="Placeholder Text"/>
    <w:basedOn w:val="DefaultParagraphFont"/>
    <w:uiPriority w:val="99"/>
    <w:semiHidden/>
    <w:rsid w:val="00384EFF"/>
    <w:rPr>
      <w:color w:val="808080"/>
    </w:rPr>
  </w:style>
  <w:style w:type="paragraph" w:customStyle="1" w:styleId="1CHAPTER">
    <w:name w:val="1 CHAPTER"/>
    <w:basedOn w:val="Heading2"/>
    <w:link w:val="1CHAPTERChar"/>
    <w:qFormat/>
    <w:rsid w:val="00540058"/>
    <w:pPr>
      <w:spacing w:after="1320"/>
    </w:pPr>
    <w:rPr>
      <w:noProof/>
      <w:color w:val="68BAD6"/>
      <w:sz w:val="32"/>
    </w:rPr>
  </w:style>
  <w:style w:type="character" w:customStyle="1" w:styleId="1CHAPTERChar">
    <w:name w:val="1 CHAPTER Char"/>
    <w:basedOn w:val="Heading2Char"/>
    <w:link w:val="1CHAPTER"/>
    <w:rsid w:val="00540058"/>
    <w:rPr>
      <w:bCs/>
      <w:iCs/>
      <w:noProof/>
      <w:color w:val="68BAD6"/>
      <w:sz w:val="32"/>
      <w:szCs w:val="48"/>
    </w:rPr>
  </w:style>
  <w:style w:type="paragraph" w:customStyle="1" w:styleId="TableHeader0">
    <w:name w:val="Table Header"/>
    <w:basedOn w:val="BodyText"/>
    <w:next w:val="Normal"/>
    <w:rsid w:val="0056614F"/>
    <w:pPr>
      <w:spacing w:before="60" w:after="60"/>
    </w:pPr>
    <w:rPr>
      <w:rFonts w:ascii="Arial Black" w:eastAsiaTheme="minorHAnsi" w:hAnsi="Arial Black" w:cs="Arial"/>
      <w:bCs/>
      <w:noProof/>
      <w:sz w:val="18"/>
    </w:rPr>
  </w:style>
  <w:style w:type="paragraph" w:customStyle="1" w:styleId="TableRow">
    <w:name w:val="Table Row"/>
    <w:basedOn w:val="BodyText"/>
    <w:link w:val="TableRowChar"/>
    <w:rsid w:val="0056614F"/>
    <w:pPr>
      <w:spacing w:before="40" w:after="40"/>
    </w:pPr>
    <w:rPr>
      <w:rFonts w:eastAsiaTheme="minorHAnsi" w:cs="Arial"/>
      <w:bCs/>
      <w:noProof/>
      <w:sz w:val="20"/>
    </w:rPr>
  </w:style>
  <w:style w:type="character" w:customStyle="1" w:styleId="TableRowChar">
    <w:name w:val="Table Row Char"/>
    <w:link w:val="TableRow"/>
    <w:rsid w:val="0056614F"/>
    <w:rPr>
      <w:rFonts w:eastAsiaTheme="minorHAnsi" w:cs="Arial"/>
      <w:bCs/>
      <w:noProof/>
      <w:sz w:val="20"/>
    </w:rPr>
  </w:style>
  <w:style w:type="paragraph" w:customStyle="1" w:styleId="QAText">
    <w:name w:val="QA Text"/>
    <w:basedOn w:val="Normal"/>
    <w:rsid w:val="00B8605F"/>
    <w:pPr>
      <w:spacing w:before="200" w:after="160"/>
    </w:pPr>
    <w:rPr>
      <w:rFonts w:eastAsiaTheme="minorHAnsi" w:cs="Arial"/>
      <w:lang w:val="en-AU"/>
    </w:rPr>
  </w:style>
  <w:style w:type="paragraph" w:customStyle="1" w:styleId="QAAddress">
    <w:name w:val="QA Address"/>
    <w:basedOn w:val="Normal"/>
    <w:next w:val="Normal"/>
    <w:rsid w:val="00B8605F"/>
    <w:pPr>
      <w:contextualSpacing/>
    </w:pPr>
    <w:rPr>
      <w:rFonts w:eastAsiaTheme="minorHAnsi" w:cs="Arial"/>
      <w:lang w:val="en-AU"/>
    </w:rPr>
  </w:style>
  <w:style w:type="character" w:customStyle="1" w:styleId="Bold">
    <w:name w:val="Bold"/>
    <w:basedOn w:val="DefaultParagraphFont"/>
    <w:rsid w:val="00B8605F"/>
    <w:rPr>
      <w:b/>
    </w:rPr>
  </w:style>
  <w:style w:type="paragraph" w:customStyle="1" w:styleId="HeadingAP1">
    <w:name w:val="Heading AP 1"/>
    <w:basedOn w:val="Normal"/>
    <w:next w:val="BodyText"/>
    <w:rsid w:val="002548CF"/>
    <w:pPr>
      <w:keepNext/>
      <w:numPr>
        <w:numId w:val="4"/>
      </w:numPr>
      <w:spacing w:after="360"/>
    </w:pPr>
    <w:rPr>
      <w:rFonts w:ascii="Arial Bold" w:eastAsiaTheme="minorHAnsi" w:hAnsi="Arial Bold" w:cs="Arial"/>
      <w:b/>
      <w:color w:val="0C479D"/>
      <w:sz w:val="28"/>
      <w:lang w:val="en-AU"/>
    </w:rPr>
  </w:style>
  <w:style w:type="paragraph" w:customStyle="1" w:styleId="HeadingAP2">
    <w:name w:val="Heading AP 2"/>
    <w:basedOn w:val="Normal"/>
    <w:next w:val="BodyText"/>
    <w:rsid w:val="002548CF"/>
    <w:pPr>
      <w:keepNext/>
      <w:numPr>
        <w:ilvl w:val="1"/>
        <w:numId w:val="4"/>
      </w:numPr>
      <w:spacing w:before="240" w:after="60"/>
    </w:pPr>
    <w:rPr>
      <w:rFonts w:eastAsiaTheme="minorHAnsi"/>
      <w:b/>
      <w:bCs/>
      <w:iCs/>
      <w:color w:val="0C479D"/>
      <w:kern w:val="28"/>
      <w:sz w:val="26"/>
      <w:szCs w:val="28"/>
      <w:lang w:val="en-AU" w:eastAsia="en-AU"/>
    </w:rPr>
  </w:style>
  <w:style w:type="paragraph" w:customStyle="1" w:styleId="HeadingAP3">
    <w:name w:val="Heading AP 3"/>
    <w:basedOn w:val="Normal"/>
    <w:next w:val="BodyText"/>
    <w:rsid w:val="002548CF"/>
    <w:pPr>
      <w:keepNext/>
      <w:numPr>
        <w:ilvl w:val="2"/>
        <w:numId w:val="4"/>
      </w:numPr>
      <w:spacing w:before="360" w:after="60"/>
    </w:pPr>
    <w:rPr>
      <w:rFonts w:ascii="Arial Bold" w:eastAsiaTheme="minorHAnsi" w:hAnsi="Arial Bold"/>
      <w:color w:val="666666"/>
      <w:sz w:val="24"/>
      <w:lang w:val="en-AU" w:eastAsia="en-AU"/>
    </w:rPr>
  </w:style>
  <w:style w:type="paragraph" w:customStyle="1" w:styleId="HeadingAP4">
    <w:name w:val="Heading AP 4"/>
    <w:basedOn w:val="Normal"/>
    <w:next w:val="BodyText"/>
    <w:rsid w:val="002548CF"/>
    <w:pPr>
      <w:keepNext/>
      <w:numPr>
        <w:ilvl w:val="3"/>
        <w:numId w:val="4"/>
      </w:numPr>
      <w:spacing w:before="360" w:after="60"/>
    </w:pPr>
    <w:rPr>
      <w:rFonts w:eastAsiaTheme="minorHAnsi"/>
      <w:b/>
      <w:i/>
      <w:color w:val="666666"/>
      <w:lang w:val="en-AU" w:eastAsia="en-AU"/>
    </w:rPr>
  </w:style>
  <w:style w:type="table" w:customStyle="1" w:styleId="TableGrid1">
    <w:name w:val="Table Grid1"/>
    <w:basedOn w:val="TableNormal"/>
    <w:next w:val="TableGrid"/>
    <w:uiPriority w:val="59"/>
    <w:locked/>
    <w:rsid w:val="00F866E3"/>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4A17FF"/>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4A17FF"/>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locked/>
    <w:rsid w:val="004A17FF"/>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locked/>
    <w:rsid w:val="004A17FF"/>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locked/>
    <w:rsid w:val="006F3F18"/>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locked/>
    <w:rsid w:val="00864133"/>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locked/>
    <w:rsid w:val="00864133"/>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GRM">
    <w:name w:val="Sub-Heading GRM"/>
    <w:basedOn w:val="Normal"/>
    <w:next w:val="Normal"/>
    <w:link w:val="Sub-HeadingGRMChar"/>
    <w:rsid w:val="004B0D96"/>
    <w:pPr>
      <w:keepNext/>
      <w:tabs>
        <w:tab w:val="left" w:pos="900"/>
      </w:tabs>
      <w:spacing w:before="40" w:after="240" w:line="276" w:lineRule="auto"/>
      <w:outlineLvl w:val="1"/>
    </w:pPr>
    <w:rPr>
      <w:rFonts w:eastAsia="Calibri" w:cs="Arial"/>
      <w:b/>
      <w:bCs/>
      <w:iCs/>
      <w:sz w:val="32"/>
      <w:szCs w:val="32"/>
      <w:lang w:val="en-AU" w:eastAsia="en-AU"/>
    </w:rPr>
  </w:style>
  <w:style w:type="character" w:customStyle="1" w:styleId="Sub-HeadingGRMChar">
    <w:name w:val="Sub-Heading GRM Char"/>
    <w:link w:val="Sub-HeadingGRM"/>
    <w:rsid w:val="004B0D96"/>
    <w:rPr>
      <w:rFonts w:eastAsia="Calibri" w:cs="Arial"/>
      <w:b/>
      <w:bCs/>
      <w:iCs/>
      <w:sz w:val="32"/>
      <w:szCs w:val="32"/>
      <w:lang w:val="en-AU" w:eastAsia="en-AU"/>
    </w:rPr>
  </w:style>
  <w:style w:type="table" w:customStyle="1" w:styleId="TableGrid9">
    <w:name w:val="Table Grid9"/>
    <w:basedOn w:val="TableNormal"/>
    <w:next w:val="TableGrid"/>
    <w:uiPriority w:val="59"/>
    <w:locked/>
    <w:rsid w:val="004C120D"/>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locked/>
    <w:rsid w:val="004E355C"/>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locked/>
    <w:rsid w:val="009A3031"/>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locked/>
    <w:rsid w:val="006D1A14"/>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locked/>
    <w:rsid w:val="00790E9A"/>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locked/>
    <w:rsid w:val="00790E9A"/>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rsid w:val="001A1BAD"/>
    <w:rPr>
      <w:sz w:val="20"/>
    </w:rPr>
  </w:style>
  <w:style w:type="character" w:customStyle="1" w:styleId="EndnoteTextChar">
    <w:name w:val="Endnote Text Char"/>
    <w:basedOn w:val="DefaultParagraphFont"/>
    <w:link w:val="EndnoteText"/>
    <w:uiPriority w:val="99"/>
    <w:rsid w:val="001A1BAD"/>
    <w:rPr>
      <w:sz w:val="20"/>
    </w:rPr>
  </w:style>
  <w:style w:type="character" w:styleId="EndnoteReference">
    <w:name w:val="endnote reference"/>
    <w:basedOn w:val="DefaultParagraphFont"/>
    <w:uiPriority w:val="99"/>
    <w:rsid w:val="001A1BAD"/>
    <w:rPr>
      <w:vertAlign w:val="superscript"/>
    </w:rPr>
  </w:style>
  <w:style w:type="character" w:styleId="IntenseEmphasis">
    <w:name w:val="Intense Emphasis"/>
    <w:basedOn w:val="DefaultParagraphFont"/>
    <w:uiPriority w:val="99"/>
    <w:qFormat/>
    <w:rsid w:val="00DD0D4F"/>
    <w:rPr>
      <w:b/>
      <w:bCs/>
      <w:i/>
      <w:iCs/>
      <w:color w:val="4F81BD" w:themeColor="accent1"/>
    </w:rPr>
  </w:style>
  <w:style w:type="character" w:customStyle="1" w:styleId="FootnoteTextChar">
    <w:name w:val="Footnote Text Char"/>
    <w:aliases w:val="FOOTNOTES Char,fn Char,single space Char,footnote text Char,Footnote Text Char Char Char,Footnote Text Char Char Char Char Char,Footnote Text Char Char Char Char Char Char Char Char Char"/>
    <w:basedOn w:val="DefaultParagraphFont"/>
    <w:link w:val="FootnoteText"/>
    <w:uiPriority w:val="99"/>
    <w:rsid w:val="002366FA"/>
    <w:rPr>
      <w:sz w:val="20"/>
    </w:rPr>
  </w:style>
  <w:style w:type="paragraph" w:customStyle="1" w:styleId="Non-TOCsubheading">
    <w:name w:val="Non-TOC subheading"/>
    <w:basedOn w:val="BodyText"/>
    <w:link w:val="Non-TOCsubheadingChar"/>
    <w:rsid w:val="00AC0B1B"/>
    <w:pPr>
      <w:spacing w:line="320" w:lineRule="atLeast"/>
    </w:pPr>
    <w:rPr>
      <w:rFonts w:ascii="Arial" w:eastAsia="Calibri" w:hAnsi="Arial" w:cs="Times New Roman"/>
      <w:b/>
      <w:color w:val="4F6228" w:themeColor="accent3" w:themeShade="80"/>
      <w:sz w:val="20"/>
    </w:rPr>
  </w:style>
  <w:style w:type="character" w:customStyle="1" w:styleId="Non-TOCsubheadingChar">
    <w:name w:val="Non-TOC subheading Char"/>
    <w:basedOn w:val="BodyTextChar"/>
    <w:link w:val="Non-TOCsubheading"/>
    <w:rsid w:val="00AC0B1B"/>
    <w:rPr>
      <w:rFonts w:ascii="Arial" w:eastAsia="Calibri" w:hAnsi="Arial" w:cs="Times New Roman"/>
      <w:b/>
      <w:color w:val="4F6228" w:themeColor="accent3" w:themeShade="80"/>
      <w:sz w:val="20"/>
      <w:szCs w:val="22"/>
      <w:lang w:val="en-AU"/>
    </w:rPr>
  </w:style>
  <w:style w:type="paragraph" w:customStyle="1" w:styleId="Bulletswithsinglespacingfont11">
    <w:name w:val="Bullets with single spacing font 11"/>
    <w:basedOn w:val="Normal"/>
    <w:link w:val="Bulletswithsinglespacingfont11Char"/>
    <w:qFormat/>
    <w:rsid w:val="00470A54"/>
    <w:pPr>
      <w:numPr>
        <w:numId w:val="5"/>
      </w:numPr>
      <w:spacing w:before="120"/>
      <w:ind w:left="720"/>
    </w:pPr>
    <w:rPr>
      <w:rFonts w:cs="Arial"/>
      <w:bCs/>
      <w:lang w:val="en-AU" w:eastAsia="en-AU"/>
    </w:rPr>
  </w:style>
  <w:style w:type="character" w:customStyle="1" w:styleId="Bulletswithsinglespacingfont11Char">
    <w:name w:val="Bullets with single spacing font 11 Char"/>
    <w:link w:val="Bulletswithsinglespacingfont11"/>
    <w:locked/>
    <w:rsid w:val="00470A54"/>
    <w:rPr>
      <w:rFonts w:cs="Arial"/>
      <w:bCs/>
      <w:lang w:val="en-AU" w:eastAsia="en-AU"/>
    </w:rPr>
  </w:style>
  <w:style w:type="paragraph" w:customStyle="1" w:styleId="FrontPageHeading2">
    <w:name w:val="Front Page Heading 2"/>
    <w:basedOn w:val="Normal"/>
    <w:uiPriority w:val="99"/>
    <w:rsid w:val="00B31112"/>
    <w:pPr>
      <w:tabs>
        <w:tab w:val="left" w:pos="900"/>
        <w:tab w:val="left" w:pos="7560"/>
      </w:tabs>
      <w:spacing w:before="120"/>
      <w:jc w:val="center"/>
      <w:outlineLvl w:val="0"/>
    </w:pPr>
    <w:rPr>
      <w:rFonts w:ascii="Arial Bold" w:hAnsi="Arial Bold" w:cs="Arial"/>
      <w:b/>
      <w:bCs/>
      <w:color w:val="000000"/>
      <w:kern w:val="28"/>
      <w:sz w:val="36"/>
      <w:szCs w:val="36"/>
    </w:rPr>
  </w:style>
  <w:style w:type="paragraph" w:customStyle="1" w:styleId="CONLevel1">
    <w:name w:val=".CON  Level   1."/>
    <w:basedOn w:val="Normal"/>
    <w:next w:val="Normal"/>
    <w:uiPriority w:val="99"/>
    <w:rsid w:val="00B31112"/>
    <w:pPr>
      <w:keepNext/>
      <w:numPr>
        <w:numId w:val="10"/>
      </w:numPr>
      <w:spacing w:before="240"/>
      <w:outlineLvl w:val="1"/>
    </w:pPr>
    <w:rPr>
      <w:rFonts w:ascii="Times New Roman" w:hAnsi="Times New Roman" w:cs="Times New Roman"/>
      <w:b/>
      <w:smallCaps/>
      <w:sz w:val="24"/>
      <w:szCs w:val="24"/>
      <w:lang w:val="en-AU"/>
    </w:rPr>
  </w:style>
  <w:style w:type="paragraph" w:customStyle="1" w:styleId="CONLevel11Char">
    <w:name w:val=".CON  Level   1.1 Char"/>
    <w:basedOn w:val="Normal"/>
    <w:next w:val="Normal"/>
    <w:link w:val="CONLevel11CharChar"/>
    <w:uiPriority w:val="99"/>
    <w:rsid w:val="00B31112"/>
    <w:pPr>
      <w:numPr>
        <w:ilvl w:val="1"/>
        <w:numId w:val="10"/>
      </w:numPr>
      <w:spacing w:before="240"/>
      <w:outlineLvl w:val="2"/>
    </w:pPr>
    <w:rPr>
      <w:rFonts w:ascii="Times New Roman" w:hAnsi="Times New Roman" w:cs="Times New Roman"/>
      <w:sz w:val="24"/>
      <w:lang w:val="en-AU"/>
    </w:rPr>
  </w:style>
  <w:style w:type="paragraph" w:customStyle="1" w:styleId="CONLevelaChar">
    <w:name w:val=".CON  Level  (a) Char"/>
    <w:basedOn w:val="Normal"/>
    <w:next w:val="Normal"/>
    <w:link w:val="CONLevelaCharChar"/>
    <w:uiPriority w:val="99"/>
    <w:rsid w:val="00B31112"/>
    <w:pPr>
      <w:numPr>
        <w:ilvl w:val="2"/>
        <w:numId w:val="10"/>
      </w:numPr>
      <w:spacing w:before="240"/>
      <w:outlineLvl w:val="3"/>
    </w:pPr>
    <w:rPr>
      <w:rFonts w:ascii="Times New Roman" w:hAnsi="Times New Roman" w:cs="Times New Roman"/>
      <w:sz w:val="24"/>
      <w:lang w:val="en-AU"/>
    </w:rPr>
  </w:style>
  <w:style w:type="paragraph" w:customStyle="1" w:styleId="CONLeveli">
    <w:name w:val=".CON  Level  (i)"/>
    <w:basedOn w:val="Normal"/>
    <w:next w:val="Normal"/>
    <w:uiPriority w:val="99"/>
    <w:rsid w:val="00B31112"/>
    <w:pPr>
      <w:numPr>
        <w:ilvl w:val="3"/>
        <w:numId w:val="10"/>
      </w:numPr>
      <w:spacing w:before="240"/>
      <w:outlineLvl w:val="4"/>
    </w:pPr>
    <w:rPr>
      <w:rFonts w:ascii="Times New Roman" w:hAnsi="Times New Roman" w:cs="Times New Roman"/>
      <w:sz w:val="24"/>
      <w:lang w:val="en-AU"/>
    </w:rPr>
  </w:style>
  <w:style w:type="paragraph" w:customStyle="1" w:styleId="CONLevelA">
    <w:name w:val=".CON  Level (A)"/>
    <w:basedOn w:val="Normal"/>
    <w:next w:val="Normal"/>
    <w:uiPriority w:val="99"/>
    <w:rsid w:val="00B31112"/>
    <w:pPr>
      <w:numPr>
        <w:ilvl w:val="4"/>
        <w:numId w:val="10"/>
      </w:numPr>
      <w:spacing w:before="240"/>
      <w:outlineLvl w:val="5"/>
    </w:pPr>
    <w:rPr>
      <w:rFonts w:ascii="Times New Roman" w:hAnsi="Times New Roman" w:cs="Times New Roman"/>
      <w:sz w:val="24"/>
      <w:lang w:val="en-AU"/>
    </w:rPr>
  </w:style>
  <w:style w:type="paragraph" w:customStyle="1" w:styleId="CONLevelI0">
    <w:name w:val=".CON  Level (I)"/>
    <w:basedOn w:val="Normal"/>
    <w:next w:val="Normal"/>
    <w:uiPriority w:val="99"/>
    <w:rsid w:val="00B31112"/>
    <w:pPr>
      <w:numPr>
        <w:ilvl w:val="5"/>
        <w:numId w:val="10"/>
      </w:numPr>
      <w:spacing w:before="240"/>
      <w:outlineLvl w:val="6"/>
    </w:pPr>
    <w:rPr>
      <w:rFonts w:ascii="Times New Roman" w:hAnsi="Times New Roman" w:cs="Times New Roman"/>
      <w:sz w:val="24"/>
      <w:lang w:val="en-AU"/>
    </w:rPr>
  </w:style>
  <w:style w:type="table" w:customStyle="1" w:styleId="LightList-Accent11">
    <w:name w:val="Light List - Accent 11"/>
    <w:basedOn w:val="TableNormal"/>
    <w:uiPriority w:val="61"/>
    <w:rsid w:val="00B31112"/>
    <w:rPr>
      <w:rFonts w:cs="Times New Roman"/>
      <w:sz w:val="20"/>
      <w:szCs w:val="20"/>
      <w:lang w:val="en-AU"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SubtleReference">
    <w:name w:val="Subtle Reference"/>
    <w:basedOn w:val="DefaultParagraphFont"/>
    <w:uiPriority w:val="99"/>
    <w:qFormat/>
    <w:rsid w:val="00D21284"/>
    <w:rPr>
      <w:rFonts w:cs="Times New Roman"/>
      <w:b/>
    </w:rPr>
  </w:style>
  <w:style w:type="paragraph" w:customStyle="1" w:styleId="CaptionF">
    <w:name w:val="Caption F"/>
    <w:basedOn w:val="Normal"/>
    <w:next w:val="BodyText"/>
    <w:autoRedefine/>
    <w:uiPriority w:val="99"/>
    <w:rsid w:val="004C5CDB"/>
    <w:pPr>
      <w:numPr>
        <w:numId w:val="18"/>
      </w:numPr>
      <w:tabs>
        <w:tab w:val="clear" w:pos="360"/>
        <w:tab w:val="left" w:pos="500"/>
        <w:tab w:val="num" w:pos="720"/>
        <w:tab w:val="num" w:pos="786"/>
        <w:tab w:val="left" w:pos="1200"/>
      </w:tabs>
      <w:ind w:left="720" w:hanging="720"/>
    </w:pPr>
    <w:rPr>
      <w:rFonts w:ascii="Cambria" w:hAnsi="Cambria" w:cs="Times New Roman"/>
      <w:i/>
      <w:sz w:val="20"/>
      <w:szCs w:val="20"/>
    </w:rPr>
  </w:style>
  <w:style w:type="paragraph" w:customStyle="1" w:styleId="StyleHeading2Centered">
    <w:name w:val="Style Heading 2 + Centered"/>
    <w:basedOn w:val="Normal"/>
    <w:uiPriority w:val="99"/>
    <w:rsid w:val="004C5CDB"/>
    <w:pPr>
      <w:numPr>
        <w:ilvl w:val="1"/>
        <w:numId w:val="18"/>
      </w:numPr>
      <w:jc w:val="both"/>
    </w:pPr>
    <w:rPr>
      <w:rFonts w:ascii="Arial" w:hAnsi="Arial" w:cs="Times New Roman"/>
    </w:rPr>
  </w:style>
  <w:style w:type="character" w:customStyle="1" w:styleId="Heading4Char">
    <w:name w:val="Heading 4 Char"/>
    <w:basedOn w:val="DefaultParagraphFont"/>
    <w:link w:val="Heading4"/>
    <w:uiPriority w:val="99"/>
    <w:locked/>
    <w:rsid w:val="006A4E0A"/>
    <w:rPr>
      <w:b/>
      <w:bCs/>
      <w:sz w:val="24"/>
      <w:szCs w:val="28"/>
    </w:rPr>
  </w:style>
  <w:style w:type="character" w:customStyle="1" w:styleId="Heading5Char">
    <w:name w:val="Heading 5 Char"/>
    <w:basedOn w:val="DefaultParagraphFont"/>
    <w:link w:val="Heading5"/>
    <w:uiPriority w:val="99"/>
    <w:locked/>
    <w:rsid w:val="006A4E0A"/>
    <w:rPr>
      <w:b/>
      <w:bCs/>
      <w:i/>
      <w:iCs/>
      <w:sz w:val="26"/>
      <w:szCs w:val="26"/>
    </w:rPr>
  </w:style>
  <w:style w:type="character" w:customStyle="1" w:styleId="Heading6Char">
    <w:name w:val="Heading 6 Char"/>
    <w:basedOn w:val="DefaultParagraphFont"/>
    <w:link w:val="Heading6"/>
    <w:uiPriority w:val="99"/>
    <w:locked/>
    <w:rsid w:val="006A4E0A"/>
    <w:rPr>
      <w:b/>
      <w:bCs/>
    </w:rPr>
  </w:style>
  <w:style w:type="character" w:customStyle="1" w:styleId="Heading7Char">
    <w:name w:val="Heading 7 Char"/>
    <w:basedOn w:val="DefaultParagraphFont"/>
    <w:link w:val="Heading7"/>
    <w:uiPriority w:val="99"/>
    <w:locked/>
    <w:rsid w:val="006A4E0A"/>
  </w:style>
  <w:style w:type="character" w:customStyle="1" w:styleId="Heading8Char">
    <w:name w:val="Heading 8 Char"/>
    <w:basedOn w:val="DefaultParagraphFont"/>
    <w:link w:val="Heading8"/>
    <w:uiPriority w:val="99"/>
    <w:locked/>
    <w:rsid w:val="006A4E0A"/>
    <w:rPr>
      <w:i/>
      <w:iCs/>
    </w:rPr>
  </w:style>
  <w:style w:type="character" w:customStyle="1" w:styleId="Heading9Char">
    <w:name w:val="Heading 9 Char"/>
    <w:basedOn w:val="DefaultParagraphFont"/>
    <w:link w:val="Heading9"/>
    <w:uiPriority w:val="99"/>
    <w:locked/>
    <w:rsid w:val="006A4E0A"/>
    <w:rPr>
      <w:rFonts w:ascii="Arial" w:hAnsi="Arial" w:cs="Arial"/>
    </w:rPr>
  </w:style>
  <w:style w:type="paragraph" w:styleId="Quote">
    <w:name w:val="Quote"/>
    <w:basedOn w:val="Normal"/>
    <w:next w:val="Normal"/>
    <w:link w:val="QuoteChar"/>
    <w:uiPriority w:val="99"/>
    <w:qFormat/>
    <w:rsid w:val="006A4E0A"/>
    <w:pPr>
      <w:spacing w:after="200" w:line="276" w:lineRule="auto"/>
      <w:jc w:val="both"/>
    </w:pPr>
    <w:rPr>
      <w:rFonts w:cs="Times New Roman"/>
      <w:i/>
      <w:szCs w:val="20"/>
    </w:rPr>
  </w:style>
  <w:style w:type="character" w:customStyle="1" w:styleId="QuoteChar">
    <w:name w:val="Quote Char"/>
    <w:basedOn w:val="DefaultParagraphFont"/>
    <w:link w:val="Quote"/>
    <w:uiPriority w:val="99"/>
    <w:rsid w:val="006A4E0A"/>
    <w:rPr>
      <w:rFonts w:cs="Times New Roman"/>
      <w:i/>
      <w:szCs w:val="20"/>
    </w:rPr>
  </w:style>
  <w:style w:type="paragraph" w:styleId="IntenseQuote">
    <w:name w:val="Intense Quote"/>
    <w:basedOn w:val="Normal"/>
    <w:next w:val="Normal"/>
    <w:link w:val="IntenseQuoteChar"/>
    <w:uiPriority w:val="99"/>
    <w:qFormat/>
    <w:rsid w:val="006A4E0A"/>
    <w:pPr>
      <w:pBdr>
        <w:top w:val="single" w:sz="8" w:space="10" w:color="943634"/>
        <w:left w:val="single" w:sz="8" w:space="10" w:color="943634"/>
        <w:bottom w:val="single" w:sz="8" w:space="10" w:color="943634"/>
        <w:right w:val="single" w:sz="8" w:space="10" w:color="943634"/>
      </w:pBdr>
      <w:shd w:val="clear" w:color="auto" w:fill="C0504D"/>
      <w:spacing w:before="140" w:after="140" w:line="276" w:lineRule="auto"/>
      <w:ind w:left="1440" w:right="1440"/>
      <w:jc w:val="both"/>
    </w:pPr>
    <w:rPr>
      <w:rFonts w:cs="Times New Roman"/>
      <w:b/>
      <w:i/>
      <w:color w:val="FFFFFF"/>
      <w:szCs w:val="20"/>
    </w:rPr>
  </w:style>
  <w:style w:type="character" w:customStyle="1" w:styleId="IntenseQuoteChar">
    <w:name w:val="Intense Quote Char"/>
    <w:basedOn w:val="DefaultParagraphFont"/>
    <w:link w:val="IntenseQuote"/>
    <w:uiPriority w:val="99"/>
    <w:rsid w:val="006A4E0A"/>
    <w:rPr>
      <w:rFonts w:cs="Times New Roman"/>
      <w:b/>
      <w:i/>
      <w:color w:val="FFFFFF"/>
      <w:szCs w:val="20"/>
      <w:shd w:val="clear" w:color="auto" w:fill="C0504D"/>
    </w:rPr>
  </w:style>
  <w:style w:type="character" w:styleId="SubtleEmphasis">
    <w:name w:val="Subtle Emphasis"/>
    <w:basedOn w:val="DefaultParagraphFont"/>
    <w:uiPriority w:val="99"/>
    <w:qFormat/>
    <w:rsid w:val="006A4E0A"/>
    <w:rPr>
      <w:rFonts w:cs="Times New Roman"/>
      <w:i/>
    </w:rPr>
  </w:style>
  <w:style w:type="character" w:styleId="IntenseReference">
    <w:name w:val="Intense Reference"/>
    <w:basedOn w:val="DefaultParagraphFont"/>
    <w:uiPriority w:val="99"/>
    <w:qFormat/>
    <w:rsid w:val="006A4E0A"/>
    <w:rPr>
      <w:rFonts w:cs="Times New Roman"/>
      <w:b/>
      <w:smallCaps/>
      <w:spacing w:val="5"/>
      <w:sz w:val="22"/>
      <w:u w:val="single"/>
    </w:rPr>
  </w:style>
  <w:style w:type="character" w:styleId="BookTitle">
    <w:name w:val="Book Title"/>
    <w:basedOn w:val="DefaultParagraphFont"/>
    <w:uiPriority w:val="99"/>
    <w:qFormat/>
    <w:rsid w:val="006A4E0A"/>
    <w:rPr>
      <w:rFonts w:ascii="Cambria" w:hAnsi="Cambria" w:cs="Times New Roman"/>
      <w:i/>
      <w:sz w:val="20"/>
    </w:rPr>
  </w:style>
  <w:style w:type="table" w:styleId="ColorfulList-Accent2">
    <w:name w:val="Colorful List Accent 2"/>
    <w:basedOn w:val="TableNormal"/>
    <w:uiPriority w:val="99"/>
    <w:rsid w:val="006A4E0A"/>
    <w:rPr>
      <w:rFonts w:cs="Times New Roman"/>
      <w:color w:val="000000"/>
      <w:sz w:val="20"/>
      <w:szCs w:val="20"/>
      <w:lang w:val="en-AU" w:eastAsia="en-AU"/>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paragraph" w:customStyle="1" w:styleId="Listbullet0">
    <w:name w:val="List bullet'"/>
    <w:basedOn w:val="NoSpacing"/>
    <w:uiPriority w:val="99"/>
    <w:rsid w:val="006A4E0A"/>
    <w:pPr>
      <w:numPr>
        <w:numId w:val="19"/>
      </w:numPr>
      <w:jc w:val="both"/>
    </w:pPr>
    <w:rPr>
      <w:rFonts w:eastAsia="Times New Roman" w:cs="Times New Roman"/>
      <w:szCs w:val="20"/>
    </w:rPr>
  </w:style>
  <w:style w:type="table" w:styleId="TableSimple1">
    <w:name w:val="Table Simple 1"/>
    <w:basedOn w:val="TableNormal"/>
    <w:uiPriority w:val="99"/>
    <w:rsid w:val="006A4E0A"/>
    <w:rPr>
      <w:rFonts w:ascii="Arial Narrow" w:eastAsia="MS Mincho" w:hAnsi="Arial Narrow" w:cs="Times New Roman"/>
      <w:sz w:val="18"/>
      <w:szCs w:val="18"/>
      <w:lang w:val="en-AU" w:eastAsia="en-AU"/>
    </w:rPr>
    <w:tblPr>
      <w:tblBorders>
        <w:top w:val="single" w:sz="12" w:space="0" w:color="990000"/>
        <w:bottom w:val="single" w:sz="12" w:space="0" w:color="990000"/>
        <w:insideH w:val="single" w:sz="12" w:space="0" w:color="990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SectionNumber">
    <w:name w:val="Section Number"/>
    <w:basedOn w:val="Normal"/>
    <w:autoRedefine/>
    <w:uiPriority w:val="99"/>
    <w:rsid w:val="006A4E0A"/>
    <w:pPr>
      <w:numPr>
        <w:numId w:val="20"/>
      </w:numPr>
      <w:shd w:val="clear" w:color="auto" w:fill="800080"/>
      <w:jc w:val="both"/>
    </w:pPr>
    <w:rPr>
      <w:rFonts w:ascii="Verdana" w:hAnsi="Verdana" w:cs="Times New Roman"/>
    </w:rPr>
  </w:style>
  <w:style w:type="paragraph" w:customStyle="1" w:styleId="Bodytextnumbered">
    <w:name w:val="Body text numbered"/>
    <w:basedOn w:val="BodyText"/>
    <w:autoRedefine/>
    <w:uiPriority w:val="99"/>
    <w:rsid w:val="006A4E0A"/>
    <w:pPr>
      <w:numPr>
        <w:numId w:val="21"/>
      </w:numPr>
      <w:tabs>
        <w:tab w:val="clear" w:pos="720"/>
        <w:tab w:val="num" w:pos="500"/>
      </w:tabs>
      <w:ind w:left="500" w:hanging="500"/>
    </w:pPr>
    <w:rPr>
      <w:rFonts w:ascii="Arial" w:hAnsi="Arial" w:cs="Times New Roman"/>
      <w:sz w:val="21"/>
      <w:lang w:val="en-US"/>
    </w:rPr>
  </w:style>
  <w:style w:type="paragraph" w:customStyle="1" w:styleId="Tablefont">
    <w:name w:val="Table font"/>
    <w:basedOn w:val="Normal"/>
    <w:link w:val="TablefontChar"/>
    <w:autoRedefine/>
    <w:uiPriority w:val="99"/>
    <w:rsid w:val="006A4E0A"/>
    <w:rPr>
      <w:rFonts w:ascii="Arial Narrow" w:hAnsi="Arial Narrow" w:cs="Arial Narrow"/>
      <w:sz w:val="20"/>
      <w:szCs w:val="24"/>
    </w:rPr>
  </w:style>
  <w:style w:type="paragraph" w:customStyle="1" w:styleId="List1">
    <w:name w:val="List 1"/>
    <w:basedOn w:val="Normal"/>
    <w:uiPriority w:val="99"/>
    <w:rsid w:val="006A4E0A"/>
    <w:pPr>
      <w:numPr>
        <w:numId w:val="22"/>
      </w:numPr>
      <w:jc w:val="both"/>
    </w:pPr>
    <w:rPr>
      <w:rFonts w:ascii="Arial" w:hAnsi="Arial" w:cs="Times New Roman"/>
      <w:szCs w:val="24"/>
    </w:rPr>
  </w:style>
  <w:style w:type="character" w:customStyle="1" w:styleId="CONLevel11CharChar">
    <w:name w:val=".CON  Level   1.1 Char Char"/>
    <w:basedOn w:val="DefaultParagraphFont"/>
    <w:link w:val="CONLevel11Char"/>
    <w:uiPriority w:val="99"/>
    <w:locked/>
    <w:rsid w:val="006A4E0A"/>
    <w:rPr>
      <w:rFonts w:ascii="Times New Roman" w:hAnsi="Times New Roman" w:cs="Times New Roman"/>
      <w:sz w:val="24"/>
      <w:lang w:val="en-AU"/>
    </w:rPr>
  </w:style>
  <w:style w:type="character" w:customStyle="1" w:styleId="CONLevelaCharChar">
    <w:name w:val=".CON  Level  (a) Char Char"/>
    <w:basedOn w:val="DefaultParagraphFont"/>
    <w:link w:val="CONLevelaChar"/>
    <w:uiPriority w:val="99"/>
    <w:locked/>
    <w:rsid w:val="006A4E0A"/>
    <w:rPr>
      <w:rFonts w:ascii="Times New Roman" w:hAnsi="Times New Roman" w:cs="Times New Roman"/>
      <w:sz w:val="24"/>
      <w:lang w:val="en-AU"/>
    </w:rPr>
  </w:style>
  <w:style w:type="paragraph" w:customStyle="1" w:styleId="CaptionT">
    <w:name w:val="Caption T"/>
    <w:basedOn w:val="BodyText"/>
    <w:link w:val="CaptionTChar"/>
    <w:autoRedefine/>
    <w:uiPriority w:val="99"/>
    <w:rsid w:val="006A4E0A"/>
    <w:pPr>
      <w:numPr>
        <w:numId w:val="26"/>
      </w:numPr>
      <w:tabs>
        <w:tab w:val="num" w:pos="0"/>
        <w:tab w:val="left" w:pos="500"/>
        <w:tab w:val="left" w:pos="1200"/>
      </w:tabs>
      <w:ind w:left="0" w:firstLine="0"/>
    </w:pPr>
    <w:rPr>
      <w:rFonts w:ascii="Cambria" w:hAnsi="Cambria" w:cs="Times New Roman"/>
      <w:i/>
      <w:sz w:val="18"/>
      <w:szCs w:val="18"/>
    </w:rPr>
  </w:style>
  <w:style w:type="paragraph" w:customStyle="1" w:styleId="KPI">
    <w:name w:val="KPI"/>
    <w:basedOn w:val="Heading3"/>
    <w:next w:val="BodyText"/>
    <w:link w:val="KPIChar"/>
    <w:autoRedefine/>
    <w:uiPriority w:val="99"/>
    <w:rsid w:val="006A4E0A"/>
    <w:pPr>
      <w:tabs>
        <w:tab w:val="num" w:pos="200"/>
      </w:tabs>
      <w:spacing w:before="240" w:after="60"/>
      <w:ind w:left="632" w:hanging="432"/>
      <w:jc w:val="both"/>
    </w:pPr>
    <w:rPr>
      <w:rFonts w:ascii="Arial" w:hAnsi="Arial" w:cs="Arial"/>
      <w:b w:val="0"/>
      <w:szCs w:val="26"/>
    </w:rPr>
  </w:style>
  <w:style w:type="paragraph" w:customStyle="1" w:styleId="CaptionA">
    <w:name w:val="Caption A"/>
    <w:basedOn w:val="BodyText"/>
    <w:next w:val="BodyText"/>
    <w:autoRedefine/>
    <w:uiPriority w:val="99"/>
    <w:rsid w:val="006A4E0A"/>
    <w:pPr>
      <w:numPr>
        <w:numId w:val="23"/>
      </w:numPr>
      <w:tabs>
        <w:tab w:val="left" w:pos="500"/>
      </w:tabs>
    </w:pPr>
    <w:rPr>
      <w:rFonts w:ascii="Arial" w:hAnsi="Arial" w:cs="Times New Roman"/>
      <w:sz w:val="21"/>
      <w:lang w:val="en-US"/>
    </w:rPr>
  </w:style>
  <w:style w:type="paragraph" w:customStyle="1" w:styleId="SPI">
    <w:name w:val="SPI"/>
    <w:basedOn w:val="BodyText"/>
    <w:next w:val="BodyText"/>
    <w:autoRedefine/>
    <w:uiPriority w:val="99"/>
    <w:rsid w:val="006A4E0A"/>
    <w:pPr>
      <w:numPr>
        <w:numId w:val="25"/>
      </w:numPr>
      <w:tabs>
        <w:tab w:val="left" w:pos="0"/>
        <w:tab w:val="left" w:pos="500"/>
        <w:tab w:val="left" w:pos="1000"/>
      </w:tabs>
      <w:ind w:hanging="1301"/>
    </w:pPr>
    <w:rPr>
      <w:rFonts w:ascii="Arial" w:hAnsi="Arial" w:cs="Times New Roman"/>
      <w:b/>
      <w:sz w:val="21"/>
      <w:lang w:val="en-US"/>
    </w:rPr>
  </w:style>
  <w:style w:type="character" w:customStyle="1" w:styleId="TablefontChar">
    <w:name w:val="Table font Char"/>
    <w:basedOn w:val="DefaultParagraphFont"/>
    <w:link w:val="Tablefont"/>
    <w:uiPriority w:val="99"/>
    <w:locked/>
    <w:rsid w:val="006A4E0A"/>
    <w:rPr>
      <w:rFonts w:ascii="Arial Narrow" w:hAnsi="Arial Narrow" w:cs="Arial Narrow"/>
      <w:sz w:val="20"/>
      <w:szCs w:val="24"/>
    </w:rPr>
  </w:style>
  <w:style w:type="character" w:customStyle="1" w:styleId="CaptionTChar">
    <w:name w:val="Caption T Char"/>
    <w:basedOn w:val="BodyTextChar"/>
    <w:link w:val="CaptionT"/>
    <w:uiPriority w:val="99"/>
    <w:locked/>
    <w:rsid w:val="006A4E0A"/>
    <w:rPr>
      <w:rFonts w:ascii="Cambria" w:hAnsi="Cambria" w:cs="Times New Roman"/>
      <w:i/>
      <w:sz w:val="18"/>
      <w:szCs w:val="18"/>
      <w:lang w:val="en-AU"/>
    </w:rPr>
  </w:style>
  <w:style w:type="character" w:customStyle="1" w:styleId="KPIChar">
    <w:name w:val="KPI Char"/>
    <w:basedOn w:val="Heading3Char"/>
    <w:link w:val="KPI"/>
    <w:uiPriority w:val="99"/>
    <w:locked/>
    <w:rsid w:val="006A4E0A"/>
    <w:rPr>
      <w:rFonts w:ascii="Arial" w:hAnsi="Arial" w:cs="Arial"/>
      <w:b w:val="0"/>
      <w:bCs/>
      <w:i/>
      <w:iCs/>
      <w:color w:val="003880"/>
      <w:sz w:val="24"/>
      <w:szCs w:val="26"/>
    </w:rPr>
  </w:style>
  <w:style w:type="paragraph" w:customStyle="1" w:styleId="Title1">
    <w:name w:val="Title 1"/>
    <w:basedOn w:val="Heading1"/>
    <w:link w:val="Title1Char"/>
    <w:autoRedefine/>
    <w:uiPriority w:val="99"/>
    <w:rsid w:val="006A4E0A"/>
    <w:pPr>
      <w:numPr>
        <w:numId w:val="0"/>
      </w:numPr>
      <w:spacing w:before="240"/>
      <w:jc w:val="center"/>
    </w:pPr>
    <w:rPr>
      <w:rFonts w:ascii="Garamond" w:hAnsi="Garamond" w:cs="Arial"/>
      <w:b/>
      <w:color w:val="000080"/>
      <w:szCs w:val="32"/>
    </w:rPr>
  </w:style>
  <w:style w:type="paragraph" w:customStyle="1" w:styleId="Title2">
    <w:name w:val="Title 2"/>
    <w:basedOn w:val="Title1"/>
    <w:link w:val="Title2Char"/>
    <w:autoRedefine/>
    <w:uiPriority w:val="99"/>
    <w:rsid w:val="006A4E0A"/>
    <w:rPr>
      <w:sz w:val="72"/>
    </w:rPr>
  </w:style>
  <w:style w:type="character" w:customStyle="1" w:styleId="Title1Char">
    <w:name w:val="Title 1 Char"/>
    <w:basedOn w:val="Heading1Char"/>
    <w:link w:val="Title1"/>
    <w:uiPriority w:val="99"/>
    <w:locked/>
    <w:rsid w:val="006A4E0A"/>
    <w:rPr>
      <w:rFonts w:ascii="Garamond" w:hAnsi="Garamond" w:cs="Arial"/>
      <w:b/>
      <w:bCs/>
      <w:color w:val="000080"/>
      <w:kern w:val="32"/>
      <w:sz w:val="32"/>
      <w:szCs w:val="32"/>
    </w:rPr>
  </w:style>
  <w:style w:type="character" w:customStyle="1" w:styleId="Title2Char">
    <w:name w:val="Title 2 Char"/>
    <w:basedOn w:val="Title1Char"/>
    <w:link w:val="Title2"/>
    <w:uiPriority w:val="99"/>
    <w:locked/>
    <w:rsid w:val="006A4E0A"/>
    <w:rPr>
      <w:rFonts w:ascii="Garamond" w:hAnsi="Garamond" w:cs="Arial"/>
      <w:b/>
      <w:bCs/>
      <w:color w:val="000080"/>
      <w:kern w:val="32"/>
      <w:sz w:val="72"/>
      <w:szCs w:val="32"/>
    </w:rPr>
  </w:style>
  <w:style w:type="paragraph" w:customStyle="1" w:styleId="StyleSPI">
    <w:name w:val="Style SPI"/>
    <w:basedOn w:val="SPI"/>
    <w:autoRedefine/>
    <w:uiPriority w:val="99"/>
    <w:rsid w:val="006A4E0A"/>
    <w:pPr>
      <w:numPr>
        <w:numId w:val="24"/>
      </w:numPr>
    </w:pPr>
    <w:rPr>
      <w:bCs/>
      <w:szCs w:val="20"/>
    </w:rPr>
  </w:style>
  <w:style w:type="paragraph" w:customStyle="1" w:styleId="Tableheader">
    <w:name w:val="Table header"/>
    <w:basedOn w:val="BodyText"/>
    <w:autoRedefine/>
    <w:uiPriority w:val="99"/>
    <w:rsid w:val="006A4E0A"/>
    <w:pPr>
      <w:numPr>
        <w:numId w:val="28"/>
      </w:numPr>
      <w:ind w:right="-60" w:hanging="781"/>
      <w:jc w:val="both"/>
    </w:pPr>
    <w:rPr>
      <w:rFonts w:ascii="Garamond" w:hAnsi="Garamond" w:cs="Times New Roman"/>
      <w:b/>
      <w:sz w:val="18"/>
      <w:szCs w:val="18"/>
      <w:lang w:val="en-US"/>
    </w:rPr>
  </w:style>
  <w:style w:type="paragraph" w:customStyle="1" w:styleId="Figureheader">
    <w:name w:val="Figure header"/>
    <w:basedOn w:val="Tableheader"/>
    <w:next w:val="BodyText"/>
    <w:autoRedefine/>
    <w:uiPriority w:val="99"/>
    <w:rsid w:val="006A4E0A"/>
    <w:pPr>
      <w:numPr>
        <w:numId w:val="27"/>
      </w:numPr>
      <w:spacing w:after="240"/>
      <w:ind w:right="-562"/>
      <w:jc w:val="center"/>
    </w:pPr>
    <w:rPr>
      <w:sz w:val="20"/>
      <w:szCs w:val="20"/>
    </w:rPr>
  </w:style>
  <w:style w:type="table" w:styleId="ColorfulGrid-Accent2">
    <w:name w:val="Colorful Grid Accent 2"/>
    <w:basedOn w:val="TableNormal"/>
    <w:uiPriority w:val="99"/>
    <w:rsid w:val="006A4E0A"/>
    <w:rPr>
      <w:rFonts w:cs="Times New Roman"/>
      <w:color w:val="000000"/>
      <w:sz w:val="20"/>
      <w:szCs w:val="20"/>
      <w:lang w:val="en-AU" w:eastAsia="en-AU"/>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List1-Accent2">
    <w:name w:val="Medium List 1 Accent 2"/>
    <w:basedOn w:val="TableNormal"/>
    <w:uiPriority w:val="99"/>
    <w:rsid w:val="006A4E0A"/>
    <w:rPr>
      <w:rFonts w:cs="Times New Roman"/>
      <w:color w:val="000000"/>
      <w:sz w:val="20"/>
      <w:szCs w:val="20"/>
      <w:lang w:val="en-AU" w:eastAsia="en-AU"/>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character" w:customStyle="1" w:styleId="CharChar15">
    <w:name w:val="Char Char15"/>
    <w:basedOn w:val="DefaultParagraphFont"/>
    <w:uiPriority w:val="99"/>
    <w:rsid w:val="006A4E0A"/>
    <w:rPr>
      <w:rFonts w:ascii="Cambria" w:hAnsi="Cambria" w:cs="Times New Roman"/>
      <w:b/>
      <w:color w:val="C0504D"/>
      <w:spacing w:val="5"/>
      <w:sz w:val="28"/>
      <w:szCs w:val="28"/>
      <w:lang w:val="en-US" w:eastAsia="en-US"/>
    </w:rPr>
  </w:style>
  <w:style w:type="character" w:customStyle="1" w:styleId="CharChar14">
    <w:name w:val="Char Char14"/>
    <w:basedOn w:val="DefaultParagraphFont"/>
    <w:uiPriority w:val="99"/>
    <w:rsid w:val="006A4E0A"/>
    <w:rPr>
      <w:rFonts w:ascii="Cambria" w:hAnsi="Cambria" w:cs="Times New Roman"/>
      <w:b/>
      <w:i/>
      <w:color w:val="C0504D"/>
      <w:spacing w:val="5"/>
      <w:sz w:val="24"/>
      <w:szCs w:val="24"/>
      <w:lang w:val="en-US" w:eastAsia="en-US"/>
    </w:rPr>
  </w:style>
  <w:style w:type="character" w:customStyle="1" w:styleId="CharChar3">
    <w:name w:val="Char Char3"/>
    <w:basedOn w:val="DefaultParagraphFont"/>
    <w:uiPriority w:val="99"/>
    <w:rsid w:val="006A4E0A"/>
    <w:rPr>
      <w:rFonts w:ascii="Arial" w:hAnsi="Arial" w:cs="Times New Roman"/>
      <w:sz w:val="24"/>
      <w:szCs w:val="24"/>
      <w:lang w:val="en-US" w:eastAsia="en-US" w:bidi="ar-SA"/>
    </w:rPr>
  </w:style>
  <w:style w:type="paragraph" w:customStyle="1" w:styleId="Paraheading">
    <w:name w:val="Para heading"/>
    <w:basedOn w:val="ListNumber"/>
    <w:link w:val="ParaheadingChar"/>
    <w:uiPriority w:val="99"/>
    <w:rsid w:val="006A4E0A"/>
    <w:pPr>
      <w:tabs>
        <w:tab w:val="clear" w:pos="360"/>
      </w:tabs>
      <w:spacing w:after="200" w:line="276" w:lineRule="auto"/>
      <w:jc w:val="both"/>
    </w:pPr>
    <w:rPr>
      <w:b/>
      <w:lang w:val="en-AU"/>
    </w:rPr>
  </w:style>
  <w:style w:type="character" w:customStyle="1" w:styleId="ListNumberChar">
    <w:name w:val="List Number Char"/>
    <w:basedOn w:val="DefaultParagraphFont"/>
    <w:link w:val="ListNumber"/>
    <w:uiPriority w:val="99"/>
    <w:locked/>
    <w:rsid w:val="006A4E0A"/>
  </w:style>
  <w:style w:type="character" w:customStyle="1" w:styleId="ParaheadingChar">
    <w:name w:val="Para heading Char"/>
    <w:basedOn w:val="ListNumberChar"/>
    <w:link w:val="Paraheading"/>
    <w:uiPriority w:val="99"/>
    <w:locked/>
    <w:rsid w:val="006A4E0A"/>
    <w:rPr>
      <w:b/>
      <w:lang w:val="en-AU"/>
    </w:rPr>
  </w:style>
  <w:style w:type="paragraph" w:styleId="ListNumber2">
    <w:name w:val="List Number 2"/>
    <w:basedOn w:val="Normal"/>
    <w:uiPriority w:val="99"/>
    <w:rsid w:val="006A4E0A"/>
    <w:pPr>
      <w:numPr>
        <w:numId w:val="29"/>
      </w:numPr>
      <w:spacing w:after="200" w:line="276" w:lineRule="auto"/>
      <w:jc w:val="both"/>
    </w:pPr>
    <w:rPr>
      <w:rFonts w:cs="Times New Roman"/>
      <w:szCs w:val="20"/>
    </w:rPr>
  </w:style>
  <w:style w:type="numbering" w:styleId="111111">
    <w:name w:val="Outline List 2"/>
    <w:basedOn w:val="NoList"/>
    <w:uiPriority w:val="99"/>
    <w:unhideWhenUsed/>
    <w:rsid w:val="006A4E0A"/>
    <w:pPr>
      <w:numPr>
        <w:numId w:val="21"/>
      </w:numPr>
    </w:pPr>
  </w:style>
  <w:style w:type="character" w:customStyle="1" w:styleId="apple-style-span">
    <w:name w:val="apple-style-span"/>
    <w:basedOn w:val="DefaultParagraphFont"/>
    <w:rsid w:val="006A4E0A"/>
  </w:style>
  <w:style w:type="table" w:styleId="MediumGrid3-Accent1">
    <w:name w:val="Medium Grid 3 Accent 1"/>
    <w:basedOn w:val="TableNormal"/>
    <w:uiPriority w:val="69"/>
    <w:rsid w:val="006A4E0A"/>
    <w:rPr>
      <w:rFonts w:cs="Times New Roman"/>
      <w:sz w:val="20"/>
      <w:szCs w:val="20"/>
      <w:lang w:val="en-AU"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Shading1-Accent11">
    <w:name w:val="Medium Shading 1 - Accent 11"/>
    <w:basedOn w:val="TableNormal"/>
    <w:uiPriority w:val="63"/>
    <w:rsid w:val="006A4E0A"/>
    <w:rPr>
      <w:rFonts w:cs="Times New Roman"/>
      <w:sz w:val="20"/>
      <w:szCs w:val="20"/>
      <w:lang w:val="en-AU"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xl63">
    <w:name w:val="xl63"/>
    <w:basedOn w:val="Normal"/>
    <w:rsid w:val="006A4E0A"/>
    <w:pPr>
      <w:spacing w:before="100" w:beforeAutospacing="1" w:after="100" w:afterAutospacing="1"/>
    </w:pPr>
    <w:rPr>
      <w:rFonts w:ascii="Times New Roman" w:hAnsi="Times New Roman" w:cs="Times New Roman"/>
      <w:sz w:val="20"/>
      <w:szCs w:val="20"/>
      <w:lang w:val="en-AU" w:eastAsia="en-AU"/>
    </w:rPr>
  </w:style>
  <w:style w:type="paragraph" w:customStyle="1" w:styleId="xl64">
    <w:name w:val="xl64"/>
    <w:basedOn w:val="Normal"/>
    <w:rsid w:val="006A4E0A"/>
    <w:pPr>
      <w:spacing w:before="100" w:beforeAutospacing="1" w:after="100" w:afterAutospacing="1"/>
    </w:pPr>
    <w:rPr>
      <w:rFonts w:ascii="Times New Roman" w:hAnsi="Times New Roman" w:cs="Times New Roman"/>
      <w:sz w:val="20"/>
      <w:szCs w:val="20"/>
      <w:lang w:val="en-AU" w:eastAsia="en-AU"/>
    </w:rPr>
  </w:style>
  <w:style w:type="paragraph" w:customStyle="1" w:styleId="xl65">
    <w:name w:val="xl65"/>
    <w:basedOn w:val="Normal"/>
    <w:rsid w:val="006A4E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s="Times New Roman"/>
      <w:sz w:val="18"/>
      <w:szCs w:val="18"/>
      <w:lang w:val="en-AU" w:eastAsia="en-AU"/>
    </w:rPr>
  </w:style>
  <w:style w:type="table" w:customStyle="1" w:styleId="MediumShading2-Accent11">
    <w:name w:val="Medium Shading 2 - Accent 11"/>
    <w:basedOn w:val="TableNormal"/>
    <w:uiPriority w:val="64"/>
    <w:rsid w:val="006A4E0A"/>
    <w:rPr>
      <w:rFonts w:cs="Times New Roman"/>
      <w:sz w:val="20"/>
      <w:szCs w:val="20"/>
      <w:lang w:val="en-AU"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1-Accent1">
    <w:name w:val="Medium Grid 1 Accent 1"/>
    <w:basedOn w:val="TableNormal"/>
    <w:uiPriority w:val="67"/>
    <w:rsid w:val="006A4E0A"/>
    <w:rPr>
      <w:rFonts w:cs="Times New Roman"/>
      <w:sz w:val="20"/>
      <w:szCs w:val="20"/>
      <w:lang w:val="en-AU"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styleId="ListBullet3">
    <w:name w:val="List Bullet 3"/>
    <w:basedOn w:val="Normal"/>
    <w:uiPriority w:val="99"/>
    <w:unhideWhenUsed/>
    <w:rsid w:val="006A4E0A"/>
    <w:pPr>
      <w:numPr>
        <w:numId w:val="31"/>
      </w:numPr>
      <w:spacing w:after="200" w:line="276" w:lineRule="auto"/>
      <w:contextualSpacing/>
      <w:jc w:val="both"/>
    </w:pPr>
    <w:rPr>
      <w:rFonts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header" w:uiPriority="99"/>
    <w:lsdException w:name="footer" w:uiPriority="99"/>
    <w:lsdException w:name="caption" w:uiPriority="99" w:qFormat="1"/>
    <w:lsdException w:name="table of figures" w:uiPriority="99"/>
    <w:lsdException w:name="footnote reference" w:uiPriority="99"/>
    <w:lsdException w:name="annotation reference" w:uiPriority="99"/>
    <w:lsdException w:name="page number" w:uiPriority="99" w:qFormat="1"/>
    <w:lsdException w:name="endnote reference" w:uiPriority="99"/>
    <w:lsdException w:name="endnote text" w:uiPriority="99"/>
    <w:lsdException w:name="List Bullet" w:uiPriority="99"/>
    <w:lsdException w:name="List Number" w:semiHidden="0" w:uiPriority="99" w:unhideWhenUsed="0"/>
    <w:lsdException w:name="List 4" w:semiHidden="0" w:unhideWhenUsed="0"/>
    <w:lsdException w:name="List 5" w:semiHidden="0" w:unhideWhenUsed="0"/>
    <w:lsdException w:name="List Bullet 3" w:uiPriority="99"/>
    <w:lsdException w:name="List Number 2" w:uiPriority="99"/>
    <w:lsdException w:name="Title" w:semiHidden="0" w:uiPriority="99" w:unhideWhenUsed="0" w:qFormat="1"/>
    <w:lsdException w:name="Body Tex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99" w:unhideWhenUsed="0" w:qFormat="1"/>
    <w:lsdException w:name="Emphasis" w:semiHidden="0" w:uiPriority="99" w:unhideWhenUsed="0" w:qFormat="1"/>
    <w:lsdException w:name="Normal (Web)" w:uiPriority="99"/>
    <w:lsdException w:name="annotation subject" w:uiPriority="99"/>
    <w:lsdException w:name="No List" w:uiPriority="99"/>
    <w:lsdException w:name="Outline List 2" w:uiPriority="99"/>
    <w:lsdException w:name="Table Simple 1" w:uiPriority="99"/>
    <w:lsdException w:name="Balloon Text" w:uiPriority="99"/>
    <w:lsdException w:name="Table Grid" w:semiHidden="0" w:uiPriority="9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1" w:unhideWhenUsed="0" w:qFormat="1"/>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1"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1"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1" w:unhideWhenUsed="0"/>
    <w:lsdException w:name="Medium Shading 2 Accent 2" w:semiHidden="0" w:uiPriority="64" w:unhideWhenUsed="0"/>
    <w:lsdException w:name="Medium List 1 Accent 2" w:semiHidden="0" w:uiPriority="99" w:unhideWhenUsed="0"/>
    <w:lsdException w:name="Medium List 2 Accent 2" w:semiHidden="0" w:uiPriority="66" w:unhideWhenUsed="0"/>
    <w:lsdException w:name="Medium Grid 1 Accent 2" w:semiHidden="0" w:uiPriority="34" w:unhideWhenUsed="0" w:qFormat="1"/>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99" w:unhideWhenUsed="0"/>
    <w:lsdException w:name="Colorful Grid Accent 2" w:semiHidden="0" w:uiPriority="99" w:unhideWhenUsed="0"/>
    <w:lsdException w:name="Light Shading Accent 3" w:semiHidden="0" w:uiPriority="60" w:unhideWhenUsed="0"/>
    <w:lsdException w:name="Light List Accent 3" w:semiHidden="0" w:uiPriority="61" w:unhideWhenUsed="0"/>
    <w:lsdException w:name="Light Grid Accent 3" w:semiHidden="0" w:uiPriority="34" w:unhideWhenUsed="0" w:qFormat="1"/>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99" w:unhideWhenUsed="0" w:qFormat="1"/>
    <w:lsdException w:name="Subtle Reference" w:semiHidden="0" w:uiPriority="99" w:unhideWhenUsed="0" w:qFormat="1"/>
    <w:lsdException w:name="Intense Reference" w:semiHidden="0" w:uiPriority="99"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235E42"/>
    <w:pPr>
      <w:spacing w:after="120"/>
    </w:pPr>
  </w:style>
  <w:style w:type="paragraph" w:styleId="Heading1">
    <w:name w:val="heading 1"/>
    <w:basedOn w:val="Normal"/>
    <w:next w:val="Normal"/>
    <w:link w:val="Heading1Char"/>
    <w:uiPriority w:val="99"/>
    <w:qFormat/>
    <w:rsid w:val="00396227"/>
    <w:pPr>
      <w:keepNext/>
      <w:numPr>
        <w:numId w:val="7"/>
      </w:numPr>
      <w:outlineLvl w:val="0"/>
    </w:pPr>
    <w:rPr>
      <w:rFonts w:asciiTheme="minorHAnsi" w:hAnsiTheme="minorHAnsi" w:cstheme="minorHAnsi"/>
      <w:bCs/>
      <w:color w:val="003880"/>
      <w:kern w:val="32"/>
      <w:sz w:val="32"/>
      <w:szCs w:val="72"/>
    </w:rPr>
  </w:style>
  <w:style w:type="paragraph" w:styleId="Heading2">
    <w:name w:val="heading 2"/>
    <w:basedOn w:val="Normal"/>
    <w:next w:val="Normal"/>
    <w:link w:val="Heading2Char"/>
    <w:uiPriority w:val="99"/>
    <w:qFormat/>
    <w:rsid w:val="00DE0C5D"/>
    <w:pPr>
      <w:keepNext/>
      <w:numPr>
        <w:ilvl w:val="1"/>
        <w:numId w:val="7"/>
      </w:numPr>
      <w:outlineLvl w:val="1"/>
    </w:pPr>
    <w:rPr>
      <w:bCs/>
      <w:iCs/>
      <w:color w:val="003880"/>
      <w:sz w:val="24"/>
      <w:szCs w:val="48"/>
    </w:rPr>
  </w:style>
  <w:style w:type="paragraph" w:styleId="Heading3">
    <w:name w:val="heading 3"/>
    <w:basedOn w:val="Normal"/>
    <w:next w:val="Normal"/>
    <w:link w:val="Heading3Char"/>
    <w:autoRedefine/>
    <w:uiPriority w:val="99"/>
    <w:qFormat/>
    <w:rsid w:val="00DB55DD"/>
    <w:pPr>
      <w:keepNext/>
      <w:spacing w:before="360" w:line="276" w:lineRule="auto"/>
      <w:outlineLvl w:val="2"/>
    </w:pPr>
    <w:rPr>
      <w:rFonts w:asciiTheme="minorHAnsi" w:hAnsiTheme="minorHAnsi" w:cstheme="minorHAnsi"/>
      <w:b/>
      <w:bCs/>
      <w:i/>
      <w:iCs/>
      <w:color w:val="003880"/>
      <w:sz w:val="24"/>
      <w:szCs w:val="28"/>
    </w:rPr>
  </w:style>
  <w:style w:type="paragraph" w:styleId="Heading4">
    <w:name w:val="heading 4"/>
    <w:basedOn w:val="Normal"/>
    <w:next w:val="Normal"/>
    <w:link w:val="Heading4Char"/>
    <w:uiPriority w:val="99"/>
    <w:qFormat/>
    <w:rsid w:val="00643C39"/>
    <w:pPr>
      <w:keepNext/>
      <w:numPr>
        <w:ilvl w:val="3"/>
        <w:numId w:val="7"/>
      </w:numPr>
      <w:spacing w:before="240" w:after="60"/>
      <w:outlineLvl w:val="3"/>
    </w:pPr>
    <w:rPr>
      <w:b/>
      <w:bCs/>
      <w:sz w:val="24"/>
      <w:szCs w:val="28"/>
    </w:rPr>
  </w:style>
  <w:style w:type="paragraph" w:styleId="Heading5">
    <w:name w:val="heading 5"/>
    <w:basedOn w:val="Normal"/>
    <w:next w:val="Normal"/>
    <w:link w:val="Heading5Char"/>
    <w:uiPriority w:val="99"/>
    <w:qFormat/>
    <w:rsid w:val="00643C39"/>
    <w:pPr>
      <w:numPr>
        <w:ilvl w:val="4"/>
        <w:numId w:val="3"/>
      </w:numPr>
      <w:spacing w:before="240" w:after="60"/>
      <w:outlineLvl w:val="4"/>
    </w:pPr>
    <w:rPr>
      <w:b/>
      <w:bCs/>
      <w:i/>
      <w:iCs/>
      <w:sz w:val="26"/>
      <w:szCs w:val="26"/>
    </w:rPr>
  </w:style>
  <w:style w:type="paragraph" w:styleId="Heading6">
    <w:name w:val="heading 6"/>
    <w:basedOn w:val="Normal"/>
    <w:next w:val="Normal"/>
    <w:link w:val="Heading6Char"/>
    <w:uiPriority w:val="99"/>
    <w:qFormat/>
    <w:rsid w:val="00643C39"/>
    <w:pPr>
      <w:numPr>
        <w:ilvl w:val="5"/>
        <w:numId w:val="3"/>
      </w:numPr>
      <w:spacing w:before="240" w:after="60"/>
      <w:outlineLvl w:val="5"/>
    </w:pPr>
    <w:rPr>
      <w:b/>
      <w:bCs/>
    </w:rPr>
  </w:style>
  <w:style w:type="paragraph" w:styleId="Heading7">
    <w:name w:val="heading 7"/>
    <w:basedOn w:val="Normal"/>
    <w:next w:val="Normal"/>
    <w:link w:val="Heading7Char"/>
    <w:uiPriority w:val="99"/>
    <w:qFormat/>
    <w:rsid w:val="00643C39"/>
    <w:pPr>
      <w:numPr>
        <w:ilvl w:val="6"/>
        <w:numId w:val="3"/>
      </w:numPr>
      <w:spacing w:before="240" w:after="60"/>
      <w:outlineLvl w:val="6"/>
    </w:pPr>
  </w:style>
  <w:style w:type="paragraph" w:styleId="Heading8">
    <w:name w:val="heading 8"/>
    <w:basedOn w:val="Normal"/>
    <w:next w:val="Normal"/>
    <w:link w:val="Heading8Char"/>
    <w:uiPriority w:val="99"/>
    <w:qFormat/>
    <w:rsid w:val="00643C39"/>
    <w:pPr>
      <w:numPr>
        <w:ilvl w:val="7"/>
        <w:numId w:val="3"/>
      </w:numPr>
      <w:spacing w:before="240" w:after="60"/>
      <w:outlineLvl w:val="7"/>
    </w:pPr>
    <w:rPr>
      <w:i/>
      <w:iCs/>
    </w:rPr>
  </w:style>
  <w:style w:type="paragraph" w:styleId="Heading9">
    <w:name w:val="heading 9"/>
    <w:basedOn w:val="Normal"/>
    <w:next w:val="Normal"/>
    <w:link w:val="Heading9Char"/>
    <w:uiPriority w:val="99"/>
    <w:qFormat/>
    <w:rsid w:val="00643C39"/>
    <w:pPr>
      <w:numPr>
        <w:ilvl w:val="8"/>
        <w:numId w:val="3"/>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396227"/>
    <w:rPr>
      <w:rFonts w:asciiTheme="minorHAnsi" w:hAnsiTheme="minorHAnsi" w:cstheme="minorHAnsi"/>
      <w:bCs/>
      <w:color w:val="003880"/>
      <w:kern w:val="32"/>
      <w:sz w:val="32"/>
      <w:szCs w:val="72"/>
    </w:rPr>
  </w:style>
  <w:style w:type="character" w:customStyle="1" w:styleId="Heading2Char">
    <w:name w:val="Heading 2 Char"/>
    <w:link w:val="Heading2"/>
    <w:uiPriority w:val="99"/>
    <w:rsid w:val="00DE0C5D"/>
    <w:rPr>
      <w:bCs/>
      <w:iCs/>
      <w:color w:val="003880"/>
      <w:sz w:val="24"/>
      <w:szCs w:val="48"/>
    </w:rPr>
  </w:style>
  <w:style w:type="character" w:customStyle="1" w:styleId="Heading3Char">
    <w:name w:val="Heading 3 Char"/>
    <w:link w:val="Heading3"/>
    <w:uiPriority w:val="99"/>
    <w:rsid w:val="00DB55DD"/>
    <w:rPr>
      <w:rFonts w:asciiTheme="minorHAnsi" w:hAnsiTheme="minorHAnsi" w:cstheme="minorHAnsi"/>
      <w:b/>
      <w:bCs/>
      <w:i/>
      <w:iCs/>
      <w:color w:val="003880"/>
      <w:sz w:val="24"/>
      <w:szCs w:val="28"/>
    </w:rPr>
  </w:style>
  <w:style w:type="paragraph" w:styleId="Footer">
    <w:name w:val="footer"/>
    <w:basedOn w:val="Normal"/>
    <w:link w:val="FooterChar"/>
    <w:uiPriority w:val="99"/>
    <w:rsid w:val="005F5956"/>
    <w:pPr>
      <w:tabs>
        <w:tab w:val="center" w:pos="4320"/>
        <w:tab w:val="right" w:pos="8640"/>
      </w:tabs>
    </w:pPr>
    <w:rPr>
      <w:b/>
      <w:caps/>
      <w:sz w:val="16"/>
      <w:szCs w:val="16"/>
    </w:rPr>
  </w:style>
  <w:style w:type="character" w:customStyle="1" w:styleId="FooterChar">
    <w:name w:val="Footer Char"/>
    <w:link w:val="Footer"/>
    <w:uiPriority w:val="99"/>
    <w:rsid w:val="00623899"/>
    <w:rPr>
      <w:rFonts w:ascii="Gill Sans MT" w:hAnsi="Gill Sans MT"/>
      <w:b/>
      <w:caps/>
      <w:sz w:val="16"/>
      <w:szCs w:val="16"/>
    </w:rPr>
  </w:style>
  <w:style w:type="character" w:styleId="FootnoteReference">
    <w:name w:val="footnote reference"/>
    <w:aliases w:val=" BVI fnr,BVI fnr,ftref,referencia nota al pie,footnote ref,16 Point,Superscript 6 Point,fr,(NECG) Footnote Reference"/>
    <w:uiPriority w:val="99"/>
    <w:rsid w:val="00890B09"/>
    <w:rPr>
      <w:rFonts w:ascii="Times New Roman" w:hAnsi="Times New Roman"/>
      <w:sz w:val="22"/>
      <w:szCs w:val="22"/>
      <w:vertAlign w:val="superscript"/>
    </w:rPr>
  </w:style>
  <w:style w:type="paragraph" w:styleId="Header">
    <w:name w:val="header"/>
    <w:basedOn w:val="Normal"/>
    <w:link w:val="HeaderChar"/>
    <w:uiPriority w:val="99"/>
    <w:rsid w:val="006A672B"/>
    <w:pPr>
      <w:tabs>
        <w:tab w:val="center" w:pos="4320"/>
        <w:tab w:val="right" w:pos="8640"/>
      </w:tabs>
    </w:pPr>
    <w:rPr>
      <w:caps/>
      <w:sz w:val="16"/>
      <w:szCs w:val="16"/>
    </w:rPr>
  </w:style>
  <w:style w:type="character" w:customStyle="1" w:styleId="HeaderChar">
    <w:name w:val="Header Char"/>
    <w:link w:val="Header"/>
    <w:uiPriority w:val="99"/>
    <w:rsid w:val="006A672B"/>
    <w:rPr>
      <w:rFonts w:ascii="Gill Sans MT" w:hAnsi="Gill Sans MT"/>
      <w:caps/>
      <w:sz w:val="16"/>
      <w:szCs w:val="16"/>
    </w:rPr>
  </w:style>
  <w:style w:type="paragraph" w:styleId="ListNumber">
    <w:name w:val="List Number"/>
    <w:basedOn w:val="Normal"/>
    <w:link w:val="ListNumberChar"/>
    <w:uiPriority w:val="99"/>
    <w:rsid w:val="00890B09"/>
    <w:pPr>
      <w:tabs>
        <w:tab w:val="num" w:pos="360"/>
      </w:tabs>
    </w:pPr>
  </w:style>
  <w:style w:type="paragraph" w:styleId="List">
    <w:name w:val="List"/>
    <w:basedOn w:val="Normal"/>
    <w:rsid w:val="00890B09"/>
    <w:pPr>
      <w:ind w:left="360" w:hanging="360"/>
    </w:pPr>
  </w:style>
  <w:style w:type="character" w:styleId="PageNumber">
    <w:name w:val="page number"/>
    <w:uiPriority w:val="99"/>
    <w:qFormat/>
    <w:rsid w:val="00D14AFA"/>
    <w:rPr>
      <w:rFonts w:ascii="Calibri" w:hAnsi="Calibri" w:cs="Calibri"/>
      <w:color w:val="595959" w:themeColor="text1" w:themeTint="A6"/>
      <w:sz w:val="24"/>
    </w:rPr>
  </w:style>
  <w:style w:type="paragraph" w:styleId="TableofFigures">
    <w:name w:val="table of figures"/>
    <w:basedOn w:val="Normal"/>
    <w:next w:val="Normal"/>
    <w:uiPriority w:val="99"/>
    <w:rsid w:val="00803B3F"/>
    <w:pPr>
      <w:ind w:left="440" w:hanging="440"/>
    </w:pPr>
  </w:style>
  <w:style w:type="paragraph" w:customStyle="1" w:styleId="2ParagraphHeadline">
    <w:name w:val="2 Paragraph Headline"/>
    <w:basedOn w:val="Normal"/>
    <w:link w:val="2ParagraphHeadlineChar"/>
    <w:qFormat/>
    <w:rsid w:val="005C475A"/>
    <w:rPr>
      <w:rFonts w:eastAsiaTheme="minorHAnsi"/>
      <w:b/>
      <w:bCs/>
      <w:color w:val="68BAD6"/>
      <w:szCs w:val="14"/>
    </w:rPr>
  </w:style>
  <w:style w:type="character" w:styleId="Hyperlink">
    <w:name w:val="Hyperlink"/>
    <w:uiPriority w:val="99"/>
    <w:rsid w:val="00890B09"/>
    <w:rPr>
      <w:rFonts w:ascii="Gill Sans MT" w:hAnsi="Gill Sans MT"/>
      <w:color w:val="auto"/>
      <w:sz w:val="22"/>
      <w:u w:val="single"/>
    </w:rPr>
  </w:style>
  <w:style w:type="paragraph" w:styleId="ListBullet">
    <w:name w:val="List Bullet"/>
    <w:basedOn w:val="Normal"/>
    <w:uiPriority w:val="99"/>
    <w:rsid w:val="00D234C8"/>
    <w:pPr>
      <w:numPr>
        <w:numId w:val="1"/>
      </w:numPr>
    </w:pPr>
  </w:style>
  <w:style w:type="paragraph" w:styleId="Caption">
    <w:name w:val="caption"/>
    <w:aliases w:val="Figure"/>
    <w:basedOn w:val="Normal"/>
    <w:next w:val="Normal"/>
    <w:autoRedefine/>
    <w:uiPriority w:val="99"/>
    <w:qFormat/>
    <w:rsid w:val="001A3FC6"/>
    <w:pPr>
      <w:keepNext/>
      <w:tabs>
        <w:tab w:val="left" w:pos="993"/>
      </w:tabs>
      <w:spacing w:line="276" w:lineRule="auto"/>
      <w:jc w:val="center"/>
    </w:pPr>
    <w:rPr>
      <w:rFonts w:asciiTheme="minorHAnsi" w:hAnsiTheme="minorHAnsi" w:cstheme="minorHAnsi"/>
      <w:b/>
      <w:lang w:val="en-GB"/>
    </w:rPr>
  </w:style>
  <w:style w:type="character" w:customStyle="1" w:styleId="2ParagraphHeadlineChar">
    <w:name w:val="2 Paragraph Headline Char"/>
    <w:basedOn w:val="DefaultParagraphFont"/>
    <w:link w:val="2ParagraphHeadline"/>
    <w:rsid w:val="005C475A"/>
    <w:rPr>
      <w:rFonts w:eastAsiaTheme="minorHAnsi"/>
      <w:b/>
      <w:bCs/>
      <w:color w:val="68BAD6"/>
      <w:szCs w:val="14"/>
    </w:rPr>
  </w:style>
  <w:style w:type="paragraph" w:customStyle="1" w:styleId="MediumGrid21">
    <w:name w:val="Medium Grid 21"/>
    <w:link w:val="MediumGrid2Char"/>
    <w:uiPriority w:val="1"/>
    <w:qFormat/>
    <w:rsid w:val="0027184C"/>
    <w:rPr>
      <w:rFonts w:ascii="Gill Sans MT" w:hAnsi="Gill Sans MT"/>
      <w:szCs w:val="24"/>
    </w:rPr>
  </w:style>
  <w:style w:type="character" w:customStyle="1" w:styleId="MediumGrid2Char">
    <w:name w:val="Medium Grid 2 Char"/>
    <w:link w:val="MediumGrid21"/>
    <w:uiPriority w:val="1"/>
    <w:rsid w:val="00A04901"/>
    <w:rPr>
      <w:rFonts w:ascii="Gill Sans MT" w:hAnsi="Gill Sans MT"/>
      <w:sz w:val="22"/>
      <w:szCs w:val="24"/>
      <w:lang w:val="en-US" w:eastAsia="en-US" w:bidi="ar-SA"/>
    </w:rPr>
  </w:style>
  <w:style w:type="paragraph" w:styleId="TOCHeading">
    <w:name w:val="TOC Heading"/>
    <w:basedOn w:val="Heading1"/>
    <w:next w:val="Normal"/>
    <w:uiPriority w:val="39"/>
    <w:unhideWhenUsed/>
    <w:qFormat/>
    <w:rsid w:val="00F816BB"/>
    <w:pPr>
      <w:keepLines/>
      <w:spacing w:before="480" w:line="276" w:lineRule="auto"/>
      <w:ind w:left="0" w:firstLine="0"/>
      <w:outlineLvl w:val="9"/>
    </w:pPr>
    <w:rPr>
      <w:rFonts w:asciiTheme="majorHAnsi" w:eastAsiaTheme="majorEastAsia" w:hAnsiTheme="majorHAnsi" w:cstheme="majorBidi"/>
      <w:b/>
      <w:color w:val="365F91" w:themeColor="accent1" w:themeShade="BF"/>
      <w:kern w:val="0"/>
      <w:sz w:val="28"/>
      <w:szCs w:val="28"/>
      <w:lang w:eastAsia="ja-JP"/>
    </w:rPr>
  </w:style>
  <w:style w:type="paragraph" w:styleId="FootnoteText">
    <w:name w:val="footnote text"/>
    <w:aliases w:val="FOOTNOTES,fn,single space,footnote text,Footnote Text Char Char,Footnote Text Char Char Char Char,Footnote Text Char Char Char Char Char Char Char Char,Footnote Text Char Char Char Char Char Char Char"/>
    <w:basedOn w:val="Normal"/>
    <w:link w:val="FootnoteTextChar"/>
    <w:uiPriority w:val="99"/>
    <w:rsid w:val="005D7550"/>
    <w:rPr>
      <w:sz w:val="20"/>
    </w:rPr>
  </w:style>
  <w:style w:type="paragraph" w:styleId="TOC1">
    <w:name w:val="toc 1"/>
    <w:basedOn w:val="Normal"/>
    <w:next w:val="Normal"/>
    <w:autoRedefine/>
    <w:uiPriority w:val="39"/>
    <w:qFormat/>
    <w:rsid w:val="006F6337"/>
    <w:pPr>
      <w:tabs>
        <w:tab w:val="left" w:pos="720"/>
        <w:tab w:val="right" w:pos="9000"/>
      </w:tabs>
      <w:spacing w:before="240" w:after="240"/>
      <w:ind w:left="720" w:hanging="720"/>
    </w:pPr>
    <w:rPr>
      <w:rFonts w:asciiTheme="majorHAnsi" w:hAnsiTheme="majorHAnsi" w:cstheme="minorHAnsi"/>
      <w:b/>
      <w:bCs/>
      <w:caps/>
      <w:noProof/>
      <w:color w:val="003880"/>
      <w:sz w:val="20"/>
      <w:szCs w:val="24"/>
    </w:rPr>
  </w:style>
  <w:style w:type="paragraph" w:styleId="TOC2">
    <w:name w:val="toc 2"/>
    <w:basedOn w:val="Normal"/>
    <w:next w:val="Normal"/>
    <w:autoRedefine/>
    <w:uiPriority w:val="39"/>
    <w:qFormat/>
    <w:rsid w:val="00BA3B26"/>
    <w:pPr>
      <w:tabs>
        <w:tab w:val="left" w:pos="720"/>
        <w:tab w:val="right" w:pos="9000"/>
      </w:tabs>
      <w:spacing w:before="40" w:after="40"/>
    </w:pPr>
    <w:rPr>
      <w:rFonts w:asciiTheme="minorHAnsi" w:hAnsiTheme="minorHAnsi" w:cstheme="minorHAnsi"/>
      <w:b/>
      <w:bCs/>
      <w:sz w:val="20"/>
    </w:rPr>
  </w:style>
  <w:style w:type="paragraph" w:styleId="TOC3">
    <w:name w:val="toc 3"/>
    <w:basedOn w:val="Normal"/>
    <w:next w:val="Normal"/>
    <w:autoRedefine/>
    <w:uiPriority w:val="39"/>
    <w:qFormat/>
    <w:rsid w:val="00C820A7"/>
    <w:pPr>
      <w:tabs>
        <w:tab w:val="left" w:pos="720"/>
        <w:tab w:val="right" w:pos="9000"/>
      </w:tabs>
    </w:pPr>
    <w:rPr>
      <w:rFonts w:asciiTheme="minorHAnsi" w:hAnsiTheme="minorHAnsi" w:cstheme="minorHAnsi"/>
      <w:sz w:val="20"/>
    </w:rPr>
  </w:style>
  <w:style w:type="paragraph" w:styleId="TOC4">
    <w:name w:val="toc 4"/>
    <w:basedOn w:val="Normal"/>
    <w:next w:val="Normal"/>
    <w:autoRedefine/>
    <w:uiPriority w:val="99"/>
    <w:rsid w:val="00C86DEB"/>
    <w:pPr>
      <w:ind w:left="440"/>
    </w:pPr>
    <w:rPr>
      <w:rFonts w:asciiTheme="minorHAnsi" w:hAnsiTheme="minorHAnsi" w:cstheme="minorHAnsi"/>
      <w:sz w:val="20"/>
    </w:rPr>
  </w:style>
  <w:style w:type="paragraph" w:styleId="TOC5">
    <w:name w:val="toc 5"/>
    <w:basedOn w:val="Normal"/>
    <w:next w:val="Normal"/>
    <w:autoRedefine/>
    <w:uiPriority w:val="99"/>
    <w:rsid w:val="00C86DEB"/>
    <w:pPr>
      <w:ind w:left="660"/>
    </w:pPr>
    <w:rPr>
      <w:rFonts w:asciiTheme="minorHAnsi" w:hAnsiTheme="minorHAnsi" w:cstheme="minorHAnsi"/>
      <w:sz w:val="20"/>
    </w:rPr>
  </w:style>
  <w:style w:type="paragraph" w:styleId="TOC6">
    <w:name w:val="toc 6"/>
    <w:basedOn w:val="Normal"/>
    <w:next w:val="Normal"/>
    <w:autoRedefine/>
    <w:uiPriority w:val="99"/>
    <w:rsid w:val="00C86DEB"/>
    <w:pPr>
      <w:ind w:left="880"/>
    </w:pPr>
    <w:rPr>
      <w:rFonts w:asciiTheme="minorHAnsi" w:hAnsiTheme="minorHAnsi" w:cstheme="minorHAnsi"/>
      <w:sz w:val="20"/>
    </w:rPr>
  </w:style>
  <w:style w:type="paragraph" w:styleId="TOC7">
    <w:name w:val="toc 7"/>
    <w:basedOn w:val="Normal"/>
    <w:next w:val="Normal"/>
    <w:autoRedefine/>
    <w:uiPriority w:val="99"/>
    <w:rsid w:val="00C86DEB"/>
    <w:pPr>
      <w:ind w:left="1100"/>
    </w:pPr>
    <w:rPr>
      <w:rFonts w:asciiTheme="minorHAnsi" w:hAnsiTheme="minorHAnsi" w:cstheme="minorHAnsi"/>
      <w:sz w:val="20"/>
    </w:rPr>
  </w:style>
  <w:style w:type="paragraph" w:styleId="TOC8">
    <w:name w:val="toc 8"/>
    <w:basedOn w:val="Normal"/>
    <w:next w:val="Normal"/>
    <w:autoRedefine/>
    <w:uiPriority w:val="99"/>
    <w:rsid w:val="00C86DEB"/>
    <w:pPr>
      <w:ind w:left="1320"/>
    </w:pPr>
    <w:rPr>
      <w:rFonts w:asciiTheme="minorHAnsi" w:hAnsiTheme="minorHAnsi" w:cstheme="minorHAnsi"/>
      <w:sz w:val="20"/>
    </w:rPr>
  </w:style>
  <w:style w:type="paragraph" w:styleId="TOC9">
    <w:name w:val="toc 9"/>
    <w:basedOn w:val="Normal"/>
    <w:next w:val="Normal"/>
    <w:autoRedefine/>
    <w:uiPriority w:val="99"/>
    <w:rsid w:val="00C86DEB"/>
    <w:pPr>
      <w:ind w:left="1540"/>
    </w:pPr>
    <w:rPr>
      <w:rFonts w:asciiTheme="minorHAnsi" w:hAnsiTheme="minorHAnsi" w:cstheme="minorHAnsi"/>
      <w:sz w:val="20"/>
    </w:rPr>
  </w:style>
  <w:style w:type="paragraph" w:styleId="Title">
    <w:name w:val="Title"/>
    <w:basedOn w:val="Normal"/>
    <w:link w:val="TitleChar"/>
    <w:uiPriority w:val="99"/>
    <w:qFormat/>
    <w:rsid w:val="00643C39"/>
    <w:pPr>
      <w:spacing w:before="240" w:after="60"/>
      <w:ind w:left="1267"/>
      <w:outlineLvl w:val="0"/>
    </w:pPr>
    <w:rPr>
      <w:rFonts w:cs="Arial"/>
      <w:bCs/>
      <w:caps/>
      <w:kern w:val="28"/>
      <w:sz w:val="80"/>
      <w:szCs w:val="80"/>
    </w:rPr>
  </w:style>
  <w:style w:type="paragraph" w:customStyle="1" w:styleId="Disclaimer">
    <w:name w:val="Disclaimer"/>
    <w:basedOn w:val="Normal"/>
    <w:rsid w:val="00300CA5"/>
    <w:pPr>
      <w:spacing w:after="160" w:line="280" w:lineRule="exact"/>
      <w:ind w:left="1080" w:right="1080"/>
    </w:pPr>
    <w:rPr>
      <w:rFonts w:ascii="Arial" w:hAnsi="Arial" w:cs="Arial"/>
      <w:color w:val="FFFFFF"/>
    </w:rPr>
  </w:style>
  <w:style w:type="paragraph" w:customStyle="1" w:styleId="Disclaimer--MONTHYEAR">
    <w:name w:val="Disclaimer--MONTH YEAR"/>
    <w:basedOn w:val="Disclaimer"/>
    <w:rsid w:val="00300CA5"/>
    <w:pPr>
      <w:spacing w:after="240"/>
    </w:pPr>
    <w:rPr>
      <w:rFonts w:ascii="Arial Bold" w:hAnsi="Arial Bold"/>
      <w:b/>
      <w:caps/>
    </w:rPr>
  </w:style>
  <w:style w:type="paragraph" w:styleId="Subtitle">
    <w:name w:val="Subtitle"/>
    <w:basedOn w:val="Normal"/>
    <w:link w:val="SubtitleChar"/>
    <w:autoRedefine/>
    <w:uiPriority w:val="99"/>
    <w:qFormat/>
    <w:rsid w:val="00643C39"/>
    <w:pPr>
      <w:spacing w:after="60"/>
      <w:ind w:left="1267"/>
      <w:outlineLvl w:val="1"/>
    </w:pPr>
    <w:rPr>
      <w:rFonts w:cs="Arial"/>
      <w:caps/>
      <w:sz w:val="32"/>
      <w:szCs w:val="32"/>
    </w:rPr>
  </w:style>
  <w:style w:type="table" w:styleId="TableGrid">
    <w:name w:val="Table Grid"/>
    <w:basedOn w:val="TableNormal"/>
    <w:uiPriority w:val="99"/>
    <w:rsid w:val="0077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dul">
    <w:name w:val="Judul"/>
    <w:basedOn w:val="Normal"/>
    <w:link w:val="JudulChar"/>
    <w:rsid w:val="00E30A5B"/>
    <w:pPr>
      <w:spacing w:before="240"/>
    </w:pPr>
    <w:rPr>
      <w:b/>
    </w:rPr>
  </w:style>
  <w:style w:type="character" w:customStyle="1" w:styleId="JudulChar">
    <w:name w:val="Judul Char"/>
    <w:link w:val="Judul"/>
    <w:rsid w:val="00E30A5B"/>
    <w:rPr>
      <w:rFonts w:ascii="Gill Sans MT" w:hAnsi="Gill Sans MT"/>
      <w:b/>
      <w:sz w:val="22"/>
      <w:szCs w:val="22"/>
      <w:lang w:val="en-US" w:eastAsia="en-US" w:bidi="ar-SA"/>
    </w:rPr>
  </w:style>
  <w:style w:type="paragraph" w:customStyle="1" w:styleId="ColorfulList-Accent11">
    <w:name w:val="Colorful List - Accent 11"/>
    <w:basedOn w:val="Normal"/>
    <w:uiPriority w:val="34"/>
    <w:qFormat/>
    <w:rsid w:val="00643C39"/>
    <w:pPr>
      <w:ind w:left="720"/>
      <w:contextualSpacing/>
    </w:pPr>
    <w:rPr>
      <w:rFonts w:eastAsia="Calibri"/>
    </w:rPr>
  </w:style>
  <w:style w:type="paragraph" w:customStyle="1" w:styleId="FigureTitle">
    <w:name w:val="Figure Title"/>
    <w:basedOn w:val="Normal"/>
    <w:next w:val="Normal"/>
    <w:rsid w:val="00B96BED"/>
    <w:pPr>
      <w:spacing w:before="160"/>
    </w:pPr>
    <w:rPr>
      <w:rFonts w:ascii="HelveticaNeueLT Std" w:hAnsi="HelveticaNeueLT Std"/>
      <w:b/>
      <w:caps/>
      <w:color w:val="6C4713"/>
      <w:sz w:val="18"/>
      <w:szCs w:val="18"/>
    </w:rPr>
  </w:style>
  <w:style w:type="paragraph" w:customStyle="1" w:styleId="TableText">
    <w:name w:val="Table Text"/>
    <w:aliases w:val="tt,table text,table titles,Table Titles,table title,tx,t,TableText"/>
    <w:basedOn w:val="Normal"/>
    <w:link w:val="TableTextChar"/>
    <w:uiPriority w:val="99"/>
    <w:rsid w:val="00623899"/>
    <w:rPr>
      <w:rFonts w:ascii="HelveticaNeueLT Std" w:eastAsia="MinioMM_485 SB 585 NO 11 OP" w:hAnsi="HelveticaNeueLT Std"/>
      <w:color w:val="6C4713"/>
      <w:sz w:val="18"/>
      <w:szCs w:val="18"/>
    </w:rPr>
  </w:style>
  <w:style w:type="character" w:customStyle="1" w:styleId="TableTextChar">
    <w:name w:val="Table Text Char"/>
    <w:aliases w:val="tt Char,table text Char,table titles Char,Table Titles Char,table title Char,tx Char,t Char,TableText Char"/>
    <w:link w:val="TableText"/>
    <w:uiPriority w:val="99"/>
    <w:rsid w:val="00623899"/>
    <w:rPr>
      <w:rFonts w:ascii="HelveticaNeueLT Std" w:eastAsia="MinioMM_485 SB 585 NO 11 OP" w:hAnsi="HelveticaNeueLT Std"/>
      <w:color w:val="6C4713"/>
      <w:sz w:val="18"/>
      <w:szCs w:val="18"/>
    </w:rPr>
  </w:style>
  <w:style w:type="paragraph" w:customStyle="1" w:styleId="Bullet1">
    <w:name w:val="Bullet 1"/>
    <w:basedOn w:val="Normal"/>
    <w:rsid w:val="00623899"/>
    <w:pPr>
      <w:numPr>
        <w:numId w:val="2"/>
      </w:numPr>
    </w:pPr>
    <w:rPr>
      <w:rFonts w:ascii="Times New Roman" w:eastAsia="MinioMM_485 SB 585 NO 11 OP" w:hAnsi="Times New Roman"/>
      <w:sz w:val="24"/>
    </w:rPr>
  </w:style>
  <w:style w:type="paragraph" w:customStyle="1" w:styleId="Bullet1-Last">
    <w:name w:val="Bullet 1 - Last"/>
    <w:basedOn w:val="Bullet1"/>
    <w:rsid w:val="00643C39"/>
    <w:pPr>
      <w:numPr>
        <w:numId w:val="0"/>
      </w:numPr>
    </w:pPr>
  </w:style>
  <w:style w:type="paragraph" w:customStyle="1" w:styleId="TableTitle">
    <w:name w:val="Table Title"/>
    <w:basedOn w:val="Normal"/>
    <w:rsid w:val="00623899"/>
    <w:pPr>
      <w:spacing w:before="160"/>
    </w:pPr>
    <w:rPr>
      <w:rFonts w:ascii="HelveticaNeueLT Std" w:hAnsi="HelveticaNeueLT Std"/>
      <w:b/>
      <w:caps/>
      <w:color w:val="6C4713"/>
      <w:sz w:val="18"/>
      <w:szCs w:val="18"/>
    </w:rPr>
  </w:style>
  <w:style w:type="character" w:styleId="CommentReference">
    <w:name w:val="annotation reference"/>
    <w:uiPriority w:val="99"/>
    <w:unhideWhenUsed/>
    <w:rsid w:val="00623899"/>
    <w:rPr>
      <w:sz w:val="16"/>
      <w:szCs w:val="16"/>
    </w:rPr>
  </w:style>
  <w:style w:type="paragraph" w:styleId="CommentText">
    <w:name w:val="annotation text"/>
    <w:basedOn w:val="Normal"/>
    <w:link w:val="CommentTextChar"/>
    <w:uiPriority w:val="99"/>
    <w:unhideWhenUsed/>
    <w:rsid w:val="00623899"/>
    <w:rPr>
      <w:sz w:val="20"/>
    </w:rPr>
  </w:style>
  <w:style w:type="character" w:customStyle="1" w:styleId="CommentTextChar">
    <w:name w:val="Comment Text Char"/>
    <w:link w:val="CommentText"/>
    <w:uiPriority w:val="99"/>
    <w:rsid w:val="00623899"/>
    <w:rPr>
      <w:rFonts w:ascii="Gill Sans MT" w:hAnsi="Gill Sans MT"/>
    </w:rPr>
  </w:style>
  <w:style w:type="paragraph" w:styleId="BalloonText">
    <w:name w:val="Balloon Text"/>
    <w:basedOn w:val="Normal"/>
    <w:link w:val="BalloonTextChar"/>
    <w:uiPriority w:val="99"/>
    <w:unhideWhenUsed/>
    <w:rsid w:val="00623899"/>
    <w:rPr>
      <w:rFonts w:ascii="Tahoma" w:hAnsi="Tahoma" w:cs="Tahoma"/>
      <w:sz w:val="16"/>
      <w:szCs w:val="16"/>
    </w:rPr>
  </w:style>
  <w:style w:type="character" w:customStyle="1" w:styleId="BalloonTextChar">
    <w:name w:val="Balloon Text Char"/>
    <w:link w:val="BalloonText"/>
    <w:uiPriority w:val="99"/>
    <w:rsid w:val="00623899"/>
    <w:rPr>
      <w:rFonts w:ascii="Tahoma" w:hAnsi="Tahoma" w:cs="Tahoma"/>
      <w:sz w:val="16"/>
      <w:szCs w:val="16"/>
    </w:rPr>
  </w:style>
  <w:style w:type="paragraph" w:styleId="PlainText">
    <w:name w:val="Plain Text"/>
    <w:basedOn w:val="Normal"/>
    <w:link w:val="PlainTextChar"/>
    <w:rsid w:val="00BC3A57"/>
    <w:rPr>
      <w:rFonts w:ascii="Times New Roman" w:hAnsi="Times New Roman"/>
      <w:sz w:val="20"/>
    </w:rPr>
  </w:style>
  <w:style w:type="character" w:customStyle="1" w:styleId="PlainTextChar">
    <w:name w:val="Plain Text Char"/>
    <w:basedOn w:val="DefaultParagraphFont"/>
    <w:link w:val="PlainText"/>
    <w:rsid w:val="00BC3A57"/>
  </w:style>
  <w:style w:type="paragraph" w:styleId="BodyTextIndent">
    <w:name w:val="Body Text Indent"/>
    <w:basedOn w:val="Normal"/>
    <w:link w:val="BodyTextIndentChar"/>
    <w:rsid w:val="00A165E9"/>
    <w:pPr>
      <w:ind w:left="1440"/>
    </w:pPr>
    <w:rPr>
      <w:rFonts w:ascii="Gill Sans" w:hAnsi="Gill Sans"/>
      <w:sz w:val="24"/>
    </w:rPr>
  </w:style>
  <w:style w:type="character" w:customStyle="1" w:styleId="BodyTextIndentChar">
    <w:name w:val="Body Text Indent Char"/>
    <w:link w:val="BodyTextIndent"/>
    <w:rsid w:val="00A165E9"/>
    <w:rPr>
      <w:rFonts w:ascii="Gill Sans" w:hAnsi="Gill Sans"/>
      <w:sz w:val="24"/>
      <w:szCs w:val="24"/>
    </w:rPr>
  </w:style>
  <w:style w:type="character" w:customStyle="1" w:styleId="hps">
    <w:name w:val="hps"/>
    <w:basedOn w:val="DefaultParagraphFont"/>
    <w:rsid w:val="00A165E9"/>
  </w:style>
  <w:style w:type="character" w:customStyle="1" w:styleId="shorttext">
    <w:name w:val="short_text"/>
    <w:basedOn w:val="DefaultParagraphFont"/>
    <w:rsid w:val="00A165E9"/>
  </w:style>
  <w:style w:type="paragraph" w:styleId="DocumentMap">
    <w:name w:val="Document Map"/>
    <w:basedOn w:val="Normal"/>
    <w:link w:val="DocumentMapChar"/>
    <w:rsid w:val="00872520"/>
    <w:rPr>
      <w:rFonts w:ascii="Tahoma" w:hAnsi="Tahoma" w:cs="Tahoma"/>
      <w:sz w:val="16"/>
      <w:szCs w:val="16"/>
    </w:rPr>
  </w:style>
  <w:style w:type="character" w:customStyle="1" w:styleId="DocumentMapChar">
    <w:name w:val="Document Map Char"/>
    <w:link w:val="DocumentMap"/>
    <w:rsid w:val="00872520"/>
    <w:rPr>
      <w:rFonts w:ascii="Tahoma" w:hAnsi="Tahoma" w:cs="Tahoma"/>
      <w:sz w:val="16"/>
      <w:szCs w:val="16"/>
    </w:rPr>
  </w:style>
  <w:style w:type="paragraph" w:customStyle="1" w:styleId="Default">
    <w:name w:val="Default"/>
    <w:rsid w:val="00544C24"/>
    <w:pPr>
      <w:autoSpaceDE w:val="0"/>
      <w:autoSpaceDN w:val="0"/>
      <w:adjustRightInd w:val="0"/>
    </w:pPr>
    <w:rPr>
      <w:rFonts w:eastAsia="Calibri"/>
      <w:color w:val="000000"/>
      <w:sz w:val="24"/>
      <w:szCs w:val="24"/>
    </w:rPr>
  </w:style>
  <w:style w:type="paragraph" w:styleId="BodyText">
    <w:name w:val="Body Text"/>
    <w:basedOn w:val="Normal"/>
    <w:link w:val="BodyTextChar"/>
    <w:uiPriority w:val="99"/>
    <w:rsid w:val="00B8605F"/>
    <w:rPr>
      <w:lang w:val="en-AU"/>
    </w:rPr>
  </w:style>
  <w:style w:type="character" w:customStyle="1" w:styleId="BodyTextChar">
    <w:name w:val="Body Text Char"/>
    <w:link w:val="BodyText"/>
    <w:uiPriority w:val="99"/>
    <w:rsid w:val="00B8605F"/>
    <w:rPr>
      <w:lang w:val="en-AU"/>
    </w:rPr>
  </w:style>
  <w:style w:type="paragraph" w:customStyle="1" w:styleId="PhotoCredit">
    <w:name w:val="Photo Credit"/>
    <w:basedOn w:val="MediumGrid21"/>
    <w:link w:val="PhotoCreditChar"/>
    <w:qFormat/>
    <w:rsid w:val="007018F4"/>
    <w:pPr>
      <w:spacing w:before="40" w:after="120"/>
      <w:ind w:right="43"/>
      <w:jc w:val="right"/>
    </w:pPr>
    <w:rPr>
      <w:sz w:val="16"/>
      <w:szCs w:val="16"/>
    </w:rPr>
  </w:style>
  <w:style w:type="character" w:customStyle="1" w:styleId="PhotoCreditChar">
    <w:name w:val="Photo Credit Char"/>
    <w:link w:val="PhotoCredit"/>
    <w:rsid w:val="007018F4"/>
    <w:rPr>
      <w:rFonts w:ascii="Gill Sans MT" w:hAnsi="Gill Sans MT"/>
      <w:sz w:val="16"/>
      <w:szCs w:val="16"/>
      <w:lang w:val="en-US" w:eastAsia="en-US" w:bidi="ar-SA"/>
    </w:rPr>
  </w:style>
  <w:style w:type="character" w:styleId="FollowedHyperlink">
    <w:name w:val="FollowedHyperlink"/>
    <w:uiPriority w:val="99"/>
    <w:rsid w:val="00263712"/>
    <w:rPr>
      <w:color w:val="800080"/>
      <w:u w:val="single"/>
    </w:rPr>
  </w:style>
  <w:style w:type="paragraph" w:styleId="CommentSubject">
    <w:name w:val="annotation subject"/>
    <w:basedOn w:val="CommentText"/>
    <w:next w:val="CommentText"/>
    <w:link w:val="CommentSubjectChar"/>
    <w:uiPriority w:val="99"/>
    <w:rsid w:val="000B7B10"/>
    <w:rPr>
      <w:b/>
      <w:bCs/>
    </w:rPr>
  </w:style>
  <w:style w:type="character" w:customStyle="1" w:styleId="CommentSubjectChar">
    <w:name w:val="Comment Subject Char"/>
    <w:link w:val="CommentSubject"/>
    <w:uiPriority w:val="99"/>
    <w:rsid w:val="000B7B10"/>
    <w:rPr>
      <w:rFonts w:ascii="Gill Sans MT" w:hAnsi="Gill Sans MT"/>
      <w:b/>
      <w:bCs/>
    </w:rPr>
  </w:style>
  <w:style w:type="paragraph" w:customStyle="1" w:styleId="ColorfulShading-Accent11">
    <w:name w:val="Colorful Shading - Accent 11"/>
    <w:hidden/>
    <w:uiPriority w:val="99"/>
    <w:semiHidden/>
    <w:rsid w:val="00854F96"/>
    <w:rPr>
      <w:rFonts w:ascii="Gill Sans MT" w:hAnsi="Gill Sans MT"/>
      <w:szCs w:val="24"/>
    </w:rPr>
  </w:style>
  <w:style w:type="character" w:customStyle="1" w:styleId="longtext">
    <w:name w:val="long_text"/>
    <w:rsid w:val="006C0D80"/>
  </w:style>
  <w:style w:type="paragraph" w:customStyle="1" w:styleId="ColorfulList-Accent12">
    <w:name w:val="Colorful List - Accent 12"/>
    <w:aliases w:val="First Level Outline,Colorful List - Accent 121"/>
    <w:basedOn w:val="Normal"/>
    <w:link w:val="ColorfulList-Accent1Char1"/>
    <w:uiPriority w:val="34"/>
    <w:qFormat/>
    <w:rsid w:val="00B422A2"/>
    <w:pPr>
      <w:spacing w:after="200" w:line="276" w:lineRule="auto"/>
      <w:ind w:left="720"/>
      <w:contextualSpacing/>
    </w:pPr>
    <w:rPr>
      <w:rFonts w:eastAsia="Calibri"/>
    </w:rPr>
  </w:style>
  <w:style w:type="character" w:customStyle="1" w:styleId="ColorfulList-Accent1Char1">
    <w:name w:val="Colorful List - Accent 1 Char1"/>
    <w:aliases w:val="First Level Outline Char"/>
    <w:link w:val="ColorfulList-Accent12"/>
    <w:uiPriority w:val="34"/>
    <w:locked/>
    <w:rsid w:val="00B47235"/>
    <w:rPr>
      <w:rFonts w:ascii="Calibri" w:eastAsia="Calibri" w:hAnsi="Calibri"/>
      <w:sz w:val="22"/>
      <w:szCs w:val="22"/>
    </w:rPr>
  </w:style>
  <w:style w:type="paragraph" w:customStyle="1" w:styleId="NoSpacing1">
    <w:name w:val="No Spacing1"/>
    <w:link w:val="NoSpacingChar"/>
    <w:uiPriority w:val="1"/>
    <w:qFormat/>
    <w:rsid w:val="00526ECC"/>
    <w:rPr>
      <w:rFonts w:ascii="Gill Sans MT" w:hAnsi="Gill Sans MT"/>
      <w:szCs w:val="24"/>
    </w:rPr>
  </w:style>
  <w:style w:type="character" w:customStyle="1" w:styleId="NoSpacingChar">
    <w:name w:val="No Spacing Char"/>
    <w:link w:val="NoSpacing1"/>
    <w:uiPriority w:val="99"/>
    <w:rsid w:val="00526ECC"/>
    <w:rPr>
      <w:rFonts w:ascii="Gill Sans MT" w:hAnsi="Gill Sans MT"/>
      <w:szCs w:val="24"/>
    </w:rPr>
  </w:style>
  <w:style w:type="character" w:styleId="Emphasis">
    <w:name w:val="Emphasis"/>
    <w:uiPriority w:val="99"/>
    <w:qFormat/>
    <w:rsid w:val="005B5083"/>
    <w:rPr>
      <w:i/>
      <w:iCs/>
    </w:rPr>
  </w:style>
  <w:style w:type="character" w:customStyle="1" w:styleId="st">
    <w:name w:val="st"/>
    <w:rsid w:val="0029188D"/>
  </w:style>
  <w:style w:type="character" w:styleId="Strong">
    <w:name w:val="Strong"/>
    <w:uiPriority w:val="99"/>
    <w:qFormat/>
    <w:rsid w:val="00D6735E"/>
    <w:rPr>
      <w:b/>
      <w:bCs/>
    </w:rPr>
  </w:style>
  <w:style w:type="paragraph" w:customStyle="1" w:styleId="xl66">
    <w:name w:val="xl66"/>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rPr>
  </w:style>
  <w:style w:type="paragraph" w:customStyle="1" w:styleId="xl67">
    <w:name w:val="xl67"/>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68">
    <w:name w:val="xl68"/>
    <w:basedOn w:val="Normal"/>
    <w:rsid w:val="008516CD"/>
    <w:pPr>
      <w:pBdr>
        <w:top w:val="single" w:sz="4" w:space="0" w:color="auto"/>
        <w:left w:val="single" w:sz="4" w:space="0" w:color="auto"/>
        <w:bottom w:val="single" w:sz="4" w:space="0" w:color="auto"/>
      </w:pBdr>
      <w:shd w:val="clear" w:color="000000" w:fill="A6A6A6"/>
      <w:spacing w:before="100" w:beforeAutospacing="1" w:after="100" w:afterAutospacing="1"/>
      <w:textAlignment w:val="center"/>
    </w:pPr>
    <w:rPr>
      <w:b/>
      <w:bCs/>
      <w:sz w:val="20"/>
    </w:rPr>
  </w:style>
  <w:style w:type="paragraph" w:customStyle="1" w:styleId="xl69">
    <w:name w:val="xl69"/>
    <w:basedOn w:val="Normal"/>
    <w:rsid w:val="008516CD"/>
    <w:pPr>
      <w:pBdr>
        <w:top w:val="single" w:sz="4" w:space="0" w:color="auto"/>
        <w:bottom w:val="single" w:sz="4" w:space="0" w:color="auto"/>
      </w:pBdr>
      <w:shd w:val="clear" w:color="000000" w:fill="A6A6A6"/>
      <w:spacing w:before="100" w:beforeAutospacing="1" w:after="100" w:afterAutospacing="1"/>
      <w:textAlignment w:val="center"/>
    </w:pPr>
    <w:rPr>
      <w:b/>
      <w:bCs/>
      <w:sz w:val="20"/>
    </w:rPr>
  </w:style>
  <w:style w:type="paragraph" w:customStyle="1" w:styleId="xl70">
    <w:name w:val="xl70"/>
    <w:basedOn w:val="Normal"/>
    <w:rsid w:val="008516CD"/>
    <w:pPr>
      <w:pBdr>
        <w:top w:val="single" w:sz="4" w:space="0" w:color="auto"/>
        <w:bottom w:val="single" w:sz="4" w:space="0" w:color="auto"/>
      </w:pBdr>
      <w:shd w:val="clear" w:color="000000" w:fill="A6A6A6"/>
      <w:spacing w:before="100" w:beforeAutospacing="1" w:after="100" w:afterAutospacing="1"/>
      <w:textAlignment w:val="center"/>
    </w:pPr>
    <w:rPr>
      <w:sz w:val="20"/>
    </w:rPr>
  </w:style>
  <w:style w:type="paragraph" w:customStyle="1" w:styleId="xl71">
    <w:name w:val="xl71"/>
    <w:basedOn w:val="Normal"/>
    <w:rsid w:val="008516C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rPr>
  </w:style>
  <w:style w:type="paragraph" w:customStyle="1" w:styleId="xl72">
    <w:name w:val="xl72"/>
    <w:basedOn w:val="Normal"/>
    <w:rsid w:val="008516C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b/>
      <w:bCs/>
      <w:sz w:val="20"/>
    </w:rPr>
  </w:style>
  <w:style w:type="paragraph" w:customStyle="1" w:styleId="xl73">
    <w:name w:val="xl73"/>
    <w:basedOn w:val="Normal"/>
    <w:rsid w:val="008516CD"/>
    <w:pPr>
      <w:pBdr>
        <w:top w:val="single" w:sz="4" w:space="0" w:color="auto"/>
        <w:left w:val="single" w:sz="4" w:space="0" w:color="auto"/>
        <w:bottom w:val="single" w:sz="4" w:space="0" w:color="auto"/>
      </w:pBdr>
      <w:shd w:val="clear" w:color="000000" w:fill="A6A6A6"/>
      <w:spacing w:before="100" w:beforeAutospacing="1" w:after="100" w:afterAutospacing="1"/>
      <w:jc w:val="right"/>
      <w:textAlignment w:val="center"/>
    </w:pPr>
    <w:rPr>
      <w:b/>
      <w:bCs/>
      <w:sz w:val="20"/>
    </w:rPr>
  </w:style>
  <w:style w:type="paragraph" w:customStyle="1" w:styleId="xl74">
    <w:name w:val="xl74"/>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75">
    <w:name w:val="xl75"/>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76">
    <w:name w:val="xl76"/>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77">
    <w:name w:val="xl77"/>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78">
    <w:name w:val="xl78"/>
    <w:basedOn w:val="Normal"/>
    <w:rsid w:val="008516CD"/>
    <w:pPr>
      <w:spacing w:before="100" w:beforeAutospacing="1" w:after="100" w:afterAutospacing="1"/>
    </w:pPr>
    <w:rPr>
      <w:sz w:val="20"/>
    </w:rPr>
  </w:style>
  <w:style w:type="paragraph" w:customStyle="1" w:styleId="xl79">
    <w:name w:val="xl79"/>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rPr>
  </w:style>
  <w:style w:type="paragraph" w:customStyle="1" w:styleId="xl80">
    <w:name w:val="xl80"/>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1">
    <w:name w:val="xl81"/>
    <w:basedOn w:val="Normal"/>
    <w:rsid w:val="008516CD"/>
    <w:pPr>
      <w:spacing w:before="100" w:beforeAutospacing="1" w:after="100" w:afterAutospacing="1"/>
    </w:pPr>
    <w:rPr>
      <w:sz w:val="24"/>
    </w:rPr>
  </w:style>
  <w:style w:type="paragraph" w:customStyle="1" w:styleId="xl82">
    <w:name w:val="xl82"/>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3">
    <w:name w:val="xl83"/>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4">
    <w:name w:val="xl84"/>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5">
    <w:name w:val="xl85"/>
    <w:basedOn w:val="Normal"/>
    <w:rsid w:val="008516CD"/>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6">
    <w:name w:val="xl86"/>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sz w:val="20"/>
    </w:rPr>
  </w:style>
  <w:style w:type="paragraph" w:customStyle="1" w:styleId="xl87">
    <w:name w:val="xl87"/>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88">
    <w:name w:val="xl88"/>
    <w:basedOn w:val="Normal"/>
    <w:rsid w:val="008516CD"/>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89">
    <w:name w:val="xl89"/>
    <w:basedOn w:val="Normal"/>
    <w:rsid w:val="008516CD"/>
    <w:pPr>
      <w:pBdr>
        <w:top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90">
    <w:name w:val="xl90"/>
    <w:basedOn w:val="Normal"/>
    <w:rsid w:val="008516CD"/>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1">
    <w:name w:val="xl91"/>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2">
    <w:name w:val="xl92"/>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3">
    <w:name w:val="xl93"/>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4">
    <w:name w:val="xl94"/>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5">
    <w:name w:val="xl95"/>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6">
    <w:name w:val="xl96"/>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7">
    <w:name w:val="xl97"/>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8">
    <w:name w:val="xl98"/>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9">
    <w:name w:val="xl99"/>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100">
    <w:name w:val="xl100"/>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101">
    <w:name w:val="xl101"/>
    <w:basedOn w:val="Normal"/>
    <w:rsid w:val="008516CD"/>
    <w:pPr>
      <w:pBdr>
        <w:left w:val="single" w:sz="4" w:space="0" w:color="auto"/>
        <w:right w:val="single" w:sz="4" w:space="0" w:color="auto"/>
      </w:pBdr>
      <w:spacing w:before="100" w:beforeAutospacing="1" w:after="100" w:afterAutospacing="1"/>
      <w:jc w:val="center"/>
      <w:textAlignment w:val="center"/>
    </w:pPr>
    <w:rPr>
      <w:sz w:val="20"/>
    </w:rPr>
  </w:style>
  <w:style w:type="paragraph" w:customStyle="1" w:styleId="xl102">
    <w:name w:val="xl102"/>
    <w:basedOn w:val="Normal"/>
    <w:rsid w:val="008516CD"/>
    <w:pPr>
      <w:pBdr>
        <w:left w:val="single" w:sz="4" w:space="0" w:color="auto"/>
        <w:right w:val="single" w:sz="4" w:space="0" w:color="auto"/>
      </w:pBdr>
      <w:spacing w:before="100" w:beforeAutospacing="1" w:after="100" w:afterAutospacing="1"/>
      <w:jc w:val="center"/>
      <w:textAlignment w:val="center"/>
    </w:pPr>
    <w:rPr>
      <w:sz w:val="20"/>
    </w:rPr>
  </w:style>
  <w:style w:type="paragraph" w:customStyle="1" w:styleId="xl103">
    <w:name w:val="xl103"/>
    <w:basedOn w:val="Normal"/>
    <w:rsid w:val="008516CD"/>
    <w:pPr>
      <w:pBdr>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104">
    <w:name w:val="xl104"/>
    <w:basedOn w:val="Normal"/>
    <w:rsid w:val="008516CD"/>
    <w:pPr>
      <w:pBdr>
        <w:top w:val="single" w:sz="4" w:space="0" w:color="auto"/>
        <w:left w:val="single" w:sz="4" w:space="0" w:color="auto"/>
        <w:right w:val="single" w:sz="4" w:space="0" w:color="auto"/>
      </w:pBdr>
      <w:spacing w:before="100" w:beforeAutospacing="1" w:after="100" w:afterAutospacing="1"/>
      <w:jc w:val="center"/>
      <w:textAlignment w:val="center"/>
    </w:pPr>
    <w:rPr>
      <w:sz w:val="20"/>
    </w:rPr>
  </w:style>
  <w:style w:type="paragraph" w:styleId="NormalWeb">
    <w:name w:val="Normal (Web)"/>
    <w:basedOn w:val="Normal"/>
    <w:uiPriority w:val="99"/>
    <w:unhideWhenUsed/>
    <w:rsid w:val="00AB5526"/>
    <w:pPr>
      <w:spacing w:before="100" w:beforeAutospacing="1" w:after="100" w:afterAutospacing="1"/>
    </w:pPr>
    <w:rPr>
      <w:rFonts w:ascii="Times New Roman" w:hAnsi="Times New Roman"/>
      <w:sz w:val="24"/>
    </w:rPr>
  </w:style>
  <w:style w:type="paragraph" w:customStyle="1" w:styleId="MediumGrid27">
    <w:name w:val="Medium Grid 27"/>
    <w:uiPriority w:val="1"/>
    <w:qFormat/>
    <w:rsid w:val="00606CEF"/>
    <w:rPr>
      <w:rFonts w:ascii="Gill Sans MT" w:hAnsi="Gill Sans MT"/>
      <w:szCs w:val="24"/>
    </w:rPr>
  </w:style>
  <w:style w:type="paragraph" w:customStyle="1" w:styleId="Pa0">
    <w:name w:val="Pa0"/>
    <w:basedOn w:val="Normal"/>
    <w:next w:val="Normal"/>
    <w:uiPriority w:val="99"/>
    <w:rsid w:val="00606CEF"/>
    <w:pPr>
      <w:autoSpaceDE w:val="0"/>
      <w:autoSpaceDN w:val="0"/>
      <w:adjustRightInd w:val="0"/>
      <w:spacing w:line="201" w:lineRule="atLeast"/>
    </w:pPr>
    <w:rPr>
      <w:rFonts w:ascii="Cardo" w:hAnsi="Cardo"/>
      <w:sz w:val="24"/>
    </w:rPr>
  </w:style>
  <w:style w:type="paragraph" w:customStyle="1" w:styleId="msoaccenttext5">
    <w:name w:val="msoaccenttext5"/>
    <w:rsid w:val="00307299"/>
    <w:pPr>
      <w:spacing w:line="271" w:lineRule="auto"/>
    </w:pPr>
    <w:rPr>
      <w:rFonts w:ascii="Agency FB" w:hAnsi="Agency FB"/>
      <w:b/>
      <w:bCs/>
      <w:color w:val="336666"/>
      <w:kern w:val="28"/>
      <w:sz w:val="18"/>
      <w:szCs w:val="18"/>
    </w:rPr>
  </w:style>
  <w:style w:type="table" w:styleId="MediumShading1-Accent1">
    <w:name w:val="Medium Shading 1 Accent 1"/>
    <w:basedOn w:val="TableNormal"/>
    <w:uiPriority w:val="1"/>
    <w:rsid w:val="00FA2435"/>
    <w:rPr>
      <w:rFonts w:ascii="Gill Sans MT" w:eastAsia="Calibri" w:hAnsi="Gill Sans MT"/>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ColorfulList-Accent1Char">
    <w:name w:val="Colorful List - Accent 1 Char"/>
    <w:link w:val="MediumGrid1-Accent2"/>
    <w:uiPriority w:val="34"/>
    <w:locked/>
    <w:rsid w:val="00C93AA4"/>
    <w:rPr>
      <w:rFonts w:ascii="Calibri" w:eastAsia="Calibri" w:hAnsi="Calibri"/>
      <w:sz w:val="22"/>
      <w:szCs w:val="22"/>
    </w:rPr>
  </w:style>
  <w:style w:type="table" w:styleId="MediumGrid1-Accent2">
    <w:name w:val="Medium Grid 1 Accent 2"/>
    <w:basedOn w:val="TableNormal"/>
    <w:link w:val="ColorfulList-Accent1Char"/>
    <w:uiPriority w:val="34"/>
    <w:qFormat/>
    <w:rsid w:val="00C93AA4"/>
    <w:rPr>
      <w:rFonts w:eastAsia="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Grid2-Accent1">
    <w:name w:val="Medium Grid 2 Accent 1"/>
    <w:basedOn w:val="TableNormal"/>
    <w:uiPriority w:val="1"/>
    <w:rsid w:val="00C93AA4"/>
    <w:rPr>
      <w:rFonts w:ascii="Gill Sans MT" w:eastAsia="Calibri" w:hAnsi="Gill Sans MT"/>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MediumGrid22">
    <w:name w:val="Medium Grid 22"/>
    <w:uiPriority w:val="1"/>
    <w:qFormat/>
    <w:rsid w:val="004D74D4"/>
    <w:rPr>
      <w:rFonts w:ascii="Gill Sans MT" w:hAnsi="Gill Sans MT"/>
      <w:szCs w:val="24"/>
    </w:rPr>
  </w:style>
  <w:style w:type="paragraph" w:customStyle="1" w:styleId="ColorfulShading-Accent13">
    <w:name w:val="Colorful Shading - Accent 13"/>
    <w:hidden/>
    <w:uiPriority w:val="99"/>
    <w:semiHidden/>
    <w:rsid w:val="00B65FD9"/>
    <w:rPr>
      <w:rFonts w:eastAsia="Calibri"/>
    </w:rPr>
  </w:style>
  <w:style w:type="paragraph" w:styleId="NoSpacing">
    <w:name w:val="No Spacing"/>
    <w:uiPriority w:val="99"/>
    <w:qFormat/>
    <w:rsid w:val="007E1B55"/>
    <w:rPr>
      <w:rFonts w:eastAsia="Calibri"/>
    </w:rPr>
  </w:style>
  <w:style w:type="paragraph" w:styleId="ListParagraph">
    <w:name w:val="List Paragraph"/>
    <w:basedOn w:val="Normal"/>
    <w:link w:val="ListParagraphChar"/>
    <w:uiPriority w:val="34"/>
    <w:qFormat/>
    <w:rsid w:val="0084149E"/>
    <w:pPr>
      <w:spacing w:after="200" w:line="276" w:lineRule="auto"/>
      <w:ind w:left="720"/>
      <w:contextualSpacing/>
    </w:pPr>
    <w:rPr>
      <w:rFonts w:eastAsia="Calibri"/>
    </w:rPr>
  </w:style>
  <w:style w:type="paragraph" w:customStyle="1" w:styleId="MediumGrid23">
    <w:name w:val="Medium Grid 23"/>
    <w:uiPriority w:val="1"/>
    <w:qFormat/>
    <w:rsid w:val="00D868B2"/>
    <w:rPr>
      <w:rFonts w:ascii="Gill Sans MT" w:hAnsi="Gill Sans MT"/>
      <w:szCs w:val="24"/>
    </w:rPr>
  </w:style>
  <w:style w:type="paragraph" w:customStyle="1" w:styleId="ColorfulShading-Accent12">
    <w:name w:val="Colorful Shading - Accent 12"/>
    <w:hidden/>
    <w:uiPriority w:val="99"/>
    <w:semiHidden/>
    <w:rsid w:val="00260757"/>
    <w:rPr>
      <w:rFonts w:eastAsia="Calibri"/>
    </w:rPr>
  </w:style>
  <w:style w:type="paragraph" w:customStyle="1" w:styleId="MediumGrid24">
    <w:name w:val="Medium Grid 24"/>
    <w:uiPriority w:val="1"/>
    <w:qFormat/>
    <w:rsid w:val="00260757"/>
    <w:rPr>
      <w:rFonts w:ascii="Gill Sans MT" w:hAnsi="Gill Sans MT"/>
      <w:szCs w:val="24"/>
    </w:rPr>
  </w:style>
  <w:style w:type="paragraph" w:customStyle="1" w:styleId="MediumGrid25">
    <w:name w:val="Medium Grid 25"/>
    <w:uiPriority w:val="1"/>
    <w:qFormat/>
    <w:rsid w:val="00260757"/>
    <w:rPr>
      <w:rFonts w:ascii="Gill Sans MT" w:hAnsi="Gill Sans MT"/>
      <w:szCs w:val="24"/>
    </w:rPr>
  </w:style>
  <w:style w:type="paragraph" w:customStyle="1" w:styleId="MediumGrid26">
    <w:name w:val="Medium Grid 26"/>
    <w:uiPriority w:val="1"/>
    <w:qFormat/>
    <w:rsid w:val="00260757"/>
    <w:rPr>
      <w:rFonts w:ascii="Gill Sans MT" w:hAnsi="Gill Sans MT"/>
      <w:szCs w:val="24"/>
    </w:rPr>
  </w:style>
  <w:style w:type="character" w:customStyle="1" w:styleId="ListParagraphChar">
    <w:name w:val="List Paragraph Char"/>
    <w:link w:val="ListParagraph"/>
    <w:uiPriority w:val="34"/>
    <w:locked/>
    <w:rsid w:val="009757E5"/>
    <w:rPr>
      <w:rFonts w:ascii="Calibri" w:eastAsia="Calibri" w:hAnsi="Calibri"/>
      <w:sz w:val="22"/>
      <w:szCs w:val="22"/>
    </w:rPr>
  </w:style>
  <w:style w:type="character" w:customStyle="1" w:styleId="ColorfulList-Accent1Char2">
    <w:name w:val="Colorful List - Accent 1 Char2"/>
    <w:link w:val="ColorfulList-Accent1"/>
    <w:uiPriority w:val="34"/>
    <w:locked/>
    <w:rsid w:val="00E27965"/>
    <w:rPr>
      <w:rFonts w:ascii="Calibri" w:eastAsia="Calibri" w:hAnsi="Calibri"/>
      <w:sz w:val="22"/>
      <w:szCs w:val="22"/>
    </w:rPr>
  </w:style>
  <w:style w:type="table" w:styleId="ColorfulList-Accent1">
    <w:name w:val="Colorful List Accent 1"/>
    <w:basedOn w:val="TableNormal"/>
    <w:link w:val="ColorfulList-Accent1Char2"/>
    <w:uiPriority w:val="34"/>
    <w:qFormat/>
    <w:rsid w:val="00E27965"/>
    <w:rPr>
      <w:rFonts w:eastAsia="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ghtGrid-Accent3">
    <w:name w:val="Light Grid Accent 3"/>
    <w:basedOn w:val="TableNormal"/>
    <w:uiPriority w:val="34"/>
    <w:qFormat/>
    <w:rsid w:val="00846FAC"/>
    <w:rPr>
      <w:rFonts w:eastAsia="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Shading1-Accent2">
    <w:name w:val="Medium Shading 1 Accent 2"/>
    <w:basedOn w:val="TableNormal"/>
    <w:uiPriority w:val="1"/>
    <w:rsid w:val="00846FAC"/>
    <w:rPr>
      <w:rFonts w:ascii="Gill Sans MT" w:eastAsia="Calibri" w:hAnsi="Gill Sans MT"/>
      <w:szCs w:val="24"/>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styleId="Revision">
    <w:name w:val="Revision"/>
    <w:hidden/>
    <w:uiPriority w:val="99"/>
    <w:semiHidden/>
    <w:rsid w:val="00846FAC"/>
    <w:rPr>
      <w:rFonts w:ascii="Gill Sans MT" w:hAnsi="Gill Sans MT"/>
      <w:szCs w:val="24"/>
    </w:rPr>
  </w:style>
  <w:style w:type="character" w:customStyle="1" w:styleId="TitleChar">
    <w:name w:val="Title Char"/>
    <w:link w:val="Title"/>
    <w:uiPriority w:val="99"/>
    <w:rsid w:val="00007205"/>
    <w:rPr>
      <w:rFonts w:ascii="Gill Sans MT" w:hAnsi="Gill Sans MT" w:cs="Arial"/>
      <w:bCs/>
      <w:caps/>
      <w:kern w:val="28"/>
      <w:sz w:val="80"/>
      <w:szCs w:val="80"/>
    </w:rPr>
  </w:style>
  <w:style w:type="character" w:customStyle="1" w:styleId="SubtitleChar">
    <w:name w:val="Subtitle Char"/>
    <w:link w:val="Subtitle"/>
    <w:uiPriority w:val="99"/>
    <w:rsid w:val="00007205"/>
    <w:rPr>
      <w:rFonts w:ascii="Gill Sans MT" w:hAnsi="Gill Sans MT" w:cs="Arial"/>
      <w:caps/>
      <w:sz w:val="32"/>
      <w:szCs w:val="32"/>
    </w:rPr>
  </w:style>
  <w:style w:type="character" w:styleId="PlaceholderText">
    <w:name w:val="Placeholder Text"/>
    <w:basedOn w:val="DefaultParagraphFont"/>
    <w:uiPriority w:val="99"/>
    <w:semiHidden/>
    <w:rsid w:val="00384EFF"/>
    <w:rPr>
      <w:color w:val="808080"/>
    </w:rPr>
  </w:style>
  <w:style w:type="paragraph" w:customStyle="1" w:styleId="1CHAPTER">
    <w:name w:val="1 CHAPTER"/>
    <w:basedOn w:val="Heading2"/>
    <w:link w:val="1CHAPTERChar"/>
    <w:qFormat/>
    <w:rsid w:val="00540058"/>
    <w:pPr>
      <w:spacing w:after="1320"/>
    </w:pPr>
    <w:rPr>
      <w:noProof/>
      <w:color w:val="68BAD6"/>
      <w:sz w:val="32"/>
    </w:rPr>
  </w:style>
  <w:style w:type="character" w:customStyle="1" w:styleId="1CHAPTERChar">
    <w:name w:val="1 CHAPTER Char"/>
    <w:basedOn w:val="Heading2Char"/>
    <w:link w:val="1CHAPTER"/>
    <w:rsid w:val="00540058"/>
    <w:rPr>
      <w:bCs/>
      <w:iCs/>
      <w:noProof/>
      <w:color w:val="68BAD6"/>
      <w:sz w:val="32"/>
      <w:szCs w:val="48"/>
    </w:rPr>
  </w:style>
  <w:style w:type="paragraph" w:customStyle="1" w:styleId="TableHeader0">
    <w:name w:val="Table Header"/>
    <w:basedOn w:val="BodyText"/>
    <w:next w:val="Normal"/>
    <w:rsid w:val="0056614F"/>
    <w:pPr>
      <w:spacing w:before="60" w:after="60"/>
    </w:pPr>
    <w:rPr>
      <w:rFonts w:ascii="Arial Black" w:eastAsiaTheme="minorHAnsi" w:hAnsi="Arial Black" w:cs="Arial"/>
      <w:bCs/>
      <w:noProof/>
      <w:sz w:val="18"/>
    </w:rPr>
  </w:style>
  <w:style w:type="paragraph" w:customStyle="1" w:styleId="TableRow">
    <w:name w:val="Table Row"/>
    <w:basedOn w:val="BodyText"/>
    <w:link w:val="TableRowChar"/>
    <w:rsid w:val="0056614F"/>
    <w:pPr>
      <w:spacing w:before="40" w:after="40"/>
    </w:pPr>
    <w:rPr>
      <w:rFonts w:eastAsiaTheme="minorHAnsi" w:cs="Arial"/>
      <w:bCs/>
      <w:noProof/>
      <w:sz w:val="20"/>
    </w:rPr>
  </w:style>
  <w:style w:type="character" w:customStyle="1" w:styleId="TableRowChar">
    <w:name w:val="Table Row Char"/>
    <w:link w:val="TableRow"/>
    <w:rsid w:val="0056614F"/>
    <w:rPr>
      <w:rFonts w:eastAsiaTheme="minorHAnsi" w:cs="Arial"/>
      <w:bCs/>
      <w:noProof/>
      <w:sz w:val="20"/>
    </w:rPr>
  </w:style>
  <w:style w:type="paragraph" w:customStyle="1" w:styleId="QAText">
    <w:name w:val="QA Text"/>
    <w:basedOn w:val="Normal"/>
    <w:rsid w:val="00B8605F"/>
    <w:pPr>
      <w:spacing w:before="200" w:after="160"/>
    </w:pPr>
    <w:rPr>
      <w:rFonts w:eastAsiaTheme="minorHAnsi" w:cs="Arial"/>
      <w:lang w:val="en-AU"/>
    </w:rPr>
  </w:style>
  <w:style w:type="paragraph" w:customStyle="1" w:styleId="QAAddress">
    <w:name w:val="QA Address"/>
    <w:basedOn w:val="Normal"/>
    <w:next w:val="Normal"/>
    <w:rsid w:val="00B8605F"/>
    <w:pPr>
      <w:contextualSpacing/>
    </w:pPr>
    <w:rPr>
      <w:rFonts w:eastAsiaTheme="minorHAnsi" w:cs="Arial"/>
      <w:lang w:val="en-AU"/>
    </w:rPr>
  </w:style>
  <w:style w:type="character" w:customStyle="1" w:styleId="Bold">
    <w:name w:val="Bold"/>
    <w:basedOn w:val="DefaultParagraphFont"/>
    <w:rsid w:val="00B8605F"/>
    <w:rPr>
      <w:b/>
    </w:rPr>
  </w:style>
  <w:style w:type="paragraph" w:customStyle="1" w:styleId="HeadingAP1">
    <w:name w:val="Heading AP 1"/>
    <w:basedOn w:val="Normal"/>
    <w:next w:val="BodyText"/>
    <w:rsid w:val="002548CF"/>
    <w:pPr>
      <w:keepNext/>
      <w:numPr>
        <w:numId w:val="4"/>
      </w:numPr>
      <w:spacing w:after="360"/>
    </w:pPr>
    <w:rPr>
      <w:rFonts w:ascii="Arial Bold" w:eastAsiaTheme="minorHAnsi" w:hAnsi="Arial Bold" w:cs="Arial"/>
      <w:b/>
      <w:color w:val="0C479D"/>
      <w:sz w:val="28"/>
      <w:lang w:val="en-AU"/>
    </w:rPr>
  </w:style>
  <w:style w:type="paragraph" w:customStyle="1" w:styleId="HeadingAP2">
    <w:name w:val="Heading AP 2"/>
    <w:basedOn w:val="Normal"/>
    <w:next w:val="BodyText"/>
    <w:rsid w:val="002548CF"/>
    <w:pPr>
      <w:keepNext/>
      <w:numPr>
        <w:ilvl w:val="1"/>
        <w:numId w:val="4"/>
      </w:numPr>
      <w:spacing w:before="240" w:after="60"/>
    </w:pPr>
    <w:rPr>
      <w:rFonts w:eastAsiaTheme="minorHAnsi"/>
      <w:b/>
      <w:bCs/>
      <w:iCs/>
      <w:color w:val="0C479D"/>
      <w:kern w:val="28"/>
      <w:sz w:val="26"/>
      <w:szCs w:val="28"/>
      <w:lang w:val="en-AU" w:eastAsia="en-AU"/>
    </w:rPr>
  </w:style>
  <w:style w:type="paragraph" w:customStyle="1" w:styleId="HeadingAP3">
    <w:name w:val="Heading AP 3"/>
    <w:basedOn w:val="Normal"/>
    <w:next w:val="BodyText"/>
    <w:rsid w:val="002548CF"/>
    <w:pPr>
      <w:keepNext/>
      <w:numPr>
        <w:ilvl w:val="2"/>
        <w:numId w:val="4"/>
      </w:numPr>
      <w:spacing w:before="360" w:after="60"/>
    </w:pPr>
    <w:rPr>
      <w:rFonts w:ascii="Arial Bold" w:eastAsiaTheme="minorHAnsi" w:hAnsi="Arial Bold"/>
      <w:color w:val="666666"/>
      <w:sz w:val="24"/>
      <w:lang w:val="en-AU" w:eastAsia="en-AU"/>
    </w:rPr>
  </w:style>
  <w:style w:type="paragraph" w:customStyle="1" w:styleId="HeadingAP4">
    <w:name w:val="Heading AP 4"/>
    <w:basedOn w:val="Normal"/>
    <w:next w:val="BodyText"/>
    <w:rsid w:val="002548CF"/>
    <w:pPr>
      <w:keepNext/>
      <w:numPr>
        <w:ilvl w:val="3"/>
        <w:numId w:val="4"/>
      </w:numPr>
      <w:spacing w:before="360" w:after="60"/>
    </w:pPr>
    <w:rPr>
      <w:rFonts w:eastAsiaTheme="minorHAnsi"/>
      <w:b/>
      <w:i/>
      <w:color w:val="666666"/>
      <w:lang w:val="en-AU" w:eastAsia="en-AU"/>
    </w:rPr>
  </w:style>
  <w:style w:type="table" w:customStyle="1" w:styleId="TableGrid1">
    <w:name w:val="Table Grid1"/>
    <w:basedOn w:val="TableNormal"/>
    <w:next w:val="TableGrid"/>
    <w:uiPriority w:val="59"/>
    <w:locked/>
    <w:rsid w:val="00F866E3"/>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4A17FF"/>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4A17FF"/>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locked/>
    <w:rsid w:val="004A17FF"/>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locked/>
    <w:rsid w:val="004A17FF"/>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locked/>
    <w:rsid w:val="006F3F18"/>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locked/>
    <w:rsid w:val="00864133"/>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locked/>
    <w:rsid w:val="00864133"/>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GRM">
    <w:name w:val="Sub-Heading GRM"/>
    <w:basedOn w:val="Normal"/>
    <w:next w:val="Normal"/>
    <w:link w:val="Sub-HeadingGRMChar"/>
    <w:rsid w:val="004B0D96"/>
    <w:pPr>
      <w:keepNext/>
      <w:tabs>
        <w:tab w:val="left" w:pos="900"/>
      </w:tabs>
      <w:spacing w:before="40" w:after="240" w:line="276" w:lineRule="auto"/>
      <w:outlineLvl w:val="1"/>
    </w:pPr>
    <w:rPr>
      <w:rFonts w:eastAsia="Calibri" w:cs="Arial"/>
      <w:b/>
      <w:bCs/>
      <w:iCs/>
      <w:sz w:val="32"/>
      <w:szCs w:val="32"/>
      <w:lang w:val="en-AU" w:eastAsia="en-AU"/>
    </w:rPr>
  </w:style>
  <w:style w:type="character" w:customStyle="1" w:styleId="Sub-HeadingGRMChar">
    <w:name w:val="Sub-Heading GRM Char"/>
    <w:link w:val="Sub-HeadingGRM"/>
    <w:rsid w:val="004B0D96"/>
    <w:rPr>
      <w:rFonts w:eastAsia="Calibri" w:cs="Arial"/>
      <w:b/>
      <w:bCs/>
      <w:iCs/>
      <w:sz w:val="32"/>
      <w:szCs w:val="32"/>
      <w:lang w:val="en-AU" w:eastAsia="en-AU"/>
    </w:rPr>
  </w:style>
  <w:style w:type="table" w:customStyle="1" w:styleId="TableGrid9">
    <w:name w:val="Table Grid9"/>
    <w:basedOn w:val="TableNormal"/>
    <w:next w:val="TableGrid"/>
    <w:uiPriority w:val="59"/>
    <w:locked/>
    <w:rsid w:val="004C120D"/>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locked/>
    <w:rsid w:val="004E355C"/>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locked/>
    <w:rsid w:val="009A3031"/>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locked/>
    <w:rsid w:val="006D1A14"/>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locked/>
    <w:rsid w:val="00790E9A"/>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locked/>
    <w:rsid w:val="00790E9A"/>
    <w:rPr>
      <w:rFonts w:eastAsia="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rsid w:val="001A1BAD"/>
    <w:rPr>
      <w:sz w:val="20"/>
    </w:rPr>
  </w:style>
  <w:style w:type="character" w:customStyle="1" w:styleId="EndnoteTextChar">
    <w:name w:val="Endnote Text Char"/>
    <w:basedOn w:val="DefaultParagraphFont"/>
    <w:link w:val="EndnoteText"/>
    <w:uiPriority w:val="99"/>
    <w:rsid w:val="001A1BAD"/>
    <w:rPr>
      <w:sz w:val="20"/>
    </w:rPr>
  </w:style>
  <w:style w:type="character" w:styleId="EndnoteReference">
    <w:name w:val="endnote reference"/>
    <w:basedOn w:val="DefaultParagraphFont"/>
    <w:uiPriority w:val="99"/>
    <w:rsid w:val="001A1BAD"/>
    <w:rPr>
      <w:vertAlign w:val="superscript"/>
    </w:rPr>
  </w:style>
  <w:style w:type="character" w:styleId="IntenseEmphasis">
    <w:name w:val="Intense Emphasis"/>
    <w:basedOn w:val="DefaultParagraphFont"/>
    <w:uiPriority w:val="99"/>
    <w:qFormat/>
    <w:rsid w:val="00DD0D4F"/>
    <w:rPr>
      <w:b/>
      <w:bCs/>
      <w:i/>
      <w:iCs/>
      <w:color w:val="4F81BD" w:themeColor="accent1"/>
    </w:rPr>
  </w:style>
  <w:style w:type="character" w:customStyle="1" w:styleId="FootnoteTextChar">
    <w:name w:val="Footnote Text Char"/>
    <w:aliases w:val="FOOTNOTES Char,fn Char,single space Char,footnote text Char,Footnote Text Char Char Char,Footnote Text Char Char Char Char Char,Footnote Text Char Char Char Char Char Char Char Char Char"/>
    <w:basedOn w:val="DefaultParagraphFont"/>
    <w:link w:val="FootnoteText"/>
    <w:uiPriority w:val="99"/>
    <w:rsid w:val="002366FA"/>
    <w:rPr>
      <w:sz w:val="20"/>
    </w:rPr>
  </w:style>
  <w:style w:type="paragraph" w:customStyle="1" w:styleId="Non-TOCsubheading">
    <w:name w:val="Non-TOC subheading"/>
    <w:basedOn w:val="BodyText"/>
    <w:link w:val="Non-TOCsubheadingChar"/>
    <w:rsid w:val="00AC0B1B"/>
    <w:pPr>
      <w:spacing w:line="320" w:lineRule="atLeast"/>
    </w:pPr>
    <w:rPr>
      <w:rFonts w:ascii="Arial" w:eastAsia="Calibri" w:hAnsi="Arial" w:cs="Times New Roman"/>
      <w:b/>
      <w:color w:val="4F6228" w:themeColor="accent3" w:themeShade="80"/>
      <w:sz w:val="20"/>
    </w:rPr>
  </w:style>
  <w:style w:type="character" w:customStyle="1" w:styleId="Non-TOCsubheadingChar">
    <w:name w:val="Non-TOC subheading Char"/>
    <w:basedOn w:val="BodyTextChar"/>
    <w:link w:val="Non-TOCsubheading"/>
    <w:rsid w:val="00AC0B1B"/>
    <w:rPr>
      <w:rFonts w:ascii="Arial" w:eastAsia="Calibri" w:hAnsi="Arial" w:cs="Times New Roman"/>
      <w:b/>
      <w:color w:val="4F6228" w:themeColor="accent3" w:themeShade="80"/>
      <w:sz w:val="20"/>
      <w:szCs w:val="22"/>
      <w:lang w:val="en-AU"/>
    </w:rPr>
  </w:style>
  <w:style w:type="paragraph" w:customStyle="1" w:styleId="Bulletswithsinglespacingfont11">
    <w:name w:val="Bullets with single spacing font 11"/>
    <w:basedOn w:val="Normal"/>
    <w:link w:val="Bulletswithsinglespacingfont11Char"/>
    <w:qFormat/>
    <w:rsid w:val="00470A54"/>
    <w:pPr>
      <w:numPr>
        <w:numId w:val="5"/>
      </w:numPr>
      <w:spacing w:before="120"/>
      <w:ind w:left="720"/>
    </w:pPr>
    <w:rPr>
      <w:rFonts w:cs="Arial"/>
      <w:bCs/>
      <w:lang w:val="en-AU" w:eastAsia="en-AU"/>
    </w:rPr>
  </w:style>
  <w:style w:type="character" w:customStyle="1" w:styleId="Bulletswithsinglespacingfont11Char">
    <w:name w:val="Bullets with single spacing font 11 Char"/>
    <w:link w:val="Bulletswithsinglespacingfont11"/>
    <w:locked/>
    <w:rsid w:val="00470A54"/>
    <w:rPr>
      <w:rFonts w:cs="Arial"/>
      <w:bCs/>
      <w:lang w:val="en-AU" w:eastAsia="en-AU"/>
    </w:rPr>
  </w:style>
  <w:style w:type="paragraph" w:customStyle="1" w:styleId="FrontPageHeading2">
    <w:name w:val="Front Page Heading 2"/>
    <w:basedOn w:val="Normal"/>
    <w:uiPriority w:val="99"/>
    <w:rsid w:val="00B31112"/>
    <w:pPr>
      <w:tabs>
        <w:tab w:val="left" w:pos="900"/>
        <w:tab w:val="left" w:pos="7560"/>
      </w:tabs>
      <w:spacing w:before="120"/>
      <w:jc w:val="center"/>
      <w:outlineLvl w:val="0"/>
    </w:pPr>
    <w:rPr>
      <w:rFonts w:ascii="Arial Bold" w:hAnsi="Arial Bold" w:cs="Arial"/>
      <w:b/>
      <w:bCs/>
      <w:color w:val="000000"/>
      <w:kern w:val="28"/>
      <w:sz w:val="36"/>
      <w:szCs w:val="36"/>
    </w:rPr>
  </w:style>
  <w:style w:type="paragraph" w:customStyle="1" w:styleId="CONLevel1">
    <w:name w:val=".CON  Level   1."/>
    <w:basedOn w:val="Normal"/>
    <w:next w:val="Normal"/>
    <w:uiPriority w:val="99"/>
    <w:rsid w:val="00B31112"/>
    <w:pPr>
      <w:keepNext/>
      <w:numPr>
        <w:numId w:val="10"/>
      </w:numPr>
      <w:spacing w:before="240"/>
      <w:outlineLvl w:val="1"/>
    </w:pPr>
    <w:rPr>
      <w:rFonts w:ascii="Times New Roman" w:hAnsi="Times New Roman" w:cs="Times New Roman"/>
      <w:b/>
      <w:smallCaps/>
      <w:sz w:val="24"/>
      <w:szCs w:val="24"/>
      <w:lang w:val="en-AU"/>
    </w:rPr>
  </w:style>
  <w:style w:type="paragraph" w:customStyle="1" w:styleId="CONLevel11Char">
    <w:name w:val=".CON  Level   1.1 Char"/>
    <w:basedOn w:val="Normal"/>
    <w:next w:val="Normal"/>
    <w:link w:val="CONLevel11CharChar"/>
    <w:uiPriority w:val="99"/>
    <w:rsid w:val="00B31112"/>
    <w:pPr>
      <w:numPr>
        <w:ilvl w:val="1"/>
        <w:numId w:val="10"/>
      </w:numPr>
      <w:spacing w:before="240"/>
      <w:outlineLvl w:val="2"/>
    </w:pPr>
    <w:rPr>
      <w:rFonts w:ascii="Times New Roman" w:hAnsi="Times New Roman" w:cs="Times New Roman"/>
      <w:sz w:val="24"/>
      <w:lang w:val="en-AU"/>
    </w:rPr>
  </w:style>
  <w:style w:type="paragraph" w:customStyle="1" w:styleId="CONLevelaChar">
    <w:name w:val=".CON  Level  (a) Char"/>
    <w:basedOn w:val="Normal"/>
    <w:next w:val="Normal"/>
    <w:link w:val="CONLevelaCharChar"/>
    <w:uiPriority w:val="99"/>
    <w:rsid w:val="00B31112"/>
    <w:pPr>
      <w:numPr>
        <w:ilvl w:val="2"/>
        <w:numId w:val="10"/>
      </w:numPr>
      <w:spacing w:before="240"/>
      <w:outlineLvl w:val="3"/>
    </w:pPr>
    <w:rPr>
      <w:rFonts w:ascii="Times New Roman" w:hAnsi="Times New Roman" w:cs="Times New Roman"/>
      <w:sz w:val="24"/>
      <w:lang w:val="en-AU"/>
    </w:rPr>
  </w:style>
  <w:style w:type="paragraph" w:customStyle="1" w:styleId="CONLeveli">
    <w:name w:val=".CON  Level  (i)"/>
    <w:basedOn w:val="Normal"/>
    <w:next w:val="Normal"/>
    <w:uiPriority w:val="99"/>
    <w:rsid w:val="00B31112"/>
    <w:pPr>
      <w:numPr>
        <w:ilvl w:val="3"/>
        <w:numId w:val="10"/>
      </w:numPr>
      <w:spacing w:before="240"/>
      <w:outlineLvl w:val="4"/>
    </w:pPr>
    <w:rPr>
      <w:rFonts w:ascii="Times New Roman" w:hAnsi="Times New Roman" w:cs="Times New Roman"/>
      <w:sz w:val="24"/>
      <w:lang w:val="en-AU"/>
    </w:rPr>
  </w:style>
  <w:style w:type="paragraph" w:customStyle="1" w:styleId="CONLevelA">
    <w:name w:val=".CON  Level (A)"/>
    <w:basedOn w:val="Normal"/>
    <w:next w:val="Normal"/>
    <w:uiPriority w:val="99"/>
    <w:rsid w:val="00B31112"/>
    <w:pPr>
      <w:numPr>
        <w:ilvl w:val="4"/>
        <w:numId w:val="10"/>
      </w:numPr>
      <w:spacing w:before="240"/>
      <w:outlineLvl w:val="5"/>
    </w:pPr>
    <w:rPr>
      <w:rFonts w:ascii="Times New Roman" w:hAnsi="Times New Roman" w:cs="Times New Roman"/>
      <w:sz w:val="24"/>
      <w:lang w:val="en-AU"/>
    </w:rPr>
  </w:style>
  <w:style w:type="paragraph" w:customStyle="1" w:styleId="CONLevelI0">
    <w:name w:val=".CON  Level (I)"/>
    <w:basedOn w:val="Normal"/>
    <w:next w:val="Normal"/>
    <w:uiPriority w:val="99"/>
    <w:rsid w:val="00B31112"/>
    <w:pPr>
      <w:numPr>
        <w:ilvl w:val="5"/>
        <w:numId w:val="10"/>
      </w:numPr>
      <w:spacing w:before="240"/>
      <w:outlineLvl w:val="6"/>
    </w:pPr>
    <w:rPr>
      <w:rFonts w:ascii="Times New Roman" w:hAnsi="Times New Roman" w:cs="Times New Roman"/>
      <w:sz w:val="24"/>
      <w:lang w:val="en-AU"/>
    </w:rPr>
  </w:style>
  <w:style w:type="table" w:customStyle="1" w:styleId="LightList-Accent11">
    <w:name w:val="Light List - Accent 11"/>
    <w:basedOn w:val="TableNormal"/>
    <w:uiPriority w:val="61"/>
    <w:rsid w:val="00B31112"/>
    <w:rPr>
      <w:rFonts w:cs="Times New Roman"/>
      <w:sz w:val="20"/>
      <w:szCs w:val="20"/>
      <w:lang w:val="en-AU" w:eastAsia="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SubtleReference">
    <w:name w:val="Subtle Reference"/>
    <w:basedOn w:val="DefaultParagraphFont"/>
    <w:uiPriority w:val="99"/>
    <w:qFormat/>
    <w:rsid w:val="00D21284"/>
    <w:rPr>
      <w:rFonts w:cs="Times New Roman"/>
      <w:b/>
    </w:rPr>
  </w:style>
  <w:style w:type="paragraph" w:customStyle="1" w:styleId="CaptionF">
    <w:name w:val="Caption F"/>
    <w:basedOn w:val="Normal"/>
    <w:next w:val="BodyText"/>
    <w:autoRedefine/>
    <w:uiPriority w:val="99"/>
    <w:rsid w:val="004C5CDB"/>
    <w:pPr>
      <w:numPr>
        <w:numId w:val="18"/>
      </w:numPr>
      <w:tabs>
        <w:tab w:val="clear" w:pos="360"/>
        <w:tab w:val="left" w:pos="500"/>
        <w:tab w:val="num" w:pos="720"/>
        <w:tab w:val="num" w:pos="786"/>
        <w:tab w:val="left" w:pos="1200"/>
      </w:tabs>
      <w:ind w:left="720" w:hanging="720"/>
    </w:pPr>
    <w:rPr>
      <w:rFonts w:ascii="Cambria" w:hAnsi="Cambria" w:cs="Times New Roman"/>
      <w:i/>
      <w:sz w:val="20"/>
      <w:szCs w:val="20"/>
    </w:rPr>
  </w:style>
  <w:style w:type="paragraph" w:customStyle="1" w:styleId="StyleHeading2Centered">
    <w:name w:val="Style Heading 2 + Centered"/>
    <w:basedOn w:val="Normal"/>
    <w:uiPriority w:val="99"/>
    <w:rsid w:val="004C5CDB"/>
    <w:pPr>
      <w:numPr>
        <w:ilvl w:val="1"/>
        <w:numId w:val="18"/>
      </w:numPr>
      <w:jc w:val="both"/>
    </w:pPr>
    <w:rPr>
      <w:rFonts w:ascii="Arial" w:hAnsi="Arial" w:cs="Times New Roman"/>
    </w:rPr>
  </w:style>
  <w:style w:type="character" w:customStyle="1" w:styleId="Heading4Char">
    <w:name w:val="Heading 4 Char"/>
    <w:basedOn w:val="DefaultParagraphFont"/>
    <w:link w:val="Heading4"/>
    <w:uiPriority w:val="99"/>
    <w:locked/>
    <w:rsid w:val="006A4E0A"/>
    <w:rPr>
      <w:b/>
      <w:bCs/>
      <w:sz w:val="24"/>
      <w:szCs w:val="28"/>
    </w:rPr>
  </w:style>
  <w:style w:type="character" w:customStyle="1" w:styleId="Heading5Char">
    <w:name w:val="Heading 5 Char"/>
    <w:basedOn w:val="DefaultParagraphFont"/>
    <w:link w:val="Heading5"/>
    <w:uiPriority w:val="99"/>
    <w:locked/>
    <w:rsid w:val="006A4E0A"/>
    <w:rPr>
      <w:b/>
      <w:bCs/>
      <w:i/>
      <w:iCs/>
      <w:sz w:val="26"/>
      <w:szCs w:val="26"/>
    </w:rPr>
  </w:style>
  <w:style w:type="character" w:customStyle="1" w:styleId="Heading6Char">
    <w:name w:val="Heading 6 Char"/>
    <w:basedOn w:val="DefaultParagraphFont"/>
    <w:link w:val="Heading6"/>
    <w:uiPriority w:val="99"/>
    <w:locked/>
    <w:rsid w:val="006A4E0A"/>
    <w:rPr>
      <w:b/>
      <w:bCs/>
    </w:rPr>
  </w:style>
  <w:style w:type="character" w:customStyle="1" w:styleId="Heading7Char">
    <w:name w:val="Heading 7 Char"/>
    <w:basedOn w:val="DefaultParagraphFont"/>
    <w:link w:val="Heading7"/>
    <w:uiPriority w:val="99"/>
    <w:locked/>
    <w:rsid w:val="006A4E0A"/>
  </w:style>
  <w:style w:type="character" w:customStyle="1" w:styleId="Heading8Char">
    <w:name w:val="Heading 8 Char"/>
    <w:basedOn w:val="DefaultParagraphFont"/>
    <w:link w:val="Heading8"/>
    <w:uiPriority w:val="99"/>
    <w:locked/>
    <w:rsid w:val="006A4E0A"/>
    <w:rPr>
      <w:i/>
      <w:iCs/>
    </w:rPr>
  </w:style>
  <w:style w:type="character" w:customStyle="1" w:styleId="Heading9Char">
    <w:name w:val="Heading 9 Char"/>
    <w:basedOn w:val="DefaultParagraphFont"/>
    <w:link w:val="Heading9"/>
    <w:uiPriority w:val="99"/>
    <w:locked/>
    <w:rsid w:val="006A4E0A"/>
    <w:rPr>
      <w:rFonts w:ascii="Arial" w:hAnsi="Arial" w:cs="Arial"/>
    </w:rPr>
  </w:style>
  <w:style w:type="paragraph" w:styleId="Quote">
    <w:name w:val="Quote"/>
    <w:basedOn w:val="Normal"/>
    <w:next w:val="Normal"/>
    <w:link w:val="QuoteChar"/>
    <w:uiPriority w:val="99"/>
    <w:qFormat/>
    <w:rsid w:val="006A4E0A"/>
    <w:pPr>
      <w:spacing w:after="200" w:line="276" w:lineRule="auto"/>
      <w:jc w:val="both"/>
    </w:pPr>
    <w:rPr>
      <w:rFonts w:cs="Times New Roman"/>
      <w:i/>
      <w:szCs w:val="20"/>
    </w:rPr>
  </w:style>
  <w:style w:type="character" w:customStyle="1" w:styleId="QuoteChar">
    <w:name w:val="Quote Char"/>
    <w:basedOn w:val="DefaultParagraphFont"/>
    <w:link w:val="Quote"/>
    <w:uiPriority w:val="99"/>
    <w:rsid w:val="006A4E0A"/>
    <w:rPr>
      <w:rFonts w:cs="Times New Roman"/>
      <w:i/>
      <w:szCs w:val="20"/>
    </w:rPr>
  </w:style>
  <w:style w:type="paragraph" w:styleId="IntenseQuote">
    <w:name w:val="Intense Quote"/>
    <w:basedOn w:val="Normal"/>
    <w:next w:val="Normal"/>
    <w:link w:val="IntenseQuoteChar"/>
    <w:uiPriority w:val="99"/>
    <w:qFormat/>
    <w:rsid w:val="006A4E0A"/>
    <w:pPr>
      <w:pBdr>
        <w:top w:val="single" w:sz="8" w:space="10" w:color="943634"/>
        <w:left w:val="single" w:sz="8" w:space="10" w:color="943634"/>
        <w:bottom w:val="single" w:sz="8" w:space="10" w:color="943634"/>
        <w:right w:val="single" w:sz="8" w:space="10" w:color="943634"/>
      </w:pBdr>
      <w:shd w:val="clear" w:color="auto" w:fill="C0504D"/>
      <w:spacing w:before="140" w:after="140" w:line="276" w:lineRule="auto"/>
      <w:ind w:left="1440" w:right="1440"/>
      <w:jc w:val="both"/>
    </w:pPr>
    <w:rPr>
      <w:rFonts w:cs="Times New Roman"/>
      <w:b/>
      <w:i/>
      <w:color w:val="FFFFFF"/>
      <w:szCs w:val="20"/>
    </w:rPr>
  </w:style>
  <w:style w:type="character" w:customStyle="1" w:styleId="IntenseQuoteChar">
    <w:name w:val="Intense Quote Char"/>
    <w:basedOn w:val="DefaultParagraphFont"/>
    <w:link w:val="IntenseQuote"/>
    <w:uiPriority w:val="99"/>
    <w:rsid w:val="006A4E0A"/>
    <w:rPr>
      <w:rFonts w:cs="Times New Roman"/>
      <w:b/>
      <w:i/>
      <w:color w:val="FFFFFF"/>
      <w:szCs w:val="20"/>
      <w:shd w:val="clear" w:color="auto" w:fill="C0504D"/>
    </w:rPr>
  </w:style>
  <w:style w:type="character" w:styleId="SubtleEmphasis">
    <w:name w:val="Subtle Emphasis"/>
    <w:basedOn w:val="DefaultParagraphFont"/>
    <w:uiPriority w:val="99"/>
    <w:qFormat/>
    <w:rsid w:val="006A4E0A"/>
    <w:rPr>
      <w:rFonts w:cs="Times New Roman"/>
      <w:i/>
    </w:rPr>
  </w:style>
  <w:style w:type="character" w:styleId="IntenseReference">
    <w:name w:val="Intense Reference"/>
    <w:basedOn w:val="DefaultParagraphFont"/>
    <w:uiPriority w:val="99"/>
    <w:qFormat/>
    <w:rsid w:val="006A4E0A"/>
    <w:rPr>
      <w:rFonts w:cs="Times New Roman"/>
      <w:b/>
      <w:smallCaps/>
      <w:spacing w:val="5"/>
      <w:sz w:val="22"/>
      <w:u w:val="single"/>
    </w:rPr>
  </w:style>
  <w:style w:type="character" w:styleId="BookTitle">
    <w:name w:val="Book Title"/>
    <w:basedOn w:val="DefaultParagraphFont"/>
    <w:uiPriority w:val="99"/>
    <w:qFormat/>
    <w:rsid w:val="006A4E0A"/>
    <w:rPr>
      <w:rFonts w:ascii="Cambria" w:hAnsi="Cambria" w:cs="Times New Roman"/>
      <w:i/>
      <w:sz w:val="20"/>
    </w:rPr>
  </w:style>
  <w:style w:type="table" w:styleId="ColorfulList-Accent2">
    <w:name w:val="Colorful List Accent 2"/>
    <w:basedOn w:val="TableNormal"/>
    <w:uiPriority w:val="99"/>
    <w:rsid w:val="006A4E0A"/>
    <w:rPr>
      <w:rFonts w:cs="Times New Roman"/>
      <w:color w:val="000000"/>
      <w:sz w:val="20"/>
      <w:szCs w:val="20"/>
      <w:lang w:val="en-AU" w:eastAsia="en-AU"/>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paragraph" w:customStyle="1" w:styleId="Listbullet0">
    <w:name w:val="List bullet'"/>
    <w:basedOn w:val="NoSpacing"/>
    <w:uiPriority w:val="99"/>
    <w:rsid w:val="006A4E0A"/>
    <w:pPr>
      <w:numPr>
        <w:numId w:val="19"/>
      </w:numPr>
      <w:jc w:val="both"/>
    </w:pPr>
    <w:rPr>
      <w:rFonts w:eastAsia="Times New Roman" w:cs="Times New Roman"/>
      <w:szCs w:val="20"/>
    </w:rPr>
  </w:style>
  <w:style w:type="table" w:styleId="TableSimple1">
    <w:name w:val="Table Simple 1"/>
    <w:basedOn w:val="TableNormal"/>
    <w:uiPriority w:val="99"/>
    <w:rsid w:val="006A4E0A"/>
    <w:rPr>
      <w:rFonts w:ascii="Arial Narrow" w:eastAsia="MS Mincho" w:hAnsi="Arial Narrow" w:cs="Times New Roman"/>
      <w:sz w:val="18"/>
      <w:szCs w:val="18"/>
      <w:lang w:val="en-AU" w:eastAsia="en-AU"/>
    </w:rPr>
    <w:tblPr>
      <w:tblBorders>
        <w:top w:val="single" w:sz="12" w:space="0" w:color="990000"/>
        <w:bottom w:val="single" w:sz="12" w:space="0" w:color="990000"/>
        <w:insideH w:val="single" w:sz="12" w:space="0" w:color="990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SectionNumber">
    <w:name w:val="Section Number"/>
    <w:basedOn w:val="Normal"/>
    <w:autoRedefine/>
    <w:uiPriority w:val="99"/>
    <w:rsid w:val="006A4E0A"/>
    <w:pPr>
      <w:numPr>
        <w:numId w:val="20"/>
      </w:numPr>
      <w:shd w:val="clear" w:color="auto" w:fill="800080"/>
      <w:jc w:val="both"/>
    </w:pPr>
    <w:rPr>
      <w:rFonts w:ascii="Verdana" w:hAnsi="Verdana" w:cs="Times New Roman"/>
    </w:rPr>
  </w:style>
  <w:style w:type="paragraph" w:customStyle="1" w:styleId="Bodytextnumbered">
    <w:name w:val="Body text numbered"/>
    <w:basedOn w:val="BodyText"/>
    <w:autoRedefine/>
    <w:uiPriority w:val="99"/>
    <w:rsid w:val="006A4E0A"/>
    <w:pPr>
      <w:numPr>
        <w:numId w:val="21"/>
      </w:numPr>
      <w:tabs>
        <w:tab w:val="clear" w:pos="720"/>
        <w:tab w:val="num" w:pos="500"/>
      </w:tabs>
      <w:ind w:left="500" w:hanging="500"/>
    </w:pPr>
    <w:rPr>
      <w:rFonts w:ascii="Arial" w:hAnsi="Arial" w:cs="Times New Roman"/>
      <w:sz w:val="21"/>
      <w:lang w:val="en-US"/>
    </w:rPr>
  </w:style>
  <w:style w:type="paragraph" w:customStyle="1" w:styleId="Tablefont">
    <w:name w:val="Table font"/>
    <w:basedOn w:val="Normal"/>
    <w:link w:val="TablefontChar"/>
    <w:autoRedefine/>
    <w:uiPriority w:val="99"/>
    <w:rsid w:val="006A4E0A"/>
    <w:rPr>
      <w:rFonts w:ascii="Arial Narrow" w:hAnsi="Arial Narrow" w:cs="Arial Narrow"/>
      <w:sz w:val="20"/>
      <w:szCs w:val="24"/>
    </w:rPr>
  </w:style>
  <w:style w:type="paragraph" w:customStyle="1" w:styleId="List1">
    <w:name w:val="List 1"/>
    <w:basedOn w:val="Normal"/>
    <w:uiPriority w:val="99"/>
    <w:rsid w:val="006A4E0A"/>
    <w:pPr>
      <w:numPr>
        <w:numId w:val="22"/>
      </w:numPr>
      <w:jc w:val="both"/>
    </w:pPr>
    <w:rPr>
      <w:rFonts w:ascii="Arial" w:hAnsi="Arial" w:cs="Times New Roman"/>
      <w:szCs w:val="24"/>
    </w:rPr>
  </w:style>
  <w:style w:type="character" w:customStyle="1" w:styleId="CONLevel11CharChar">
    <w:name w:val=".CON  Level   1.1 Char Char"/>
    <w:basedOn w:val="DefaultParagraphFont"/>
    <w:link w:val="CONLevel11Char"/>
    <w:uiPriority w:val="99"/>
    <w:locked/>
    <w:rsid w:val="006A4E0A"/>
    <w:rPr>
      <w:rFonts w:ascii="Times New Roman" w:hAnsi="Times New Roman" w:cs="Times New Roman"/>
      <w:sz w:val="24"/>
      <w:lang w:val="en-AU"/>
    </w:rPr>
  </w:style>
  <w:style w:type="character" w:customStyle="1" w:styleId="CONLevelaCharChar">
    <w:name w:val=".CON  Level  (a) Char Char"/>
    <w:basedOn w:val="DefaultParagraphFont"/>
    <w:link w:val="CONLevelaChar"/>
    <w:uiPriority w:val="99"/>
    <w:locked/>
    <w:rsid w:val="006A4E0A"/>
    <w:rPr>
      <w:rFonts w:ascii="Times New Roman" w:hAnsi="Times New Roman" w:cs="Times New Roman"/>
      <w:sz w:val="24"/>
      <w:lang w:val="en-AU"/>
    </w:rPr>
  </w:style>
  <w:style w:type="paragraph" w:customStyle="1" w:styleId="CaptionT">
    <w:name w:val="Caption T"/>
    <w:basedOn w:val="BodyText"/>
    <w:link w:val="CaptionTChar"/>
    <w:autoRedefine/>
    <w:uiPriority w:val="99"/>
    <w:rsid w:val="006A4E0A"/>
    <w:pPr>
      <w:numPr>
        <w:numId w:val="26"/>
      </w:numPr>
      <w:tabs>
        <w:tab w:val="num" w:pos="0"/>
        <w:tab w:val="left" w:pos="500"/>
        <w:tab w:val="left" w:pos="1200"/>
      </w:tabs>
      <w:ind w:left="0" w:firstLine="0"/>
    </w:pPr>
    <w:rPr>
      <w:rFonts w:ascii="Cambria" w:hAnsi="Cambria" w:cs="Times New Roman"/>
      <w:i/>
      <w:sz w:val="18"/>
      <w:szCs w:val="18"/>
    </w:rPr>
  </w:style>
  <w:style w:type="paragraph" w:customStyle="1" w:styleId="KPI">
    <w:name w:val="KPI"/>
    <w:basedOn w:val="Heading3"/>
    <w:next w:val="BodyText"/>
    <w:link w:val="KPIChar"/>
    <w:autoRedefine/>
    <w:uiPriority w:val="99"/>
    <w:rsid w:val="006A4E0A"/>
    <w:pPr>
      <w:tabs>
        <w:tab w:val="num" w:pos="200"/>
      </w:tabs>
      <w:spacing w:before="240" w:after="60"/>
      <w:ind w:left="632" w:hanging="432"/>
      <w:jc w:val="both"/>
    </w:pPr>
    <w:rPr>
      <w:rFonts w:ascii="Arial" w:hAnsi="Arial" w:cs="Arial"/>
      <w:b w:val="0"/>
      <w:szCs w:val="26"/>
    </w:rPr>
  </w:style>
  <w:style w:type="paragraph" w:customStyle="1" w:styleId="CaptionA">
    <w:name w:val="Caption A"/>
    <w:basedOn w:val="BodyText"/>
    <w:next w:val="BodyText"/>
    <w:autoRedefine/>
    <w:uiPriority w:val="99"/>
    <w:rsid w:val="006A4E0A"/>
    <w:pPr>
      <w:numPr>
        <w:numId w:val="23"/>
      </w:numPr>
      <w:tabs>
        <w:tab w:val="left" w:pos="500"/>
      </w:tabs>
    </w:pPr>
    <w:rPr>
      <w:rFonts w:ascii="Arial" w:hAnsi="Arial" w:cs="Times New Roman"/>
      <w:sz w:val="21"/>
      <w:lang w:val="en-US"/>
    </w:rPr>
  </w:style>
  <w:style w:type="paragraph" w:customStyle="1" w:styleId="SPI">
    <w:name w:val="SPI"/>
    <w:basedOn w:val="BodyText"/>
    <w:next w:val="BodyText"/>
    <w:autoRedefine/>
    <w:uiPriority w:val="99"/>
    <w:rsid w:val="006A4E0A"/>
    <w:pPr>
      <w:numPr>
        <w:numId w:val="25"/>
      </w:numPr>
      <w:tabs>
        <w:tab w:val="left" w:pos="0"/>
        <w:tab w:val="left" w:pos="500"/>
        <w:tab w:val="left" w:pos="1000"/>
      </w:tabs>
      <w:ind w:hanging="1301"/>
    </w:pPr>
    <w:rPr>
      <w:rFonts w:ascii="Arial" w:hAnsi="Arial" w:cs="Times New Roman"/>
      <w:b/>
      <w:sz w:val="21"/>
      <w:lang w:val="en-US"/>
    </w:rPr>
  </w:style>
  <w:style w:type="character" w:customStyle="1" w:styleId="TablefontChar">
    <w:name w:val="Table font Char"/>
    <w:basedOn w:val="DefaultParagraphFont"/>
    <w:link w:val="Tablefont"/>
    <w:uiPriority w:val="99"/>
    <w:locked/>
    <w:rsid w:val="006A4E0A"/>
    <w:rPr>
      <w:rFonts w:ascii="Arial Narrow" w:hAnsi="Arial Narrow" w:cs="Arial Narrow"/>
      <w:sz w:val="20"/>
      <w:szCs w:val="24"/>
    </w:rPr>
  </w:style>
  <w:style w:type="character" w:customStyle="1" w:styleId="CaptionTChar">
    <w:name w:val="Caption T Char"/>
    <w:basedOn w:val="BodyTextChar"/>
    <w:link w:val="CaptionT"/>
    <w:uiPriority w:val="99"/>
    <w:locked/>
    <w:rsid w:val="006A4E0A"/>
    <w:rPr>
      <w:rFonts w:ascii="Cambria" w:hAnsi="Cambria" w:cs="Times New Roman"/>
      <w:i/>
      <w:sz w:val="18"/>
      <w:szCs w:val="18"/>
      <w:lang w:val="en-AU"/>
    </w:rPr>
  </w:style>
  <w:style w:type="character" w:customStyle="1" w:styleId="KPIChar">
    <w:name w:val="KPI Char"/>
    <w:basedOn w:val="Heading3Char"/>
    <w:link w:val="KPI"/>
    <w:uiPriority w:val="99"/>
    <w:locked/>
    <w:rsid w:val="006A4E0A"/>
    <w:rPr>
      <w:rFonts w:ascii="Arial" w:hAnsi="Arial" w:cs="Arial"/>
      <w:b w:val="0"/>
      <w:bCs/>
      <w:i/>
      <w:iCs/>
      <w:color w:val="003880"/>
      <w:sz w:val="24"/>
      <w:szCs w:val="26"/>
    </w:rPr>
  </w:style>
  <w:style w:type="paragraph" w:customStyle="1" w:styleId="Title1">
    <w:name w:val="Title 1"/>
    <w:basedOn w:val="Heading1"/>
    <w:link w:val="Title1Char"/>
    <w:autoRedefine/>
    <w:uiPriority w:val="99"/>
    <w:rsid w:val="006A4E0A"/>
    <w:pPr>
      <w:numPr>
        <w:numId w:val="0"/>
      </w:numPr>
      <w:spacing w:before="240"/>
      <w:jc w:val="center"/>
    </w:pPr>
    <w:rPr>
      <w:rFonts w:ascii="Garamond" w:hAnsi="Garamond" w:cs="Arial"/>
      <w:b/>
      <w:color w:val="000080"/>
      <w:szCs w:val="32"/>
    </w:rPr>
  </w:style>
  <w:style w:type="paragraph" w:customStyle="1" w:styleId="Title2">
    <w:name w:val="Title 2"/>
    <w:basedOn w:val="Title1"/>
    <w:link w:val="Title2Char"/>
    <w:autoRedefine/>
    <w:uiPriority w:val="99"/>
    <w:rsid w:val="006A4E0A"/>
    <w:rPr>
      <w:sz w:val="72"/>
    </w:rPr>
  </w:style>
  <w:style w:type="character" w:customStyle="1" w:styleId="Title1Char">
    <w:name w:val="Title 1 Char"/>
    <w:basedOn w:val="Heading1Char"/>
    <w:link w:val="Title1"/>
    <w:uiPriority w:val="99"/>
    <w:locked/>
    <w:rsid w:val="006A4E0A"/>
    <w:rPr>
      <w:rFonts w:ascii="Garamond" w:hAnsi="Garamond" w:cs="Arial"/>
      <w:b/>
      <w:bCs/>
      <w:color w:val="000080"/>
      <w:kern w:val="32"/>
      <w:sz w:val="32"/>
      <w:szCs w:val="32"/>
    </w:rPr>
  </w:style>
  <w:style w:type="character" w:customStyle="1" w:styleId="Title2Char">
    <w:name w:val="Title 2 Char"/>
    <w:basedOn w:val="Title1Char"/>
    <w:link w:val="Title2"/>
    <w:uiPriority w:val="99"/>
    <w:locked/>
    <w:rsid w:val="006A4E0A"/>
    <w:rPr>
      <w:rFonts w:ascii="Garamond" w:hAnsi="Garamond" w:cs="Arial"/>
      <w:b/>
      <w:bCs/>
      <w:color w:val="000080"/>
      <w:kern w:val="32"/>
      <w:sz w:val="72"/>
      <w:szCs w:val="32"/>
    </w:rPr>
  </w:style>
  <w:style w:type="paragraph" w:customStyle="1" w:styleId="StyleSPI">
    <w:name w:val="Style SPI"/>
    <w:basedOn w:val="SPI"/>
    <w:autoRedefine/>
    <w:uiPriority w:val="99"/>
    <w:rsid w:val="006A4E0A"/>
    <w:pPr>
      <w:numPr>
        <w:numId w:val="24"/>
      </w:numPr>
    </w:pPr>
    <w:rPr>
      <w:bCs/>
      <w:szCs w:val="20"/>
    </w:rPr>
  </w:style>
  <w:style w:type="paragraph" w:customStyle="1" w:styleId="Tableheader">
    <w:name w:val="Table header"/>
    <w:basedOn w:val="BodyText"/>
    <w:autoRedefine/>
    <w:uiPriority w:val="99"/>
    <w:rsid w:val="006A4E0A"/>
    <w:pPr>
      <w:numPr>
        <w:numId w:val="28"/>
      </w:numPr>
      <w:ind w:right="-60" w:hanging="781"/>
      <w:jc w:val="both"/>
    </w:pPr>
    <w:rPr>
      <w:rFonts w:ascii="Garamond" w:hAnsi="Garamond" w:cs="Times New Roman"/>
      <w:b/>
      <w:sz w:val="18"/>
      <w:szCs w:val="18"/>
      <w:lang w:val="en-US"/>
    </w:rPr>
  </w:style>
  <w:style w:type="paragraph" w:customStyle="1" w:styleId="Figureheader">
    <w:name w:val="Figure header"/>
    <w:basedOn w:val="Tableheader"/>
    <w:next w:val="BodyText"/>
    <w:autoRedefine/>
    <w:uiPriority w:val="99"/>
    <w:rsid w:val="006A4E0A"/>
    <w:pPr>
      <w:numPr>
        <w:numId w:val="27"/>
      </w:numPr>
      <w:spacing w:after="240"/>
      <w:ind w:right="-562"/>
      <w:jc w:val="center"/>
    </w:pPr>
    <w:rPr>
      <w:sz w:val="20"/>
      <w:szCs w:val="20"/>
    </w:rPr>
  </w:style>
  <w:style w:type="table" w:styleId="ColorfulGrid-Accent2">
    <w:name w:val="Colorful Grid Accent 2"/>
    <w:basedOn w:val="TableNormal"/>
    <w:uiPriority w:val="99"/>
    <w:rsid w:val="006A4E0A"/>
    <w:rPr>
      <w:rFonts w:cs="Times New Roman"/>
      <w:color w:val="000000"/>
      <w:sz w:val="20"/>
      <w:szCs w:val="20"/>
      <w:lang w:val="en-AU" w:eastAsia="en-AU"/>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List1-Accent2">
    <w:name w:val="Medium List 1 Accent 2"/>
    <w:basedOn w:val="TableNormal"/>
    <w:uiPriority w:val="99"/>
    <w:rsid w:val="006A4E0A"/>
    <w:rPr>
      <w:rFonts w:cs="Times New Roman"/>
      <w:color w:val="000000"/>
      <w:sz w:val="20"/>
      <w:szCs w:val="20"/>
      <w:lang w:val="en-AU" w:eastAsia="en-AU"/>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character" w:customStyle="1" w:styleId="CharChar15">
    <w:name w:val="Char Char15"/>
    <w:basedOn w:val="DefaultParagraphFont"/>
    <w:uiPriority w:val="99"/>
    <w:rsid w:val="006A4E0A"/>
    <w:rPr>
      <w:rFonts w:ascii="Cambria" w:hAnsi="Cambria" w:cs="Times New Roman"/>
      <w:b/>
      <w:color w:val="C0504D"/>
      <w:spacing w:val="5"/>
      <w:sz w:val="28"/>
      <w:szCs w:val="28"/>
      <w:lang w:val="en-US" w:eastAsia="en-US"/>
    </w:rPr>
  </w:style>
  <w:style w:type="character" w:customStyle="1" w:styleId="CharChar14">
    <w:name w:val="Char Char14"/>
    <w:basedOn w:val="DefaultParagraphFont"/>
    <w:uiPriority w:val="99"/>
    <w:rsid w:val="006A4E0A"/>
    <w:rPr>
      <w:rFonts w:ascii="Cambria" w:hAnsi="Cambria" w:cs="Times New Roman"/>
      <w:b/>
      <w:i/>
      <w:color w:val="C0504D"/>
      <w:spacing w:val="5"/>
      <w:sz w:val="24"/>
      <w:szCs w:val="24"/>
      <w:lang w:val="en-US" w:eastAsia="en-US"/>
    </w:rPr>
  </w:style>
  <w:style w:type="character" w:customStyle="1" w:styleId="CharChar3">
    <w:name w:val="Char Char3"/>
    <w:basedOn w:val="DefaultParagraphFont"/>
    <w:uiPriority w:val="99"/>
    <w:rsid w:val="006A4E0A"/>
    <w:rPr>
      <w:rFonts w:ascii="Arial" w:hAnsi="Arial" w:cs="Times New Roman"/>
      <w:sz w:val="24"/>
      <w:szCs w:val="24"/>
      <w:lang w:val="en-US" w:eastAsia="en-US" w:bidi="ar-SA"/>
    </w:rPr>
  </w:style>
  <w:style w:type="paragraph" w:customStyle="1" w:styleId="Paraheading">
    <w:name w:val="Para heading"/>
    <w:basedOn w:val="ListNumber"/>
    <w:link w:val="ParaheadingChar"/>
    <w:uiPriority w:val="99"/>
    <w:rsid w:val="006A4E0A"/>
    <w:pPr>
      <w:tabs>
        <w:tab w:val="clear" w:pos="360"/>
      </w:tabs>
      <w:spacing w:after="200" w:line="276" w:lineRule="auto"/>
      <w:jc w:val="both"/>
    </w:pPr>
    <w:rPr>
      <w:b/>
      <w:lang w:val="en-AU"/>
    </w:rPr>
  </w:style>
  <w:style w:type="character" w:customStyle="1" w:styleId="ListNumberChar">
    <w:name w:val="List Number Char"/>
    <w:basedOn w:val="DefaultParagraphFont"/>
    <w:link w:val="ListNumber"/>
    <w:uiPriority w:val="99"/>
    <w:locked/>
    <w:rsid w:val="006A4E0A"/>
  </w:style>
  <w:style w:type="character" w:customStyle="1" w:styleId="ParaheadingChar">
    <w:name w:val="Para heading Char"/>
    <w:basedOn w:val="ListNumberChar"/>
    <w:link w:val="Paraheading"/>
    <w:uiPriority w:val="99"/>
    <w:locked/>
    <w:rsid w:val="006A4E0A"/>
    <w:rPr>
      <w:b/>
      <w:lang w:val="en-AU"/>
    </w:rPr>
  </w:style>
  <w:style w:type="paragraph" w:styleId="ListNumber2">
    <w:name w:val="List Number 2"/>
    <w:basedOn w:val="Normal"/>
    <w:uiPriority w:val="99"/>
    <w:rsid w:val="006A4E0A"/>
    <w:pPr>
      <w:numPr>
        <w:numId w:val="29"/>
      </w:numPr>
      <w:spacing w:after="200" w:line="276" w:lineRule="auto"/>
      <w:jc w:val="both"/>
    </w:pPr>
    <w:rPr>
      <w:rFonts w:cs="Times New Roman"/>
      <w:szCs w:val="20"/>
    </w:rPr>
  </w:style>
  <w:style w:type="numbering" w:styleId="111111">
    <w:name w:val="Outline List 2"/>
    <w:basedOn w:val="NoList"/>
    <w:uiPriority w:val="99"/>
    <w:unhideWhenUsed/>
    <w:rsid w:val="006A4E0A"/>
    <w:pPr>
      <w:numPr>
        <w:numId w:val="21"/>
      </w:numPr>
    </w:pPr>
  </w:style>
  <w:style w:type="character" w:customStyle="1" w:styleId="apple-style-span">
    <w:name w:val="apple-style-span"/>
    <w:basedOn w:val="DefaultParagraphFont"/>
    <w:rsid w:val="006A4E0A"/>
  </w:style>
  <w:style w:type="table" w:styleId="MediumGrid3-Accent1">
    <w:name w:val="Medium Grid 3 Accent 1"/>
    <w:basedOn w:val="TableNormal"/>
    <w:uiPriority w:val="69"/>
    <w:rsid w:val="006A4E0A"/>
    <w:rPr>
      <w:rFonts w:cs="Times New Roman"/>
      <w:sz w:val="20"/>
      <w:szCs w:val="20"/>
      <w:lang w:val="en-AU"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Shading1-Accent11">
    <w:name w:val="Medium Shading 1 - Accent 11"/>
    <w:basedOn w:val="TableNormal"/>
    <w:uiPriority w:val="63"/>
    <w:rsid w:val="006A4E0A"/>
    <w:rPr>
      <w:rFonts w:cs="Times New Roman"/>
      <w:sz w:val="20"/>
      <w:szCs w:val="20"/>
      <w:lang w:val="en-AU"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xl63">
    <w:name w:val="xl63"/>
    <w:basedOn w:val="Normal"/>
    <w:rsid w:val="006A4E0A"/>
    <w:pPr>
      <w:spacing w:before="100" w:beforeAutospacing="1" w:after="100" w:afterAutospacing="1"/>
    </w:pPr>
    <w:rPr>
      <w:rFonts w:ascii="Times New Roman" w:hAnsi="Times New Roman" w:cs="Times New Roman"/>
      <w:sz w:val="20"/>
      <w:szCs w:val="20"/>
      <w:lang w:val="en-AU" w:eastAsia="en-AU"/>
    </w:rPr>
  </w:style>
  <w:style w:type="paragraph" w:customStyle="1" w:styleId="xl64">
    <w:name w:val="xl64"/>
    <w:basedOn w:val="Normal"/>
    <w:rsid w:val="006A4E0A"/>
    <w:pPr>
      <w:spacing w:before="100" w:beforeAutospacing="1" w:after="100" w:afterAutospacing="1"/>
    </w:pPr>
    <w:rPr>
      <w:rFonts w:ascii="Times New Roman" w:hAnsi="Times New Roman" w:cs="Times New Roman"/>
      <w:sz w:val="20"/>
      <w:szCs w:val="20"/>
      <w:lang w:val="en-AU" w:eastAsia="en-AU"/>
    </w:rPr>
  </w:style>
  <w:style w:type="paragraph" w:customStyle="1" w:styleId="xl65">
    <w:name w:val="xl65"/>
    <w:basedOn w:val="Normal"/>
    <w:rsid w:val="006A4E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s="Times New Roman"/>
      <w:sz w:val="18"/>
      <w:szCs w:val="18"/>
      <w:lang w:val="en-AU" w:eastAsia="en-AU"/>
    </w:rPr>
  </w:style>
  <w:style w:type="table" w:customStyle="1" w:styleId="MediumShading2-Accent11">
    <w:name w:val="Medium Shading 2 - Accent 11"/>
    <w:basedOn w:val="TableNormal"/>
    <w:uiPriority w:val="64"/>
    <w:rsid w:val="006A4E0A"/>
    <w:rPr>
      <w:rFonts w:cs="Times New Roman"/>
      <w:sz w:val="20"/>
      <w:szCs w:val="20"/>
      <w:lang w:val="en-AU"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1-Accent1">
    <w:name w:val="Medium Grid 1 Accent 1"/>
    <w:basedOn w:val="TableNormal"/>
    <w:uiPriority w:val="67"/>
    <w:rsid w:val="006A4E0A"/>
    <w:rPr>
      <w:rFonts w:cs="Times New Roman"/>
      <w:sz w:val="20"/>
      <w:szCs w:val="20"/>
      <w:lang w:val="en-AU"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styleId="ListBullet3">
    <w:name w:val="List Bullet 3"/>
    <w:basedOn w:val="Normal"/>
    <w:uiPriority w:val="99"/>
    <w:unhideWhenUsed/>
    <w:rsid w:val="006A4E0A"/>
    <w:pPr>
      <w:numPr>
        <w:numId w:val="31"/>
      </w:numPr>
      <w:spacing w:after="200" w:line="276" w:lineRule="auto"/>
      <w:contextualSpacing/>
      <w:jc w:val="both"/>
    </w:pPr>
    <w:rPr>
      <w:rFonts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569468">
      <w:bodyDiv w:val="1"/>
      <w:marLeft w:val="0"/>
      <w:marRight w:val="0"/>
      <w:marTop w:val="0"/>
      <w:marBottom w:val="0"/>
      <w:divBdr>
        <w:top w:val="none" w:sz="0" w:space="0" w:color="auto"/>
        <w:left w:val="none" w:sz="0" w:space="0" w:color="auto"/>
        <w:bottom w:val="none" w:sz="0" w:space="0" w:color="auto"/>
        <w:right w:val="none" w:sz="0" w:space="0" w:color="auto"/>
      </w:divBdr>
    </w:div>
    <w:div w:id="101994056">
      <w:bodyDiv w:val="1"/>
      <w:marLeft w:val="0"/>
      <w:marRight w:val="0"/>
      <w:marTop w:val="0"/>
      <w:marBottom w:val="0"/>
      <w:divBdr>
        <w:top w:val="none" w:sz="0" w:space="0" w:color="auto"/>
        <w:left w:val="none" w:sz="0" w:space="0" w:color="auto"/>
        <w:bottom w:val="none" w:sz="0" w:space="0" w:color="auto"/>
        <w:right w:val="none" w:sz="0" w:space="0" w:color="auto"/>
      </w:divBdr>
    </w:div>
    <w:div w:id="127600158">
      <w:bodyDiv w:val="1"/>
      <w:marLeft w:val="0"/>
      <w:marRight w:val="0"/>
      <w:marTop w:val="0"/>
      <w:marBottom w:val="0"/>
      <w:divBdr>
        <w:top w:val="none" w:sz="0" w:space="0" w:color="auto"/>
        <w:left w:val="none" w:sz="0" w:space="0" w:color="auto"/>
        <w:bottom w:val="none" w:sz="0" w:space="0" w:color="auto"/>
        <w:right w:val="none" w:sz="0" w:space="0" w:color="auto"/>
      </w:divBdr>
    </w:div>
    <w:div w:id="202330612">
      <w:bodyDiv w:val="1"/>
      <w:marLeft w:val="0"/>
      <w:marRight w:val="0"/>
      <w:marTop w:val="0"/>
      <w:marBottom w:val="0"/>
      <w:divBdr>
        <w:top w:val="none" w:sz="0" w:space="0" w:color="auto"/>
        <w:left w:val="none" w:sz="0" w:space="0" w:color="auto"/>
        <w:bottom w:val="none" w:sz="0" w:space="0" w:color="auto"/>
        <w:right w:val="none" w:sz="0" w:space="0" w:color="auto"/>
      </w:divBdr>
    </w:div>
    <w:div w:id="212159533">
      <w:bodyDiv w:val="1"/>
      <w:marLeft w:val="0"/>
      <w:marRight w:val="0"/>
      <w:marTop w:val="0"/>
      <w:marBottom w:val="0"/>
      <w:divBdr>
        <w:top w:val="none" w:sz="0" w:space="0" w:color="auto"/>
        <w:left w:val="none" w:sz="0" w:space="0" w:color="auto"/>
        <w:bottom w:val="none" w:sz="0" w:space="0" w:color="auto"/>
        <w:right w:val="none" w:sz="0" w:space="0" w:color="auto"/>
      </w:divBdr>
    </w:div>
    <w:div w:id="272707289">
      <w:bodyDiv w:val="1"/>
      <w:marLeft w:val="0"/>
      <w:marRight w:val="0"/>
      <w:marTop w:val="0"/>
      <w:marBottom w:val="0"/>
      <w:divBdr>
        <w:top w:val="none" w:sz="0" w:space="0" w:color="auto"/>
        <w:left w:val="none" w:sz="0" w:space="0" w:color="auto"/>
        <w:bottom w:val="none" w:sz="0" w:space="0" w:color="auto"/>
        <w:right w:val="none" w:sz="0" w:space="0" w:color="auto"/>
      </w:divBdr>
    </w:div>
    <w:div w:id="273559163">
      <w:bodyDiv w:val="1"/>
      <w:marLeft w:val="0"/>
      <w:marRight w:val="0"/>
      <w:marTop w:val="0"/>
      <w:marBottom w:val="0"/>
      <w:divBdr>
        <w:top w:val="none" w:sz="0" w:space="0" w:color="auto"/>
        <w:left w:val="none" w:sz="0" w:space="0" w:color="auto"/>
        <w:bottom w:val="none" w:sz="0" w:space="0" w:color="auto"/>
        <w:right w:val="none" w:sz="0" w:space="0" w:color="auto"/>
      </w:divBdr>
    </w:div>
    <w:div w:id="365179818">
      <w:bodyDiv w:val="1"/>
      <w:marLeft w:val="0"/>
      <w:marRight w:val="0"/>
      <w:marTop w:val="0"/>
      <w:marBottom w:val="0"/>
      <w:divBdr>
        <w:top w:val="none" w:sz="0" w:space="0" w:color="auto"/>
        <w:left w:val="none" w:sz="0" w:space="0" w:color="auto"/>
        <w:bottom w:val="none" w:sz="0" w:space="0" w:color="auto"/>
        <w:right w:val="none" w:sz="0" w:space="0" w:color="auto"/>
      </w:divBdr>
    </w:div>
    <w:div w:id="419641846">
      <w:bodyDiv w:val="1"/>
      <w:marLeft w:val="0"/>
      <w:marRight w:val="0"/>
      <w:marTop w:val="0"/>
      <w:marBottom w:val="0"/>
      <w:divBdr>
        <w:top w:val="none" w:sz="0" w:space="0" w:color="auto"/>
        <w:left w:val="none" w:sz="0" w:space="0" w:color="auto"/>
        <w:bottom w:val="none" w:sz="0" w:space="0" w:color="auto"/>
        <w:right w:val="none" w:sz="0" w:space="0" w:color="auto"/>
      </w:divBdr>
    </w:div>
    <w:div w:id="480193744">
      <w:bodyDiv w:val="1"/>
      <w:marLeft w:val="0"/>
      <w:marRight w:val="0"/>
      <w:marTop w:val="0"/>
      <w:marBottom w:val="0"/>
      <w:divBdr>
        <w:top w:val="none" w:sz="0" w:space="0" w:color="auto"/>
        <w:left w:val="none" w:sz="0" w:space="0" w:color="auto"/>
        <w:bottom w:val="none" w:sz="0" w:space="0" w:color="auto"/>
        <w:right w:val="none" w:sz="0" w:space="0" w:color="auto"/>
      </w:divBdr>
    </w:div>
    <w:div w:id="530652521">
      <w:bodyDiv w:val="1"/>
      <w:marLeft w:val="0"/>
      <w:marRight w:val="0"/>
      <w:marTop w:val="0"/>
      <w:marBottom w:val="0"/>
      <w:divBdr>
        <w:top w:val="none" w:sz="0" w:space="0" w:color="auto"/>
        <w:left w:val="none" w:sz="0" w:space="0" w:color="auto"/>
        <w:bottom w:val="none" w:sz="0" w:space="0" w:color="auto"/>
        <w:right w:val="none" w:sz="0" w:space="0" w:color="auto"/>
      </w:divBdr>
    </w:div>
    <w:div w:id="596863638">
      <w:bodyDiv w:val="1"/>
      <w:marLeft w:val="0"/>
      <w:marRight w:val="0"/>
      <w:marTop w:val="0"/>
      <w:marBottom w:val="0"/>
      <w:divBdr>
        <w:top w:val="none" w:sz="0" w:space="0" w:color="auto"/>
        <w:left w:val="none" w:sz="0" w:space="0" w:color="auto"/>
        <w:bottom w:val="none" w:sz="0" w:space="0" w:color="auto"/>
        <w:right w:val="none" w:sz="0" w:space="0" w:color="auto"/>
      </w:divBdr>
    </w:div>
    <w:div w:id="677659047">
      <w:bodyDiv w:val="1"/>
      <w:marLeft w:val="0"/>
      <w:marRight w:val="0"/>
      <w:marTop w:val="0"/>
      <w:marBottom w:val="0"/>
      <w:divBdr>
        <w:top w:val="none" w:sz="0" w:space="0" w:color="auto"/>
        <w:left w:val="none" w:sz="0" w:space="0" w:color="auto"/>
        <w:bottom w:val="none" w:sz="0" w:space="0" w:color="auto"/>
        <w:right w:val="none" w:sz="0" w:space="0" w:color="auto"/>
      </w:divBdr>
    </w:div>
    <w:div w:id="711151268">
      <w:bodyDiv w:val="1"/>
      <w:marLeft w:val="0"/>
      <w:marRight w:val="0"/>
      <w:marTop w:val="0"/>
      <w:marBottom w:val="0"/>
      <w:divBdr>
        <w:top w:val="none" w:sz="0" w:space="0" w:color="auto"/>
        <w:left w:val="none" w:sz="0" w:space="0" w:color="auto"/>
        <w:bottom w:val="none" w:sz="0" w:space="0" w:color="auto"/>
        <w:right w:val="none" w:sz="0" w:space="0" w:color="auto"/>
      </w:divBdr>
    </w:div>
    <w:div w:id="770661877">
      <w:bodyDiv w:val="1"/>
      <w:marLeft w:val="0"/>
      <w:marRight w:val="0"/>
      <w:marTop w:val="0"/>
      <w:marBottom w:val="0"/>
      <w:divBdr>
        <w:top w:val="none" w:sz="0" w:space="0" w:color="auto"/>
        <w:left w:val="none" w:sz="0" w:space="0" w:color="auto"/>
        <w:bottom w:val="none" w:sz="0" w:space="0" w:color="auto"/>
        <w:right w:val="none" w:sz="0" w:space="0" w:color="auto"/>
      </w:divBdr>
    </w:div>
    <w:div w:id="966007931">
      <w:bodyDiv w:val="1"/>
      <w:marLeft w:val="0"/>
      <w:marRight w:val="0"/>
      <w:marTop w:val="0"/>
      <w:marBottom w:val="0"/>
      <w:divBdr>
        <w:top w:val="none" w:sz="0" w:space="0" w:color="auto"/>
        <w:left w:val="none" w:sz="0" w:space="0" w:color="auto"/>
        <w:bottom w:val="none" w:sz="0" w:space="0" w:color="auto"/>
        <w:right w:val="none" w:sz="0" w:space="0" w:color="auto"/>
      </w:divBdr>
    </w:div>
    <w:div w:id="974290774">
      <w:bodyDiv w:val="1"/>
      <w:marLeft w:val="0"/>
      <w:marRight w:val="0"/>
      <w:marTop w:val="0"/>
      <w:marBottom w:val="0"/>
      <w:divBdr>
        <w:top w:val="none" w:sz="0" w:space="0" w:color="auto"/>
        <w:left w:val="none" w:sz="0" w:space="0" w:color="auto"/>
        <w:bottom w:val="none" w:sz="0" w:space="0" w:color="auto"/>
        <w:right w:val="none" w:sz="0" w:space="0" w:color="auto"/>
      </w:divBdr>
    </w:div>
    <w:div w:id="1021205843">
      <w:bodyDiv w:val="1"/>
      <w:marLeft w:val="0"/>
      <w:marRight w:val="0"/>
      <w:marTop w:val="0"/>
      <w:marBottom w:val="0"/>
      <w:divBdr>
        <w:top w:val="none" w:sz="0" w:space="0" w:color="auto"/>
        <w:left w:val="none" w:sz="0" w:space="0" w:color="auto"/>
        <w:bottom w:val="none" w:sz="0" w:space="0" w:color="auto"/>
        <w:right w:val="none" w:sz="0" w:space="0" w:color="auto"/>
      </w:divBdr>
    </w:div>
    <w:div w:id="1082022695">
      <w:bodyDiv w:val="1"/>
      <w:marLeft w:val="0"/>
      <w:marRight w:val="0"/>
      <w:marTop w:val="0"/>
      <w:marBottom w:val="0"/>
      <w:divBdr>
        <w:top w:val="none" w:sz="0" w:space="0" w:color="auto"/>
        <w:left w:val="none" w:sz="0" w:space="0" w:color="auto"/>
        <w:bottom w:val="none" w:sz="0" w:space="0" w:color="auto"/>
        <w:right w:val="none" w:sz="0" w:space="0" w:color="auto"/>
      </w:divBdr>
      <w:divsChild>
        <w:div w:id="1396321892">
          <w:marLeft w:val="0"/>
          <w:marRight w:val="0"/>
          <w:marTop w:val="0"/>
          <w:marBottom w:val="0"/>
          <w:divBdr>
            <w:top w:val="none" w:sz="0" w:space="0" w:color="auto"/>
            <w:left w:val="none" w:sz="0" w:space="0" w:color="auto"/>
            <w:bottom w:val="none" w:sz="0" w:space="0" w:color="auto"/>
            <w:right w:val="none" w:sz="0" w:space="0" w:color="auto"/>
          </w:divBdr>
        </w:div>
      </w:divsChild>
    </w:div>
    <w:div w:id="1104881385">
      <w:bodyDiv w:val="1"/>
      <w:marLeft w:val="0"/>
      <w:marRight w:val="0"/>
      <w:marTop w:val="0"/>
      <w:marBottom w:val="0"/>
      <w:divBdr>
        <w:top w:val="none" w:sz="0" w:space="0" w:color="auto"/>
        <w:left w:val="none" w:sz="0" w:space="0" w:color="auto"/>
        <w:bottom w:val="none" w:sz="0" w:space="0" w:color="auto"/>
        <w:right w:val="none" w:sz="0" w:space="0" w:color="auto"/>
      </w:divBdr>
      <w:divsChild>
        <w:div w:id="771323012">
          <w:marLeft w:val="1166"/>
          <w:marRight w:val="0"/>
          <w:marTop w:val="82"/>
          <w:marBottom w:val="0"/>
          <w:divBdr>
            <w:top w:val="none" w:sz="0" w:space="0" w:color="auto"/>
            <w:left w:val="none" w:sz="0" w:space="0" w:color="auto"/>
            <w:bottom w:val="none" w:sz="0" w:space="0" w:color="auto"/>
            <w:right w:val="none" w:sz="0" w:space="0" w:color="auto"/>
          </w:divBdr>
        </w:div>
        <w:div w:id="1238857709">
          <w:marLeft w:val="547"/>
          <w:marRight w:val="0"/>
          <w:marTop w:val="96"/>
          <w:marBottom w:val="0"/>
          <w:divBdr>
            <w:top w:val="none" w:sz="0" w:space="0" w:color="auto"/>
            <w:left w:val="none" w:sz="0" w:space="0" w:color="auto"/>
            <w:bottom w:val="none" w:sz="0" w:space="0" w:color="auto"/>
            <w:right w:val="none" w:sz="0" w:space="0" w:color="auto"/>
          </w:divBdr>
        </w:div>
        <w:div w:id="1319455080">
          <w:marLeft w:val="1166"/>
          <w:marRight w:val="0"/>
          <w:marTop w:val="82"/>
          <w:marBottom w:val="0"/>
          <w:divBdr>
            <w:top w:val="none" w:sz="0" w:space="0" w:color="auto"/>
            <w:left w:val="none" w:sz="0" w:space="0" w:color="auto"/>
            <w:bottom w:val="none" w:sz="0" w:space="0" w:color="auto"/>
            <w:right w:val="none" w:sz="0" w:space="0" w:color="auto"/>
          </w:divBdr>
        </w:div>
        <w:div w:id="1865361936">
          <w:marLeft w:val="1166"/>
          <w:marRight w:val="0"/>
          <w:marTop w:val="82"/>
          <w:marBottom w:val="0"/>
          <w:divBdr>
            <w:top w:val="none" w:sz="0" w:space="0" w:color="auto"/>
            <w:left w:val="none" w:sz="0" w:space="0" w:color="auto"/>
            <w:bottom w:val="none" w:sz="0" w:space="0" w:color="auto"/>
            <w:right w:val="none" w:sz="0" w:space="0" w:color="auto"/>
          </w:divBdr>
        </w:div>
        <w:div w:id="1942563266">
          <w:marLeft w:val="547"/>
          <w:marRight w:val="0"/>
          <w:marTop w:val="96"/>
          <w:marBottom w:val="0"/>
          <w:divBdr>
            <w:top w:val="none" w:sz="0" w:space="0" w:color="auto"/>
            <w:left w:val="none" w:sz="0" w:space="0" w:color="auto"/>
            <w:bottom w:val="none" w:sz="0" w:space="0" w:color="auto"/>
            <w:right w:val="none" w:sz="0" w:space="0" w:color="auto"/>
          </w:divBdr>
        </w:div>
      </w:divsChild>
    </w:div>
    <w:div w:id="1122383149">
      <w:bodyDiv w:val="1"/>
      <w:marLeft w:val="0"/>
      <w:marRight w:val="0"/>
      <w:marTop w:val="0"/>
      <w:marBottom w:val="0"/>
      <w:divBdr>
        <w:top w:val="none" w:sz="0" w:space="0" w:color="auto"/>
        <w:left w:val="none" w:sz="0" w:space="0" w:color="auto"/>
        <w:bottom w:val="none" w:sz="0" w:space="0" w:color="auto"/>
        <w:right w:val="none" w:sz="0" w:space="0" w:color="auto"/>
      </w:divBdr>
    </w:div>
    <w:div w:id="1144930899">
      <w:bodyDiv w:val="1"/>
      <w:marLeft w:val="0"/>
      <w:marRight w:val="0"/>
      <w:marTop w:val="0"/>
      <w:marBottom w:val="0"/>
      <w:divBdr>
        <w:top w:val="none" w:sz="0" w:space="0" w:color="auto"/>
        <w:left w:val="none" w:sz="0" w:space="0" w:color="auto"/>
        <w:bottom w:val="none" w:sz="0" w:space="0" w:color="auto"/>
        <w:right w:val="none" w:sz="0" w:space="0" w:color="auto"/>
      </w:divBdr>
    </w:div>
    <w:div w:id="1171532411">
      <w:bodyDiv w:val="1"/>
      <w:marLeft w:val="0"/>
      <w:marRight w:val="0"/>
      <w:marTop w:val="0"/>
      <w:marBottom w:val="0"/>
      <w:divBdr>
        <w:top w:val="none" w:sz="0" w:space="0" w:color="auto"/>
        <w:left w:val="none" w:sz="0" w:space="0" w:color="auto"/>
        <w:bottom w:val="none" w:sz="0" w:space="0" w:color="auto"/>
        <w:right w:val="none" w:sz="0" w:space="0" w:color="auto"/>
      </w:divBdr>
    </w:div>
    <w:div w:id="1178697452">
      <w:bodyDiv w:val="1"/>
      <w:marLeft w:val="0"/>
      <w:marRight w:val="0"/>
      <w:marTop w:val="0"/>
      <w:marBottom w:val="0"/>
      <w:divBdr>
        <w:top w:val="none" w:sz="0" w:space="0" w:color="auto"/>
        <w:left w:val="none" w:sz="0" w:space="0" w:color="auto"/>
        <w:bottom w:val="none" w:sz="0" w:space="0" w:color="auto"/>
        <w:right w:val="none" w:sz="0" w:space="0" w:color="auto"/>
      </w:divBdr>
    </w:div>
    <w:div w:id="1243031815">
      <w:bodyDiv w:val="1"/>
      <w:marLeft w:val="0"/>
      <w:marRight w:val="0"/>
      <w:marTop w:val="0"/>
      <w:marBottom w:val="0"/>
      <w:divBdr>
        <w:top w:val="none" w:sz="0" w:space="0" w:color="auto"/>
        <w:left w:val="none" w:sz="0" w:space="0" w:color="auto"/>
        <w:bottom w:val="none" w:sz="0" w:space="0" w:color="auto"/>
        <w:right w:val="none" w:sz="0" w:space="0" w:color="auto"/>
      </w:divBdr>
      <w:divsChild>
        <w:div w:id="248387332">
          <w:marLeft w:val="547"/>
          <w:marRight w:val="0"/>
          <w:marTop w:val="91"/>
          <w:marBottom w:val="0"/>
          <w:divBdr>
            <w:top w:val="none" w:sz="0" w:space="0" w:color="auto"/>
            <w:left w:val="none" w:sz="0" w:space="0" w:color="auto"/>
            <w:bottom w:val="none" w:sz="0" w:space="0" w:color="auto"/>
            <w:right w:val="none" w:sz="0" w:space="0" w:color="auto"/>
          </w:divBdr>
        </w:div>
        <w:div w:id="1494377238">
          <w:marLeft w:val="547"/>
          <w:marRight w:val="0"/>
          <w:marTop w:val="91"/>
          <w:marBottom w:val="0"/>
          <w:divBdr>
            <w:top w:val="none" w:sz="0" w:space="0" w:color="auto"/>
            <w:left w:val="none" w:sz="0" w:space="0" w:color="auto"/>
            <w:bottom w:val="none" w:sz="0" w:space="0" w:color="auto"/>
            <w:right w:val="none" w:sz="0" w:space="0" w:color="auto"/>
          </w:divBdr>
        </w:div>
        <w:div w:id="1549295372">
          <w:marLeft w:val="547"/>
          <w:marRight w:val="0"/>
          <w:marTop w:val="91"/>
          <w:marBottom w:val="0"/>
          <w:divBdr>
            <w:top w:val="none" w:sz="0" w:space="0" w:color="auto"/>
            <w:left w:val="none" w:sz="0" w:space="0" w:color="auto"/>
            <w:bottom w:val="none" w:sz="0" w:space="0" w:color="auto"/>
            <w:right w:val="none" w:sz="0" w:space="0" w:color="auto"/>
          </w:divBdr>
        </w:div>
        <w:div w:id="1694576635">
          <w:marLeft w:val="547"/>
          <w:marRight w:val="0"/>
          <w:marTop w:val="91"/>
          <w:marBottom w:val="0"/>
          <w:divBdr>
            <w:top w:val="none" w:sz="0" w:space="0" w:color="auto"/>
            <w:left w:val="none" w:sz="0" w:space="0" w:color="auto"/>
            <w:bottom w:val="none" w:sz="0" w:space="0" w:color="auto"/>
            <w:right w:val="none" w:sz="0" w:space="0" w:color="auto"/>
          </w:divBdr>
        </w:div>
      </w:divsChild>
    </w:div>
    <w:div w:id="1298339851">
      <w:bodyDiv w:val="1"/>
      <w:marLeft w:val="0"/>
      <w:marRight w:val="0"/>
      <w:marTop w:val="0"/>
      <w:marBottom w:val="0"/>
      <w:divBdr>
        <w:top w:val="none" w:sz="0" w:space="0" w:color="auto"/>
        <w:left w:val="none" w:sz="0" w:space="0" w:color="auto"/>
        <w:bottom w:val="none" w:sz="0" w:space="0" w:color="auto"/>
        <w:right w:val="none" w:sz="0" w:space="0" w:color="auto"/>
      </w:divBdr>
    </w:div>
    <w:div w:id="1330787993">
      <w:bodyDiv w:val="1"/>
      <w:marLeft w:val="0"/>
      <w:marRight w:val="0"/>
      <w:marTop w:val="0"/>
      <w:marBottom w:val="0"/>
      <w:divBdr>
        <w:top w:val="none" w:sz="0" w:space="0" w:color="auto"/>
        <w:left w:val="none" w:sz="0" w:space="0" w:color="auto"/>
        <w:bottom w:val="none" w:sz="0" w:space="0" w:color="auto"/>
        <w:right w:val="none" w:sz="0" w:space="0" w:color="auto"/>
      </w:divBdr>
      <w:divsChild>
        <w:div w:id="840507213">
          <w:marLeft w:val="1166"/>
          <w:marRight w:val="0"/>
          <w:marTop w:val="0"/>
          <w:marBottom w:val="0"/>
          <w:divBdr>
            <w:top w:val="none" w:sz="0" w:space="0" w:color="auto"/>
            <w:left w:val="none" w:sz="0" w:space="0" w:color="auto"/>
            <w:bottom w:val="none" w:sz="0" w:space="0" w:color="auto"/>
            <w:right w:val="none" w:sz="0" w:space="0" w:color="auto"/>
          </w:divBdr>
        </w:div>
        <w:div w:id="861866538">
          <w:marLeft w:val="547"/>
          <w:marRight w:val="0"/>
          <w:marTop w:val="0"/>
          <w:marBottom w:val="0"/>
          <w:divBdr>
            <w:top w:val="none" w:sz="0" w:space="0" w:color="auto"/>
            <w:left w:val="none" w:sz="0" w:space="0" w:color="auto"/>
            <w:bottom w:val="none" w:sz="0" w:space="0" w:color="auto"/>
            <w:right w:val="none" w:sz="0" w:space="0" w:color="auto"/>
          </w:divBdr>
        </w:div>
      </w:divsChild>
    </w:div>
    <w:div w:id="1342778815">
      <w:bodyDiv w:val="1"/>
      <w:marLeft w:val="0"/>
      <w:marRight w:val="0"/>
      <w:marTop w:val="0"/>
      <w:marBottom w:val="0"/>
      <w:divBdr>
        <w:top w:val="none" w:sz="0" w:space="0" w:color="auto"/>
        <w:left w:val="none" w:sz="0" w:space="0" w:color="auto"/>
        <w:bottom w:val="none" w:sz="0" w:space="0" w:color="auto"/>
        <w:right w:val="none" w:sz="0" w:space="0" w:color="auto"/>
      </w:divBdr>
    </w:div>
    <w:div w:id="1373001120">
      <w:bodyDiv w:val="1"/>
      <w:marLeft w:val="0"/>
      <w:marRight w:val="0"/>
      <w:marTop w:val="0"/>
      <w:marBottom w:val="0"/>
      <w:divBdr>
        <w:top w:val="none" w:sz="0" w:space="0" w:color="auto"/>
        <w:left w:val="none" w:sz="0" w:space="0" w:color="auto"/>
        <w:bottom w:val="none" w:sz="0" w:space="0" w:color="auto"/>
        <w:right w:val="none" w:sz="0" w:space="0" w:color="auto"/>
      </w:divBdr>
    </w:div>
    <w:div w:id="1386295351">
      <w:bodyDiv w:val="1"/>
      <w:marLeft w:val="0"/>
      <w:marRight w:val="0"/>
      <w:marTop w:val="0"/>
      <w:marBottom w:val="0"/>
      <w:divBdr>
        <w:top w:val="none" w:sz="0" w:space="0" w:color="auto"/>
        <w:left w:val="none" w:sz="0" w:space="0" w:color="auto"/>
        <w:bottom w:val="none" w:sz="0" w:space="0" w:color="auto"/>
        <w:right w:val="none" w:sz="0" w:space="0" w:color="auto"/>
      </w:divBdr>
    </w:div>
    <w:div w:id="1392583436">
      <w:bodyDiv w:val="1"/>
      <w:marLeft w:val="0"/>
      <w:marRight w:val="0"/>
      <w:marTop w:val="0"/>
      <w:marBottom w:val="0"/>
      <w:divBdr>
        <w:top w:val="none" w:sz="0" w:space="0" w:color="auto"/>
        <w:left w:val="none" w:sz="0" w:space="0" w:color="auto"/>
        <w:bottom w:val="none" w:sz="0" w:space="0" w:color="auto"/>
        <w:right w:val="none" w:sz="0" w:space="0" w:color="auto"/>
      </w:divBdr>
    </w:div>
    <w:div w:id="1393649599">
      <w:bodyDiv w:val="1"/>
      <w:marLeft w:val="0"/>
      <w:marRight w:val="0"/>
      <w:marTop w:val="0"/>
      <w:marBottom w:val="0"/>
      <w:divBdr>
        <w:top w:val="none" w:sz="0" w:space="0" w:color="auto"/>
        <w:left w:val="none" w:sz="0" w:space="0" w:color="auto"/>
        <w:bottom w:val="none" w:sz="0" w:space="0" w:color="auto"/>
        <w:right w:val="none" w:sz="0" w:space="0" w:color="auto"/>
      </w:divBdr>
    </w:div>
    <w:div w:id="1418358479">
      <w:bodyDiv w:val="1"/>
      <w:marLeft w:val="0"/>
      <w:marRight w:val="0"/>
      <w:marTop w:val="0"/>
      <w:marBottom w:val="0"/>
      <w:divBdr>
        <w:top w:val="none" w:sz="0" w:space="0" w:color="auto"/>
        <w:left w:val="none" w:sz="0" w:space="0" w:color="auto"/>
        <w:bottom w:val="none" w:sz="0" w:space="0" w:color="auto"/>
        <w:right w:val="none" w:sz="0" w:space="0" w:color="auto"/>
      </w:divBdr>
      <w:divsChild>
        <w:div w:id="908198694">
          <w:marLeft w:val="547"/>
          <w:marRight w:val="0"/>
          <w:marTop w:val="115"/>
          <w:marBottom w:val="0"/>
          <w:divBdr>
            <w:top w:val="none" w:sz="0" w:space="0" w:color="auto"/>
            <w:left w:val="none" w:sz="0" w:space="0" w:color="auto"/>
            <w:bottom w:val="none" w:sz="0" w:space="0" w:color="auto"/>
            <w:right w:val="none" w:sz="0" w:space="0" w:color="auto"/>
          </w:divBdr>
        </w:div>
      </w:divsChild>
    </w:div>
    <w:div w:id="1454446844">
      <w:bodyDiv w:val="1"/>
      <w:marLeft w:val="0"/>
      <w:marRight w:val="0"/>
      <w:marTop w:val="0"/>
      <w:marBottom w:val="0"/>
      <w:divBdr>
        <w:top w:val="none" w:sz="0" w:space="0" w:color="auto"/>
        <w:left w:val="none" w:sz="0" w:space="0" w:color="auto"/>
        <w:bottom w:val="none" w:sz="0" w:space="0" w:color="auto"/>
        <w:right w:val="none" w:sz="0" w:space="0" w:color="auto"/>
      </w:divBdr>
    </w:div>
    <w:div w:id="1458599035">
      <w:bodyDiv w:val="1"/>
      <w:marLeft w:val="0"/>
      <w:marRight w:val="0"/>
      <w:marTop w:val="0"/>
      <w:marBottom w:val="0"/>
      <w:divBdr>
        <w:top w:val="none" w:sz="0" w:space="0" w:color="auto"/>
        <w:left w:val="none" w:sz="0" w:space="0" w:color="auto"/>
        <w:bottom w:val="none" w:sz="0" w:space="0" w:color="auto"/>
        <w:right w:val="none" w:sz="0" w:space="0" w:color="auto"/>
      </w:divBdr>
    </w:div>
    <w:div w:id="1527519975">
      <w:bodyDiv w:val="1"/>
      <w:marLeft w:val="0"/>
      <w:marRight w:val="0"/>
      <w:marTop w:val="0"/>
      <w:marBottom w:val="0"/>
      <w:divBdr>
        <w:top w:val="none" w:sz="0" w:space="0" w:color="auto"/>
        <w:left w:val="none" w:sz="0" w:space="0" w:color="auto"/>
        <w:bottom w:val="none" w:sz="0" w:space="0" w:color="auto"/>
        <w:right w:val="none" w:sz="0" w:space="0" w:color="auto"/>
      </w:divBdr>
    </w:div>
    <w:div w:id="1597205688">
      <w:bodyDiv w:val="1"/>
      <w:marLeft w:val="0"/>
      <w:marRight w:val="0"/>
      <w:marTop w:val="0"/>
      <w:marBottom w:val="0"/>
      <w:divBdr>
        <w:top w:val="none" w:sz="0" w:space="0" w:color="auto"/>
        <w:left w:val="none" w:sz="0" w:space="0" w:color="auto"/>
        <w:bottom w:val="none" w:sz="0" w:space="0" w:color="auto"/>
        <w:right w:val="none" w:sz="0" w:space="0" w:color="auto"/>
      </w:divBdr>
    </w:div>
    <w:div w:id="1670407756">
      <w:bodyDiv w:val="1"/>
      <w:marLeft w:val="0"/>
      <w:marRight w:val="0"/>
      <w:marTop w:val="0"/>
      <w:marBottom w:val="0"/>
      <w:divBdr>
        <w:top w:val="none" w:sz="0" w:space="0" w:color="auto"/>
        <w:left w:val="none" w:sz="0" w:space="0" w:color="auto"/>
        <w:bottom w:val="none" w:sz="0" w:space="0" w:color="auto"/>
        <w:right w:val="none" w:sz="0" w:space="0" w:color="auto"/>
      </w:divBdr>
    </w:div>
    <w:div w:id="1687294333">
      <w:bodyDiv w:val="1"/>
      <w:marLeft w:val="0"/>
      <w:marRight w:val="0"/>
      <w:marTop w:val="0"/>
      <w:marBottom w:val="0"/>
      <w:divBdr>
        <w:top w:val="none" w:sz="0" w:space="0" w:color="auto"/>
        <w:left w:val="none" w:sz="0" w:space="0" w:color="auto"/>
        <w:bottom w:val="none" w:sz="0" w:space="0" w:color="auto"/>
        <w:right w:val="none" w:sz="0" w:space="0" w:color="auto"/>
      </w:divBdr>
    </w:div>
    <w:div w:id="1747847121">
      <w:bodyDiv w:val="1"/>
      <w:marLeft w:val="0"/>
      <w:marRight w:val="0"/>
      <w:marTop w:val="0"/>
      <w:marBottom w:val="0"/>
      <w:divBdr>
        <w:top w:val="none" w:sz="0" w:space="0" w:color="auto"/>
        <w:left w:val="none" w:sz="0" w:space="0" w:color="auto"/>
        <w:bottom w:val="none" w:sz="0" w:space="0" w:color="auto"/>
        <w:right w:val="none" w:sz="0" w:space="0" w:color="auto"/>
      </w:divBdr>
    </w:div>
    <w:div w:id="1842308884">
      <w:bodyDiv w:val="1"/>
      <w:marLeft w:val="0"/>
      <w:marRight w:val="0"/>
      <w:marTop w:val="0"/>
      <w:marBottom w:val="0"/>
      <w:divBdr>
        <w:top w:val="none" w:sz="0" w:space="0" w:color="auto"/>
        <w:left w:val="none" w:sz="0" w:space="0" w:color="auto"/>
        <w:bottom w:val="none" w:sz="0" w:space="0" w:color="auto"/>
        <w:right w:val="none" w:sz="0" w:space="0" w:color="auto"/>
      </w:divBdr>
    </w:div>
    <w:div w:id="1842357354">
      <w:bodyDiv w:val="1"/>
      <w:marLeft w:val="0"/>
      <w:marRight w:val="0"/>
      <w:marTop w:val="0"/>
      <w:marBottom w:val="0"/>
      <w:divBdr>
        <w:top w:val="none" w:sz="0" w:space="0" w:color="auto"/>
        <w:left w:val="none" w:sz="0" w:space="0" w:color="auto"/>
        <w:bottom w:val="none" w:sz="0" w:space="0" w:color="auto"/>
        <w:right w:val="none" w:sz="0" w:space="0" w:color="auto"/>
      </w:divBdr>
    </w:div>
    <w:div w:id="1848867773">
      <w:bodyDiv w:val="1"/>
      <w:marLeft w:val="0"/>
      <w:marRight w:val="0"/>
      <w:marTop w:val="0"/>
      <w:marBottom w:val="0"/>
      <w:divBdr>
        <w:top w:val="none" w:sz="0" w:space="0" w:color="auto"/>
        <w:left w:val="none" w:sz="0" w:space="0" w:color="auto"/>
        <w:bottom w:val="none" w:sz="0" w:space="0" w:color="auto"/>
        <w:right w:val="none" w:sz="0" w:space="0" w:color="auto"/>
      </w:divBdr>
    </w:div>
    <w:div w:id="1858738019">
      <w:bodyDiv w:val="1"/>
      <w:marLeft w:val="0"/>
      <w:marRight w:val="0"/>
      <w:marTop w:val="0"/>
      <w:marBottom w:val="0"/>
      <w:divBdr>
        <w:top w:val="none" w:sz="0" w:space="0" w:color="auto"/>
        <w:left w:val="none" w:sz="0" w:space="0" w:color="auto"/>
        <w:bottom w:val="none" w:sz="0" w:space="0" w:color="auto"/>
        <w:right w:val="none" w:sz="0" w:space="0" w:color="auto"/>
      </w:divBdr>
    </w:div>
    <w:div w:id="1934169440">
      <w:bodyDiv w:val="1"/>
      <w:marLeft w:val="0"/>
      <w:marRight w:val="0"/>
      <w:marTop w:val="0"/>
      <w:marBottom w:val="0"/>
      <w:divBdr>
        <w:top w:val="none" w:sz="0" w:space="0" w:color="auto"/>
        <w:left w:val="none" w:sz="0" w:space="0" w:color="auto"/>
        <w:bottom w:val="none" w:sz="0" w:space="0" w:color="auto"/>
        <w:right w:val="none" w:sz="0" w:space="0" w:color="auto"/>
      </w:divBdr>
    </w:div>
    <w:div w:id="1942906577">
      <w:bodyDiv w:val="1"/>
      <w:marLeft w:val="0"/>
      <w:marRight w:val="0"/>
      <w:marTop w:val="0"/>
      <w:marBottom w:val="0"/>
      <w:divBdr>
        <w:top w:val="none" w:sz="0" w:space="0" w:color="auto"/>
        <w:left w:val="none" w:sz="0" w:space="0" w:color="auto"/>
        <w:bottom w:val="none" w:sz="0" w:space="0" w:color="auto"/>
        <w:right w:val="none" w:sz="0" w:space="0" w:color="auto"/>
      </w:divBdr>
    </w:div>
    <w:div w:id="1978756348">
      <w:bodyDiv w:val="1"/>
      <w:marLeft w:val="0"/>
      <w:marRight w:val="0"/>
      <w:marTop w:val="0"/>
      <w:marBottom w:val="0"/>
      <w:divBdr>
        <w:top w:val="none" w:sz="0" w:space="0" w:color="auto"/>
        <w:left w:val="none" w:sz="0" w:space="0" w:color="auto"/>
        <w:bottom w:val="none" w:sz="0" w:space="0" w:color="auto"/>
        <w:right w:val="none" w:sz="0" w:space="0" w:color="auto"/>
      </w:divBdr>
      <w:divsChild>
        <w:div w:id="1760254185">
          <w:marLeft w:val="0"/>
          <w:marRight w:val="0"/>
          <w:marTop w:val="0"/>
          <w:marBottom w:val="0"/>
          <w:divBdr>
            <w:top w:val="none" w:sz="0" w:space="0" w:color="auto"/>
            <w:left w:val="none" w:sz="0" w:space="0" w:color="auto"/>
            <w:bottom w:val="none" w:sz="0" w:space="0" w:color="auto"/>
            <w:right w:val="none" w:sz="0" w:space="0" w:color="auto"/>
          </w:divBdr>
          <w:divsChild>
            <w:div w:id="2065173264">
              <w:marLeft w:val="0"/>
              <w:marRight w:val="0"/>
              <w:marTop w:val="0"/>
              <w:marBottom w:val="0"/>
              <w:divBdr>
                <w:top w:val="none" w:sz="0" w:space="0" w:color="auto"/>
                <w:left w:val="none" w:sz="0" w:space="0" w:color="auto"/>
                <w:bottom w:val="none" w:sz="0" w:space="0" w:color="auto"/>
                <w:right w:val="none" w:sz="0" w:space="0" w:color="auto"/>
              </w:divBdr>
              <w:divsChild>
                <w:div w:id="2026320122">
                  <w:marLeft w:val="0"/>
                  <w:marRight w:val="0"/>
                  <w:marTop w:val="0"/>
                  <w:marBottom w:val="0"/>
                  <w:divBdr>
                    <w:top w:val="none" w:sz="0" w:space="0" w:color="auto"/>
                    <w:left w:val="none" w:sz="0" w:space="0" w:color="auto"/>
                    <w:bottom w:val="none" w:sz="0" w:space="0" w:color="auto"/>
                    <w:right w:val="none" w:sz="0" w:space="0" w:color="auto"/>
                  </w:divBdr>
                  <w:divsChild>
                    <w:div w:id="1363095048">
                      <w:marLeft w:val="0"/>
                      <w:marRight w:val="0"/>
                      <w:marTop w:val="0"/>
                      <w:marBottom w:val="0"/>
                      <w:divBdr>
                        <w:top w:val="none" w:sz="0" w:space="0" w:color="auto"/>
                        <w:left w:val="none" w:sz="0" w:space="0" w:color="auto"/>
                        <w:bottom w:val="none" w:sz="0" w:space="0" w:color="auto"/>
                        <w:right w:val="none" w:sz="0" w:space="0" w:color="auto"/>
                      </w:divBdr>
                      <w:divsChild>
                        <w:div w:id="1667782254">
                          <w:marLeft w:val="0"/>
                          <w:marRight w:val="0"/>
                          <w:marTop w:val="0"/>
                          <w:marBottom w:val="0"/>
                          <w:divBdr>
                            <w:top w:val="none" w:sz="0" w:space="0" w:color="auto"/>
                            <w:left w:val="none" w:sz="0" w:space="0" w:color="auto"/>
                            <w:bottom w:val="none" w:sz="0" w:space="0" w:color="auto"/>
                            <w:right w:val="none" w:sz="0" w:space="0" w:color="auto"/>
                          </w:divBdr>
                          <w:divsChild>
                            <w:div w:id="7607316">
                              <w:marLeft w:val="0"/>
                              <w:marRight w:val="0"/>
                              <w:marTop w:val="0"/>
                              <w:marBottom w:val="0"/>
                              <w:divBdr>
                                <w:top w:val="none" w:sz="0" w:space="0" w:color="auto"/>
                                <w:left w:val="none" w:sz="0" w:space="0" w:color="auto"/>
                                <w:bottom w:val="none" w:sz="0" w:space="0" w:color="auto"/>
                                <w:right w:val="none" w:sz="0" w:space="0" w:color="auto"/>
                              </w:divBdr>
                              <w:divsChild>
                                <w:div w:id="293996338">
                                  <w:marLeft w:val="0"/>
                                  <w:marRight w:val="0"/>
                                  <w:marTop w:val="0"/>
                                  <w:marBottom w:val="0"/>
                                  <w:divBdr>
                                    <w:top w:val="none" w:sz="0" w:space="0" w:color="auto"/>
                                    <w:left w:val="none" w:sz="0" w:space="0" w:color="auto"/>
                                    <w:bottom w:val="none" w:sz="0" w:space="0" w:color="auto"/>
                                    <w:right w:val="none" w:sz="0" w:space="0" w:color="auto"/>
                                  </w:divBdr>
                                  <w:divsChild>
                                    <w:div w:id="212172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3141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footer" Target="footer2.xml"/><Relationship Id="rId42" Type="http://schemas.openxmlformats.org/officeDocument/2006/relationships/chart" Target="charts/chart3.xml"/><Relationship Id="rId47" Type="http://schemas.openxmlformats.org/officeDocument/2006/relationships/footer" Target="footer11.xml"/><Relationship Id="rId63" Type="http://schemas.openxmlformats.org/officeDocument/2006/relationships/image" Target="media/image28.emf"/><Relationship Id="rId68" Type="http://schemas.openxmlformats.org/officeDocument/2006/relationships/image" Target="media/image33.emf"/><Relationship Id="rId84" Type="http://schemas.openxmlformats.org/officeDocument/2006/relationships/image" Target="media/image49.emf"/><Relationship Id="rId89" Type="http://schemas.openxmlformats.org/officeDocument/2006/relationships/footer" Target="footer12.xml"/><Relationship Id="rId112" Type="http://schemas.microsoft.com/office/2011/relationships/commentsExtended" Target="commentsExtended.xml"/><Relationship Id="rId16" Type="http://schemas.openxmlformats.org/officeDocument/2006/relationships/image" Target="media/image8.jpeg"/><Relationship Id="rId107" Type="http://schemas.openxmlformats.org/officeDocument/2006/relationships/image" Target="media/image54.emf"/><Relationship Id="rId11" Type="http://schemas.openxmlformats.org/officeDocument/2006/relationships/image" Target="media/image3.emf"/><Relationship Id="rId32" Type="http://schemas.openxmlformats.org/officeDocument/2006/relationships/header" Target="header8.xml"/><Relationship Id="rId37" Type="http://schemas.openxmlformats.org/officeDocument/2006/relationships/chart" Target="charts/chart1.xml"/><Relationship Id="rId53" Type="http://schemas.openxmlformats.org/officeDocument/2006/relationships/image" Target="media/image18.emf"/><Relationship Id="rId58" Type="http://schemas.openxmlformats.org/officeDocument/2006/relationships/image" Target="media/image23.emf"/><Relationship Id="rId74" Type="http://schemas.openxmlformats.org/officeDocument/2006/relationships/image" Target="media/image39.gif"/><Relationship Id="rId79" Type="http://schemas.openxmlformats.org/officeDocument/2006/relationships/image" Target="media/image44.emf"/><Relationship Id="rId102" Type="http://schemas.openxmlformats.org/officeDocument/2006/relationships/image" Target="media/image53.png"/><Relationship Id="rId5" Type="http://schemas.openxmlformats.org/officeDocument/2006/relationships/settings" Target="settings.xml"/><Relationship Id="rId90" Type="http://schemas.openxmlformats.org/officeDocument/2006/relationships/header" Target="header13.xml"/><Relationship Id="rId95" Type="http://schemas.openxmlformats.org/officeDocument/2006/relationships/footer" Target="footer15.xml"/><Relationship Id="rId22" Type="http://schemas.openxmlformats.org/officeDocument/2006/relationships/header" Target="header3.xml"/><Relationship Id="rId27" Type="http://schemas.openxmlformats.org/officeDocument/2006/relationships/footer" Target="footer5.xml"/><Relationship Id="rId43" Type="http://schemas.openxmlformats.org/officeDocument/2006/relationships/image" Target="media/image12.gif"/><Relationship Id="rId48" Type="http://schemas.openxmlformats.org/officeDocument/2006/relationships/image" Target="media/image13.emf"/><Relationship Id="rId64" Type="http://schemas.openxmlformats.org/officeDocument/2006/relationships/image" Target="media/image29.emf"/><Relationship Id="rId69" Type="http://schemas.openxmlformats.org/officeDocument/2006/relationships/image" Target="media/image34.emf"/><Relationship Id="rId113" Type="http://schemas.openxmlformats.org/officeDocument/2006/relationships/customXml" Target="../customXml/item2.xml"/><Relationship Id="rId80" Type="http://schemas.openxmlformats.org/officeDocument/2006/relationships/image" Target="media/image45.emf"/><Relationship Id="rId85" Type="http://schemas.openxmlformats.org/officeDocument/2006/relationships/image" Target="media/image50.emf"/><Relationship Id="rId12" Type="http://schemas.openxmlformats.org/officeDocument/2006/relationships/image" Target="media/image4.png"/><Relationship Id="rId17" Type="http://schemas.openxmlformats.org/officeDocument/2006/relationships/image" Target="media/image5.emf"/><Relationship Id="rId33" Type="http://schemas.openxmlformats.org/officeDocument/2006/relationships/footer" Target="footer8.xml"/><Relationship Id="rId38" Type="http://schemas.openxmlformats.org/officeDocument/2006/relationships/image" Target="media/image9.jpeg"/><Relationship Id="rId59" Type="http://schemas.openxmlformats.org/officeDocument/2006/relationships/image" Target="media/image24.emf"/><Relationship Id="rId103" Type="http://schemas.openxmlformats.org/officeDocument/2006/relationships/header" Target="header19.xml"/><Relationship Id="rId108" Type="http://schemas.openxmlformats.org/officeDocument/2006/relationships/header" Target="header21.xml"/><Relationship Id="rId54" Type="http://schemas.openxmlformats.org/officeDocument/2006/relationships/image" Target="media/image19.emf"/><Relationship Id="rId70" Type="http://schemas.openxmlformats.org/officeDocument/2006/relationships/image" Target="media/image35.emf"/><Relationship Id="rId75" Type="http://schemas.openxmlformats.org/officeDocument/2006/relationships/image" Target="media/image40.emf"/><Relationship Id="rId91" Type="http://schemas.openxmlformats.org/officeDocument/2006/relationships/footer" Target="footer13.xml"/><Relationship Id="rId96"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hyperlink" Target="http://dds.bps.go.id/eng/download_file/Booklet_indikatorkunci.pdf" TargetMode="External"/><Relationship Id="rId49" Type="http://schemas.openxmlformats.org/officeDocument/2006/relationships/image" Target="media/image14.emf"/><Relationship Id="rId57" Type="http://schemas.openxmlformats.org/officeDocument/2006/relationships/image" Target="media/image22.emf"/><Relationship Id="rId106" Type="http://schemas.openxmlformats.org/officeDocument/2006/relationships/footer" Target="footer20.xml"/><Relationship Id="rId114" Type="http://schemas.openxmlformats.org/officeDocument/2006/relationships/customXml" Target="../customXml/item3.xml"/><Relationship Id="rId10" Type="http://schemas.openxmlformats.org/officeDocument/2006/relationships/image" Target="media/image2.png"/><Relationship Id="rId31" Type="http://schemas.openxmlformats.org/officeDocument/2006/relationships/footer" Target="footer7.xml"/><Relationship Id="rId44" Type="http://schemas.openxmlformats.org/officeDocument/2006/relationships/header" Target="header10.xml"/><Relationship Id="rId52" Type="http://schemas.openxmlformats.org/officeDocument/2006/relationships/image" Target="media/image17.emf"/><Relationship Id="rId60" Type="http://schemas.openxmlformats.org/officeDocument/2006/relationships/image" Target="media/image25.emf"/><Relationship Id="rId65" Type="http://schemas.openxmlformats.org/officeDocument/2006/relationships/image" Target="media/image30.emf"/><Relationship Id="rId73" Type="http://schemas.openxmlformats.org/officeDocument/2006/relationships/image" Target="media/image38.emf"/><Relationship Id="rId78" Type="http://schemas.openxmlformats.org/officeDocument/2006/relationships/image" Target="media/image43.emf"/><Relationship Id="rId81" Type="http://schemas.openxmlformats.org/officeDocument/2006/relationships/image" Target="media/image46.emf"/><Relationship Id="rId86" Type="http://schemas.openxmlformats.org/officeDocument/2006/relationships/image" Target="media/image51.emf"/><Relationship Id="rId94" Type="http://schemas.openxmlformats.org/officeDocument/2006/relationships/header" Target="header15.xml"/><Relationship Id="rId99" Type="http://schemas.openxmlformats.org/officeDocument/2006/relationships/footer" Target="footer17.xml"/><Relationship Id="rId101" Type="http://schemas.openxmlformats.org/officeDocument/2006/relationships/footer" Target="footer18.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header" Target="header1.xml"/><Relationship Id="rId39" Type="http://schemas.openxmlformats.org/officeDocument/2006/relationships/image" Target="media/image10.jpeg"/><Relationship Id="rId109" Type="http://schemas.openxmlformats.org/officeDocument/2006/relationships/footer" Target="footer21.xml"/><Relationship Id="rId34" Type="http://schemas.openxmlformats.org/officeDocument/2006/relationships/header" Target="header9.xml"/><Relationship Id="rId50" Type="http://schemas.openxmlformats.org/officeDocument/2006/relationships/image" Target="media/image15.emf"/><Relationship Id="rId55" Type="http://schemas.openxmlformats.org/officeDocument/2006/relationships/image" Target="media/image20.emf"/><Relationship Id="rId76" Type="http://schemas.openxmlformats.org/officeDocument/2006/relationships/image" Target="media/image41.emf"/><Relationship Id="rId97" Type="http://schemas.openxmlformats.org/officeDocument/2006/relationships/footer" Target="footer16.xml"/><Relationship Id="rId104" Type="http://schemas.openxmlformats.org/officeDocument/2006/relationships/footer" Target="footer19.xml"/><Relationship Id="rId7" Type="http://schemas.openxmlformats.org/officeDocument/2006/relationships/footnotes" Target="footnotes.xml"/><Relationship Id="rId71" Type="http://schemas.openxmlformats.org/officeDocument/2006/relationships/image" Target="media/image36.emf"/><Relationship Id="rId92" Type="http://schemas.openxmlformats.org/officeDocument/2006/relationships/header" Target="header14.xml"/><Relationship Id="rId2" Type="http://schemas.openxmlformats.org/officeDocument/2006/relationships/numbering" Target="numbering.xml"/><Relationship Id="rId29" Type="http://schemas.openxmlformats.org/officeDocument/2006/relationships/footer" Target="footer6.xml"/><Relationship Id="rId24" Type="http://schemas.openxmlformats.org/officeDocument/2006/relationships/header" Target="header4.xml"/><Relationship Id="rId40" Type="http://schemas.openxmlformats.org/officeDocument/2006/relationships/chart" Target="charts/chart2.xml"/><Relationship Id="rId45" Type="http://schemas.openxmlformats.org/officeDocument/2006/relationships/footer" Target="footer10.xml"/><Relationship Id="rId66" Type="http://schemas.openxmlformats.org/officeDocument/2006/relationships/image" Target="media/image31.emf"/><Relationship Id="rId87" Type="http://schemas.openxmlformats.org/officeDocument/2006/relationships/image" Target="media/image52.emf"/><Relationship Id="rId110" Type="http://schemas.openxmlformats.org/officeDocument/2006/relationships/fontTable" Target="fontTable.xml"/><Relationship Id="rId115" Type="http://schemas.openxmlformats.org/officeDocument/2006/relationships/customXml" Target="../customXml/item4.xml"/><Relationship Id="rId61" Type="http://schemas.openxmlformats.org/officeDocument/2006/relationships/image" Target="media/image26.emf"/><Relationship Id="rId82" Type="http://schemas.openxmlformats.org/officeDocument/2006/relationships/image" Target="media/image47.emf"/><Relationship Id="rId19" Type="http://schemas.openxmlformats.org/officeDocument/2006/relationships/header" Target="header2.xml"/><Relationship Id="rId14" Type="http://schemas.openxmlformats.org/officeDocument/2006/relationships/image" Target="media/image6.jpeg"/><Relationship Id="rId30" Type="http://schemas.openxmlformats.org/officeDocument/2006/relationships/header" Target="header7.xml"/><Relationship Id="rId35" Type="http://schemas.openxmlformats.org/officeDocument/2006/relationships/footer" Target="footer9.xml"/><Relationship Id="rId56" Type="http://schemas.openxmlformats.org/officeDocument/2006/relationships/image" Target="media/image21.emf"/><Relationship Id="rId77" Type="http://schemas.openxmlformats.org/officeDocument/2006/relationships/image" Target="media/image42.emf"/><Relationship Id="rId100" Type="http://schemas.openxmlformats.org/officeDocument/2006/relationships/header" Target="header18.xml"/><Relationship Id="rId105" Type="http://schemas.openxmlformats.org/officeDocument/2006/relationships/header" Target="header20.xml"/><Relationship Id="rId8" Type="http://schemas.openxmlformats.org/officeDocument/2006/relationships/endnotes" Target="endnotes.xml"/><Relationship Id="rId51" Type="http://schemas.openxmlformats.org/officeDocument/2006/relationships/image" Target="media/image16.emf"/><Relationship Id="rId72" Type="http://schemas.openxmlformats.org/officeDocument/2006/relationships/image" Target="media/image37.emf"/><Relationship Id="rId93" Type="http://schemas.openxmlformats.org/officeDocument/2006/relationships/footer" Target="footer14.xml"/><Relationship Id="rId98" Type="http://schemas.openxmlformats.org/officeDocument/2006/relationships/header" Target="header17.xml"/><Relationship Id="rId3" Type="http://schemas.openxmlformats.org/officeDocument/2006/relationships/styles" Target="styles.xml"/><Relationship Id="rId25" Type="http://schemas.openxmlformats.org/officeDocument/2006/relationships/footer" Target="footer4.xml"/><Relationship Id="rId46" Type="http://schemas.openxmlformats.org/officeDocument/2006/relationships/header" Target="header11.xml"/><Relationship Id="rId67" Type="http://schemas.openxmlformats.org/officeDocument/2006/relationships/image" Target="media/image32.emf"/><Relationship Id="rId20" Type="http://schemas.openxmlformats.org/officeDocument/2006/relationships/footer" Target="footer1.xml"/><Relationship Id="rId41" Type="http://schemas.openxmlformats.org/officeDocument/2006/relationships/image" Target="media/image11.gif"/><Relationship Id="rId62" Type="http://schemas.openxmlformats.org/officeDocument/2006/relationships/image" Target="media/image27.emf"/><Relationship Id="rId83" Type="http://schemas.openxmlformats.org/officeDocument/2006/relationships/image" Target="media/image48.gif"/><Relationship Id="rId88" Type="http://schemas.openxmlformats.org/officeDocument/2006/relationships/header" Target="header12.xml"/><Relationship Id="rId111" Type="http://schemas.openxmlformats.org/officeDocument/2006/relationships/theme" Target="theme/theme1.xml"/></Relationships>
</file>

<file path=word/_rels/footer7.xml.rels><?xml version="1.0" encoding="UTF-8" standalone="yes"?>
<Relationships xmlns="http://schemas.openxmlformats.org/package/2006/relationships"><Relationship Id="rId1" Type="http://schemas.openxmlformats.org/officeDocument/2006/relationships/image" Target="media/image7.jpeg"/></Relationships>
</file>

<file path=word/_rels/header10.xml.rels><?xml version="1.0" encoding="UTF-8" standalone="yes"?>
<Relationships xmlns="http://schemas.openxmlformats.org/package/2006/relationships"><Relationship Id="rId1" Type="http://schemas.openxmlformats.org/officeDocument/2006/relationships/image" Target="media/image6.emf"/></Relationships>
</file>

<file path=word/_rels/header1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7.jpeg"/></Relationships>
</file>

<file path=word/_rels/header12.xml.rels><?xml version="1.0" encoding="UTF-8" standalone="yes"?>
<Relationships xmlns="http://schemas.openxmlformats.org/package/2006/relationships"><Relationship Id="rId1" Type="http://schemas.openxmlformats.org/officeDocument/2006/relationships/image" Target="media/image6.emf"/></Relationships>
</file>

<file path=word/_rels/header13.xml.rels><?xml version="1.0" encoding="UTF-8" standalone="yes"?>
<Relationships xmlns="http://schemas.openxmlformats.org/package/2006/relationships"><Relationship Id="rId1" Type="http://schemas.openxmlformats.org/officeDocument/2006/relationships/image" Target="media/image6.emf"/></Relationships>
</file>

<file path=word/_rels/header14.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7.jpeg"/></Relationships>
</file>

<file path=word/_rels/header15.xml.rels><?xml version="1.0" encoding="UTF-8" standalone="yes"?>
<Relationships xmlns="http://schemas.openxmlformats.org/package/2006/relationships"><Relationship Id="rId1" Type="http://schemas.openxmlformats.org/officeDocument/2006/relationships/image" Target="media/image6.emf"/></Relationships>
</file>

<file path=word/_rels/header16.xml.rels><?xml version="1.0" encoding="UTF-8" standalone="yes"?>
<Relationships xmlns="http://schemas.openxmlformats.org/package/2006/relationships"><Relationship Id="rId1" Type="http://schemas.openxmlformats.org/officeDocument/2006/relationships/image" Target="media/image6.emf"/></Relationships>
</file>

<file path=word/_rels/header17.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7.jpeg"/></Relationships>
</file>

<file path=word/_rels/header18.xml.rels><?xml version="1.0" encoding="UTF-8" standalone="yes"?>
<Relationships xmlns="http://schemas.openxmlformats.org/package/2006/relationships"><Relationship Id="rId1" Type="http://schemas.openxmlformats.org/officeDocument/2006/relationships/image" Target="media/image6.emf"/></Relationships>
</file>

<file path=word/_rels/header19.xml.rels><?xml version="1.0" encoding="UTF-8" standalone="yes"?>
<Relationships xmlns="http://schemas.openxmlformats.org/package/2006/relationships"><Relationship Id="rId1" Type="http://schemas.openxmlformats.org/officeDocument/2006/relationships/image" Target="media/image6.emf"/></Relationships>
</file>

<file path=word/_rels/header20.xml.rels><?xml version="1.0" encoding="UTF-8" standalone="yes"?>
<Relationships xmlns="http://schemas.openxmlformats.org/package/2006/relationships"><Relationship Id="rId1" Type="http://schemas.openxmlformats.org/officeDocument/2006/relationships/image" Target="media/image6.emf"/></Relationships>
</file>

<file path=word/_rels/header21.xml.rels><?xml version="1.0" encoding="UTF-8" standalone="yes"?>
<Relationships xmlns="http://schemas.openxmlformats.org/package/2006/relationships"><Relationship Id="rId1" Type="http://schemas.openxmlformats.org/officeDocument/2006/relationships/image" Target="media/image6.emf"/></Relationships>
</file>

<file path=word/_rels/header4.xml.rels><?xml version="1.0" encoding="UTF-8" standalone="yes"?>
<Relationships xmlns="http://schemas.openxmlformats.org/package/2006/relationships"><Relationship Id="rId1" Type="http://schemas.openxmlformats.org/officeDocument/2006/relationships/image" Target="media/image6.emf"/></Relationships>
</file>

<file path=word/_rels/header5.xml.rels><?xml version="1.0" encoding="UTF-8" standalone="yes"?>
<Relationships xmlns="http://schemas.openxmlformats.org/package/2006/relationships"><Relationship Id="rId1" Type="http://schemas.openxmlformats.org/officeDocument/2006/relationships/image" Target="media/image6.emf"/></Relationships>
</file>

<file path=word/_rels/header6.xml.rels><?xml version="1.0" encoding="UTF-8" standalone="yes"?>
<Relationships xmlns="http://schemas.openxmlformats.org/package/2006/relationships"><Relationship Id="rId1" Type="http://schemas.openxmlformats.org/officeDocument/2006/relationships/image" Target="media/image6.emf"/></Relationships>
</file>

<file path=word/_rels/header7.xml.rels><?xml version="1.0" encoding="UTF-8" standalone="yes"?>
<Relationships xmlns="http://schemas.openxmlformats.org/package/2006/relationships"><Relationship Id="rId1" Type="http://schemas.openxmlformats.org/officeDocument/2006/relationships/image" Target="media/image6.emf"/></Relationships>
</file>

<file path=word/_rels/header8.xml.rels><?xml version="1.0" encoding="UTF-8" standalone="yes"?>
<Relationships xmlns="http://schemas.openxmlformats.org/package/2006/relationships"><Relationship Id="rId1" Type="http://schemas.openxmlformats.org/officeDocument/2006/relationships/image" Target="media/image6.emf"/></Relationships>
</file>

<file path=word/_rels/header9.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am%20Rorris\Active%20Files\CSAS\Financial%20Performance%20Report\FPR%202012\National%20finance%20data%20analysis%20201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am%20Rorris\Active%20Files\CSAS\Financial%20Performance%20Report\FPR%202012\National%20finance%20data%20analysis%202012.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604944659125002"/>
          <c:y val="4.8542631358072109E-2"/>
          <c:w val="0.63481849163105131"/>
          <c:h val="0.69532210912660308"/>
        </c:manualLayout>
      </c:layout>
      <c:lineChart>
        <c:grouping val="standard"/>
        <c:varyColors val="0"/>
        <c:ser>
          <c:idx val="0"/>
          <c:order val="0"/>
          <c:tx>
            <c:strRef>
              <c:f>'Share of public expenditure'!$A$7</c:f>
              <c:strCache>
                <c:ptCount val="1"/>
                <c:pt idx="0">
                  <c:v>Education Exp. As % of National Public Exp.
(% Total National Exp.) </c:v>
                </c:pt>
              </c:strCache>
            </c:strRef>
          </c:tx>
          <c:spPr>
            <a:ln w="12700">
              <a:solidFill>
                <a:srgbClr val="000080"/>
              </a:solidFill>
              <a:prstDash val="solid"/>
            </a:ln>
          </c:spPr>
          <c:marker>
            <c:symbol val="diamond"/>
            <c:size val="5"/>
            <c:spPr>
              <a:solidFill>
                <a:srgbClr val="C00000"/>
              </a:solidFill>
              <a:ln>
                <a:solidFill>
                  <a:srgbClr val="000080"/>
                </a:solidFill>
                <a:prstDash val="solid"/>
              </a:ln>
            </c:spPr>
          </c:marker>
          <c:cat>
            <c:numRef>
              <c:f>'Share of public expenditure'!$B$2:$M$2</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'Share of public expenditure'!$B$7:$M$7</c:f>
              <c:numCache>
                <c:formatCode>0.0%</c:formatCode>
                <c:ptCount val="12"/>
                <c:pt idx="0">
                  <c:v>0.11989795918367346</c:v>
                </c:pt>
                <c:pt idx="1">
                  <c:v>0.15780089153046062</c:v>
                </c:pt>
                <c:pt idx="2">
                  <c:v>0.15984213122841637</c:v>
                </c:pt>
                <c:pt idx="3">
                  <c:v>0.14170222322030093</c:v>
                </c:pt>
                <c:pt idx="4">
                  <c:v>0.13909786012276712</c:v>
                </c:pt>
                <c:pt idx="5">
                  <c:v>0.17592619081676439</c:v>
                </c:pt>
                <c:pt idx="6">
                  <c:v>0.18899521531100477</c:v>
                </c:pt>
                <c:pt idx="7">
                  <c:v>0.15563415866599292</c:v>
                </c:pt>
                <c:pt idx="8">
                  <c:v>0.1999903577282808</c:v>
                </c:pt>
                <c:pt idx="9">
                  <c:v>0.19996448232995914</c:v>
                </c:pt>
                <c:pt idx="10">
                  <c:v>0.2024126455906822</c:v>
                </c:pt>
                <c:pt idx="11">
                  <c:v>0.20204441311244273</c:v>
                </c:pt>
              </c:numCache>
            </c:numRef>
          </c:val>
          <c:smooth val="0"/>
        </c:ser>
        <c:dLbls>
          <c:showLegendKey val="0"/>
          <c:showVal val="0"/>
          <c:showCatName val="0"/>
          <c:showSerName val="0"/>
          <c:showPercent val="0"/>
          <c:showBubbleSize val="0"/>
        </c:dLbls>
        <c:marker val="1"/>
        <c:smooth val="0"/>
        <c:axId val="121975168"/>
        <c:axId val="121977088"/>
      </c:lineChart>
      <c:catAx>
        <c:axId val="12197516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75" b="0" i="0" u="none" strike="noStrike" baseline="0">
                <a:solidFill>
                  <a:srgbClr val="000000"/>
                </a:solidFill>
                <a:latin typeface="Arial Narrow"/>
                <a:ea typeface="Arial Narrow"/>
                <a:cs typeface="Arial Narrow"/>
              </a:defRPr>
            </a:pPr>
            <a:endParaRPr lang="en-US"/>
          </a:p>
        </c:txPr>
        <c:crossAx val="121977088"/>
        <c:crosses val="autoZero"/>
        <c:auto val="1"/>
        <c:lblAlgn val="ctr"/>
        <c:lblOffset val="100"/>
        <c:tickMarkSkip val="1"/>
        <c:noMultiLvlLbl val="0"/>
      </c:catAx>
      <c:valAx>
        <c:axId val="121977088"/>
        <c:scaling>
          <c:orientation val="minMax"/>
        </c:scaling>
        <c:delete val="0"/>
        <c:axPos val="l"/>
        <c:majorGridlines/>
        <c:title>
          <c:tx>
            <c:rich>
              <a:bodyPr/>
              <a:lstStyle/>
              <a:p>
                <a:pPr>
                  <a:defRPr sz="1000" b="1" i="0" u="none" strike="noStrike" baseline="0">
                    <a:solidFill>
                      <a:srgbClr val="000000"/>
                    </a:solidFill>
                    <a:latin typeface="Arial Narrow"/>
                    <a:ea typeface="Arial Narrow"/>
                    <a:cs typeface="Arial Narrow"/>
                  </a:defRPr>
                </a:pPr>
                <a:r>
                  <a:rPr lang="en-AU" sz="1000"/>
                  <a:t>National Public Education Expenditure as % of </a:t>
                </a:r>
              </a:p>
              <a:p>
                <a:pPr>
                  <a:defRPr sz="1000" b="1" i="0" u="none" strike="noStrike" baseline="0">
                    <a:solidFill>
                      <a:srgbClr val="000000"/>
                    </a:solidFill>
                    <a:latin typeface="Arial Narrow"/>
                    <a:ea typeface="Arial Narrow"/>
                    <a:cs typeface="Arial Narrow"/>
                  </a:defRPr>
                </a:pPr>
                <a:r>
                  <a:rPr lang="en-AU" sz="1000"/>
                  <a:t>National Public Expenditure </a:t>
                </a:r>
              </a:p>
            </c:rich>
          </c:tx>
          <c:layout>
            <c:manualLayout>
              <c:xMode val="edge"/>
              <c:yMode val="edge"/>
              <c:x val="0.20170363613084949"/>
              <c:y val="3.9403082744738215E-2"/>
            </c:manualLayout>
          </c:layout>
          <c:overlay val="0"/>
          <c:spPr>
            <a:noFill/>
            <a:ln w="25400">
              <a:noFill/>
            </a:ln>
          </c:spPr>
        </c:title>
        <c:numFmt formatCode="0.0%" sourceLinked="1"/>
        <c:majorTickMark val="out"/>
        <c:minorTickMark val="none"/>
        <c:tickLblPos val="nextTo"/>
        <c:spPr>
          <a:ln w="9525">
            <a:noFill/>
          </a:ln>
        </c:spPr>
        <c:txPr>
          <a:bodyPr rot="0" vert="horz"/>
          <a:lstStyle/>
          <a:p>
            <a:pPr>
              <a:defRPr sz="875" b="0" i="0" u="none" strike="noStrike" baseline="0">
                <a:solidFill>
                  <a:srgbClr val="000000"/>
                </a:solidFill>
                <a:latin typeface="Arial Narrow"/>
                <a:ea typeface="Arial Narrow"/>
                <a:cs typeface="Arial Narrow"/>
              </a:defRPr>
            </a:pPr>
            <a:endParaRPr lang="en-US"/>
          </a:p>
        </c:txPr>
        <c:crossAx val="121975168"/>
        <c:crosses val="autoZero"/>
        <c:crossBetween val="between"/>
      </c:valAx>
      <c:dTable>
        <c:showHorzBorder val="1"/>
        <c:showVertBorder val="1"/>
        <c:showOutline val="1"/>
        <c:showKeys val="1"/>
        <c:spPr>
          <a:ln w="3175">
            <a:solidFill>
              <a:schemeClr val="tx1"/>
            </a:solidFill>
            <a:prstDash val="solid"/>
          </a:ln>
        </c:spPr>
        <c:txPr>
          <a:bodyPr/>
          <a:lstStyle/>
          <a:p>
            <a:pPr rtl="0">
              <a:defRPr sz="800" b="0" i="0" u="none" strike="noStrike" baseline="0">
                <a:solidFill>
                  <a:srgbClr val="000000"/>
                </a:solidFill>
                <a:latin typeface="Arial Narrow"/>
                <a:ea typeface="Arial Narrow"/>
                <a:cs typeface="Arial Narrow"/>
              </a:defRPr>
            </a:pPr>
            <a:endParaRPr lang="en-US"/>
          </a:p>
        </c:txPr>
      </c:dTable>
      <c:spPr>
        <a:solidFill>
          <a:srgbClr val="FFFFFF"/>
        </a:solidFill>
        <a:ln w="25400">
          <a:noFill/>
        </a:ln>
      </c:spPr>
    </c:plotArea>
    <c:plotVisOnly val="1"/>
    <c:dispBlanksAs val="gap"/>
    <c:showDLblsOverMax val="0"/>
  </c:chart>
  <c:spPr>
    <a:solidFill>
      <a:srgbClr val="FFFFFF"/>
    </a:solidFill>
    <a:ln w="9525">
      <a:solidFill>
        <a:schemeClr val="accent1"/>
      </a:solidFill>
    </a:ln>
  </c:spPr>
  <c:txPr>
    <a:bodyPr/>
    <a:lstStyle/>
    <a:p>
      <a:pPr>
        <a:defRPr sz="115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957841483979765"/>
          <c:y val="2.0289855072463767E-2"/>
          <c:w val="0.74536256323777406"/>
          <c:h val="0.73623188405797102"/>
        </c:manualLayout>
      </c:layout>
      <c:lineChart>
        <c:grouping val="standard"/>
        <c:varyColors val="0"/>
        <c:ser>
          <c:idx val="0"/>
          <c:order val="0"/>
          <c:tx>
            <c:strRef>
              <c:f>'Share of public expenditure'!$A$8</c:f>
              <c:strCache>
                <c:ptCount val="1"/>
                <c:pt idx="0">
                  <c:v>National Education 
Exp. (% GDP)</c:v>
                </c:pt>
              </c:strCache>
            </c:strRef>
          </c:tx>
          <c:spPr>
            <a:ln w="12700">
              <a:solidFill>
                <a:srgbClr val="000080"/>
              </a:solidFill>
              <a:prstDash val="solid"/>
            </a:ln>
          </c:spPr>
          <c:marker>
            <c:symbol val="diamond"/>
            <c:size val="5"/>
            <c:spPr>
              <a:solidFill>
                <a:srgbClr val="C00000"/>
              </a:solidFill>
              <a:ln>
                <a:solidFill>
                  <a:srgbClr val="000080"/>
                </a:solidFill>
                <a:prstDash val="solid"/>
              </a:ln>
            </c:spPr>
          </c:marker>
          <c:cat>
            <c:numRef>
              <c:f>'Share of public expenditure'!$B$2:$M$2</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'Share of public expenditure'!$B$8:$M$8</c:f>
              <c:numCache>
                <c:formatCode>0.0%</c:formatCode>
                <c:ptCount val="12"/>
                <c:pt idx="0">
                  <c:v>2.5118764845605698E-2</c:v>
                </c:pt>
                <c:pt idx="1">
                  <c:v>2.7979766044894088E-2</c:v>
                </c:pt>
                <c:pt idx="2">
                  <c:v>3.2181168057210968E-2</c:v>
                </c:pt>
                <c:pt idx="3">
                  <c:v>2.7759447450618101E-2</c:v>
                </c:pt>
                <c:pt idx="4">
                  <c:v>2.8794373008022858E-2</c:v>
                </c:pt>
                <c:pt idx="5">
                  <c:v>3.6832175371346428E-2</c:v>
                </c:pt>
                <c:pt idx="6">
                  <c:v>3.6006380877623881E-2</c:v>
                </c:pt>
                <c:pt idx="7">
                  <c:v>3.1085991118288251E-2</c:v>
                </c:pt>
                <c:pt idx="8">
                  <c:v>3.6949086115366805E-2</c:v>
                </c:pt>
                <c:pt idx="9">
                  <c:v>3.4989204152528694E-2</c:v>
                </c:pt>
                <c:pt idx="10">
                  <c:v>3.2758473511684122E-2</c:v>
                </c:pt>
                <c:pt idx="11">
                  <c:v>3.4773535228527407E-2</c:v>
                </c:pt>
              </c:numCache>
            </c:numRef>
          </c:val>
          <c:smooth val="0"/>
        </c:ser>
        <c:dLbls>
          <c:showLegendKey val="0"/>
          <c:showVal val="0"/>
          <c:showCatName val="0"/>
          <c:showSerName val="0"/>
          <c:showPercent val="0"/>
          <c:showBubbleSize val="0"/>
        </c:dLbls>
        <c:marker val="1"/>
        <c:smooth val="0"/>
        <c:axId val="123439744"/>
        <c:axId val="123454208"/>
      </c:lineChart>
      <c:catAx>
        <c:axId val="12343974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25" b="0" i="0" u="none" strike="noStrike" baseline="0">
                <a:solidFill>
                  <a:srgbClr val="000000"/>
                </a:solidFill>
                <a:latin typeface="Arial Narrow"/>
                <a:ea typeface="Arial Narrow"/>
                <a:cs typeface="Arial Narrow"/>
              </a:defRPr>
            </a:pPr>
            <a:endParaRPr lang="en-US"/>
          </a:p>
        </c:txPr>
        <c:crossAx val="123454208"/>
        <c:crosses val="autoZero"/>
        <c:auto val="1"/>
        <c:lblAlgn val="ctr"/>
        <c:lblOffset val="100"/>
        <c:tickMarkSkip val="1"/>
        <c:noMultiLvlLbl val="0"/>
      </c:catAx>
      <c:valAx>
        <c:axId val="123454208"/>
        <c:scaling>
          <c:orientation val="minMax"/>
          <c:max val="0.05"/>
        </c:scaling>
        <c:delete val="0"/>
        <c:axPos val="l"/>
        <c:majorGridlines>
          <c:spPr>
            <a:ln w="3175">
              <a:solidFill>
                <a:srgbClr val="000000"/>
              </a:solidFill>
              <a:prstDash val="solid"/>
            </a:ln>
          </c:spPr>
        </c:majorGridlines>
        <c:title>
          <c:tx>
            <c:rich>
              <a:bodyPr/>
              <a:lstStyle/>
              <a:p>
                <a:pPr>
                  <a:defRPr sz="900" b="0" i="0" u="none" strike="noStrike" baseline="0">
                    <a:solidFill>
                      <a:srgbClr val="000000"/>
                    </a:solidFill>
                    <a:latin typeface="Arial" pitchFamily="34" charset="0"/>
                    <a:ea typeface="Calibri"/>
                    <a:cs typeface="Arial" pitchFamily="34" charset="0"/>
                  </a:defRPr>
                </a:pPr>
                <a:r>
                  <a:rPr lang="en-AU" sz="900" b="1" i="0" u="none" strike="noStrike" baseline="0">
                    <a:solidFill>
                      <a:srgbClr val="000000"/>
                    </a:solidFill>
                    <a:latin typeface="Arial" pitchFamily="34" charset="0"/>
                    <a:cs typeface="Arial" pitchFamily="34" charset="0"/>
                  </a:rPr>
                  <a:t>Education Expenditure as </a:t>
                </a:r>
              </a:p>
              <a:p>
                <a:pPr>
                  <a:defRPr sz="900" b="0" i="0" u="none" strike="noStrike" baseline="0">
                    <a:solidFill>
                      <a:srgbClr val="000000"/>
                    </a:solidFill>
                    <a:latin typeface="Arial" pitchFamily="34" charset="0"/>
                    <a:ea typeface="Calibri"/>
                    <a:cs typeface="Arial" pitchFamily="34" charset="0"/>
                  </a:defRPr>
                </a:pPr>
                <a:r>
                  <a:rPr lang="en-AU" sz="900" b="1" i="0" u="none" strike="noStrike" baseline="0">
                    <a:solidFill>
                      <a:srgbClr val="000000"/>
                    </a:solidFill>
                    <a:latin typeface="Arial" pitchFamily="34" charset="0"/>
                    <a:cs typeface="Arial" pitchFamily="34" charset="0"/>
                  </a:rPr>
                  <a:t>Percentage of GDP (%)</a:t>
                </a:r>
              </a:p>
            </c:rich>
          </c:tx>
          <c:layout>
            <c:manualLayout>
              <c:xMode val="edge"/>
              <c:yMode val="edge"/>
              <c:x val="0.108860998079938"/>
              <c:y val="0.2063549012895127"/>
            </c:manualLayout>
          </c:layout>
          <c:overlay val="0"/>
          <c:spPr>
            <a:noFill/>
            <a:ln w="25400">
              <a:noFill/>
            </a:ln>
          </c:spPr>
        </c:title>
        <c:numFmt formatCode="0.0%" sourceLinked="1"/>
        <c:majorTickMark val="out"/>
        <c:minorTickMark val="none"/>
        <c:tickLblPos val="nextTo"/>
        <c:spPr>
          <a:ln w="3175">
            <a:solidFill>
              <a:srgbClr val="FFFFFF"/>
            </a:solidFill>
            <a:prstDash val="solid"/>
          </a:ln>
        </c:spPr>
        <c:txPr>
          <a:bodyPr rot="0" vert="horz"/>
          <a:lstStyle/>
          <a:p>
            <a:pPr>
              <a:defRPr sz="875" b="0" i="0" u="none" strike="noStrike" baseline="0">
                <a:solidFill>
                  <a:srgbClr val="000000"/>
                </a:solidFill>
                <a:latin typeface="Arial Narrow"/>
                <a:ea typeface="Arial Narrow"/>
                <a:cs typeface="Arial Narrow"/>
              </a:defRPr>
            </a:pPr>
            <a:endParaRPr lang="en-US"/>
          </a:p>
        </c:txPr>
        <c:crossAx val="123439744"/>
        <c:crosses val="autoZero"/>
        <c:crossBetween val="between"/>
      </c:valAx>
      <c:dTable>
        <c:showHorzBorder val="1"/>
        <c:showVertBorder val="1"/>
        <c:showOutline val="1"/>
        <c:showKeys val="0"/>
        <c:spPr>
          <a:ln w="3175">
            <a:solidFill>
              <a:schemeClr val="tx1"/>
            </a:solidFill>
            <a:prstDash val="solid"/>
          </a:ln>
        </c:spPr>
        <c:txPr>
          <a:bodyPr/>
          <a:lstStyle/>
          <a:p>
            <a:pPr rtl="0">
              <a:defRPr sz="875" b="0" i="0" u="none" strike="noStrike" baseline="0">
                <a:solidFill>
                  <a:srgbClr val="000000"/>
                </a:solidFill>
                <a:latin typeface="Arial Narrow"/>
                <a:ea typeface="Arial Narrow"/>
                <a:cs typeface="Arial Narrow"/>
              </a:defRPr>
            </a:pPr>
            <a:endParaRPr lang="en-US"/>
          </a:p>
        </c:txPr>
      </c:dTable>
      <c:spPr>
        <a:solidFill>
          <a:srgbClr val="FFFFFF"/>
        </a:solidFill>
        <a:ln w="25400">
          <a:noFill/>
        </a:ln>
      </c:spPr>
    </c:plotArea>
    <c:plotVisOnly val="1"/>
    <c:dispBlanksAs val="gap"/>
    <c:showDLblsOverMax val="0"/>
  </c:chart>
  <c:spPr>
    <a:solidFill>
      <a:srgbClr val="FFFFFF"/>
    </a:solidFill>
    <a:ln w="9525">
      <a:solidFill>
        <a:schemeClr val="accent1"/>
      </a:solidFill>
    </a:ln>
  </c:spPr>
  <c:txPr>
    <a:bodyPr/>
    <a:lstStyle/>
    <a:p>
      <a:pPr>
        <a:defRPr sz="115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Sheet1!$B$3</c:f>
              <c:strCache>
                <c:ptCount val="1"/>
                <c:pt idx="0">
                  <c:v>ECED</c:v>
                </c:pt>
              </c:strCache>
            </c:strRef>
          </c:tx>
          <c:invertIfNegative val="0"/>
          <c:cat>
            <c:numRef>
              <c:f>Sheet1!$C$2:$D$2</c:f>
              <c:numCache>
                <c:formatCode>General</c:formatCode>
                <c:ptCount val="2"/>
                <c:pt idx="0">
                  <c:v>2008</c:v>
                </c:pt>
                <c:pt idx="1">
                  <c:v>2009</c:v>
                </c:pt>
              </c:numCache>
            </c:numRef>
          </c:cat>
          <c:val>
            <c:numRef>
              <c:f>Sheet1!$C$3:$D$3</c:f>
              <c:numCache>
                <c:formatCode>General</c:formatCode>
                <c:ptCount val="2"/>
                <c:pt idx="0">
                  <c:v>2.1</c:v>
                </c:pt>
                <c:pt idx="1">
                  <c:v>1.8</c:v>
                </c:pt>
              </c:numCache>
            </c:numRef>
          </c:val>
        </c:ser>
        <c:ser>
          <c:idx val="1"/>
          <c:order val="1"/>
          <c:tx>
            <c:strRef>
              <c:f>Sheet1!$B$4</c:f>
              <c:strCache>
                <c:ptCount val="1"/>
                <c:pt idx="0">
                  <c:v>Basic Education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Sheet1!$C$2:$D$2</c:f>
              <c:numCache>
                <c:formatCode>General</c:formatCode>
                <c:ptCount val="2"/>
                <c:pt idx="0">
                  <c:v>2008</c:v>
                </c:pt>
                <c:pt idx="1">
                  <c:v>2009</c:v>
                </c:pt>
              </c:numCache>
            </c:numRef>
          </c:cat>
          <c:val>
            <c:numRef>
              <c:f>Sheet1!$C$4:$D$4</c:f>
              <c:numCache>
                <c:formatCode>General</c:formatCode>
                <c:ptCount val="2"/>
                <c:pt idx="0">
                  <c:v>57.6</c:v>
                </c:pt>
                <c:pt idx="1">
                  <c:v>56</c:v>
                </c:pt>
              </c:numCache>
            </c:numRef>
          </c:val>
        </c:ser>
        <c:ser>
          <c:idx val="2"/>
          <c:order val="2"/>
          <c:tx>
            <c:strRef>
              <c:f>Sheet1!$B$5</c:f>
              <c:strCache>
                <c:ptCount val="1"/>
                <c:pt idx="0">
                  <c:v>Senior Secondary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Sheet1!$C$2:$D$2</c:f>
              <c:numCache>
                <c:formatCode>General</c:formatCode>
                <c:ptCount val="2"/>
                <c:pt idx="0">
                  <c:v>2008</c:v>
                </c:pt>
                <c:pt idx="1">
                  <c:v>2009</c:v>
                </c:pt>
              </c:numCache>
            </c:numRef>
          </c:cat>
          <c:val>
            <c:numRef>
              <c:f>Sheet1!$C$5:$D$5</c:f>
              <c:numCache>
                <c:formatCode>General</c:formatCode>
                <c:ptCount val="2"/>
                <c:pt idx="0">
                  <c:v>9.1999999999999993</c:v>
                </c:pt>
                <c:pt idx="1">
                  <c:v>10.1</c:v>
                </c:pt>
              </c:numCache>
            </c:numRef>
          </c:val>
        </c:ser>
        <c:ser>
          <c:idx val="3"/>
          <c:order val="3"/>
          <c:tx>
            <c:strRef>
              <c:f>Sheet1!$B$6</c:f>
              <c:strCache>
                <c:ptCount val="1"/>
                <c:pt idx="0">
                  <c:v>Universities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Sheet1!$C$2:$D$2</c:f>
              <c:numCache>
                <c:formatCode>General</c:formatCode>
                <c:ptCount val="2"/>
                <c:pt idx="0">
                  <c:v>2008</c:v>
                </c:pt>
                <c:pt idx="1">
                  <c:v>2009</c:v>
                </c:pt>
              </c:numCache>
            </c:numRef>
          </c:cat>
          <c:val>
            <c:numRef>
              <c:f>Sheet1!$C$6:$D$6</c:f>
              <c:numCache>
                <c:formatCode>General</c:formatCode>
                <c:ptCount val="2"/>
                <c:pt idx="0">
                  <c:v>8.1999999999999993</c:v>
                </c:pt>
                <c:pt idx="1">
                  <c:v>10.8</c:v>
                </c:pt>
              </c:numCache>
            </c:numRef>
          </c:val>
        </c:ser>
        <c:ser>
          <c:idx val="4"/>
          <c:order val="4"/>
          <c:tx>
            <c:strRef>
              <c:f>Sheet1!$B$7</c:f>
              <c:strCache>
                <c:ptCount val="1"/>
                <c:pt idx="0">
                  <c:v>Other programs</c:v>
                </c:pt>
              </c:strCache>
            </c:strRef>
          </c:tx>
          <c:spPr>
            <a:solidFill>
              <a:schemeClr val="accent1">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Sheet1!$C$2:$D$2</c:f>
              <c:numCache>
                <c:formatCode>General</c:formatCode>
                <c:ptCount val="2"/>
                <c:pt idx="0">
                  <c:v>2008</c:v>
                </c:pt>
                <c:pt idx="1">
                  <c:v>2009</c:v>
                </c:pt>
              </c:numCache>
            </c:numRef>
          </c:cat>
          <c:val>
            <c:numRef>
              <c:f>Sheet1!$C$7:$D$7</c:f>
              <c:numCache>
                <c:formatCode>General</c:formatCode>
                <c:ptCount val="2"/>
                <c:pt idx="0">
                  <c:v>22.9</c:v>
                </c:pt>
                <c:pt idx="1">
                  <c:v>21.3</c:v>
                </c:pt>
              </c:numCache>
            </c:numRef>
          </c:val>
        </c:ser>
        <c:dLbls>
          <c:showLegendKey val="0"/>
          <c:showVal val="0"/>
          <c:showCatName val="0"/>
          <c:showSerName val="0"/>
          <c:showPercent val="0"/>
          <c:showBubbleSize val="0"/>
        </c:dLbls>
        <c:gapWidth val="150"/>
        <c:overlap val="100"/>
        <c:axId val="123489280"/>
        <c:axId val="123499264"/>
      </c:barChart>
      <c:catAx>
        <c:axId val="123489280"/>
        <c:scaling>
          <c:orientation val="minMax"/>
        </c:scaling>
        <c:delete val="0"/>
        <c:axPos val="b"/>
        <c:numFmt formatCode="General" sourceLinked="1"/>
        <c:majorTickMark val="out"/>
        <c:minorTickMark val="none"/>
        <c:tickLblPos val="nextTo"/>
        <c:crossAx val="123499264"/>
        <c:crosses val="autoZero"/>
        <c:auto val="1"/>
        <c:lblAlgn val="ctr"/>
        <c:lblOffset val="100"/>
        <c:noMultiLvlLbl val="0"/>
      </c:catAx>
      <c:valAx>
        <c:axId val="123499264"/>
        <c:scaling>
          <c:orientation val="minMax"/>
        </c:scaling>
        <c:delete val="0"/>
        <c:axPos val="l"/>
        <c:majorGridlines/>
        <c:numFmt formatCode="0%" sourceLinked="1"/>
        <c:majorTickMark val="out"/>
        <c:minorTickMark val="none"/>
        <c:tickLblPos val="nextTo"/>
        <c:crossAx val="123489280"/>
        <c:crosses val="autoZero"/>
        <c:crossBetween val="between"/>
      </c:valAx>
    </c:plotArea>
    <c:legend>
      <c:legendPos val="r"/>
      <c:overlay val="0"/>
    </c:legend>
    <c:plotVisOnly val="1"/>
    <c:dispBlanksAs val="gap"/>
    <c:showDLblsOverMax val="0"/>
  </c:chart>
  <c:spPr>
    <a:ln>
      <a:solidFill>
        <a:schemeClr val="accent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06BFDB-3DCF-4A39-8FAC-4F97052D9888}"/>
</file>

<file path=customXml/itemProps2.xml><?xml version="1.0" encoding="utf-8"?>
<ds:datastoreItem xmlns:ds="http://schemas.openxmlformats.org/officeDocument/2006/customXml" ds:itemID="{69C74A2F-4BBA-442C-A239-FA810D68402A}"/>
</file>

<file path=customXml/itemProps3.xml><?xml version="1.0" encoding="utf-8"?>
<ds:datastoreItem xmlns:ds="http://schemas.openxmlformats.org/officeDocument/2006/customXml" ds:itemID="{0573FF57-C0B4-4C81-A9FE-494E1FD1954A}"/>
</file>

<file path=customXml/itemProps4.xml><?xml version="1.0" encoding="utf-8"?>
<ds:datastoreItem xmlns:ds="http://schemas.openxmlformats.org/officeDocument/2006/customXml" ds:itemID="{EC445625-0ACD-41C1-A8C2-B37D5BD379BF}"/>
</file>

<file path=docProps/app.xml><?xml version="1.0" encoding="utf-8"?>
<Properties xmlns="http://schemas.openxmlformats.org/officeDocument/2006/extended-properties" xmlns:vt="http://schemas.openxmlformats.org/officeDocument/2006/docPropsVTypes">
  <Template>2B6BEF34.dotm</Template>
  <TotalTime>0</TotalTime>
  <Pages>93</Pages>
  <Words>19006</Words>
  <Characters>108905</Characters>
  <Application>Microsoft Office Word</Application>
  <DocSecurity>0</DocSecurity>
  <Lines>4735</Lines>
  <Paragraphs>3457</Paragraphs>
  <ScaleCrop>false</ScaleCrop>
  <Company/>
  <LinksUpToDate>false</LinksUpToDate>
  <CharactersWithSpaces>124454</CharactersWithSpaces>
  <SharedDoc>false</SharedDoc>
  <HLinks>
    <vt:vector size="228" baseType="variant">
      <vt:variant>
        <vt:i4>1703996</vt:i4>
      </vt:variant>
      <vt:variant>
        <vt:i4>224</vt:i4>
      </vt:variant>
      <vt:variant>
        <vt:i4>0</vt:i4>
      </vt:variant>
      <vt:variant>
        <vt:i4>5</vt:i4>
      </vt:variant>
      <vt:variant>
        <vt:lpwstr/>
      </vt:variant>
      <vt:variant>
        <vt:lpwstr>_Toc353955940</vt:lpwstr>
      </vt:variant>
      <vt:variant>
        <vt:i4>1900604</vt:i4>
      </vt:variant>
      <vt:variant>
        <vt:i4>218</vt:i4>
      </vt:variant>
      <vt:variant>
        <vt:i4>0</vt:i4>
      </vt:variant>
      <vt:variant>
        <vt:i4>5</vt:i4>
      </vt:variant>
      <vt:variant>
        <vt:lpwstr/>
      </vt:variant>
      <vt:variant>
        <vt:lpwstr>_Toc353955939</vt:lpwstr>
      </vt:variant>
      <vt:variant>
        <vt:i4>1900604</vt:i4>
      </vt:variant>
      <vt:variant>
        <vt:i4>212</vt:i4>
      </vt:variant>
      <vt:variant>
        <vt:i4>0</vt:i4>
      </vt:variant>
      <vt:variant>
        <vt:i4>5</vt:i4>
      </vt:variant>
      <vt:variant>
        <vt:lpwstr/>
      </vt:variant>
      <vt:variant>
        <vt:lpwstr>_Toc353955938</vt:lpwstr>
      </vt:variant>
      <vt:variant>
        <vt:i4>1900604</vt:i4>
      </vt:variant>
      <vt:variant>
        <vt:i4>206</vt:i4>
      </vt:variant>
      <vt:variant>
        <vt:i4>0</vt:i4>
      </vt:variant>
      <vt:variant>
        <vt:i4>5</vt:i4>
      </vt:variant>
      <vt:variant>
        <vt:lpwstr/>
      </vt:variant>
      <vt:variant>
        <vt:lpwstr>_Toc353955937</vt:lpwstr>
      </vt:variant>
      <vt:variant>
        <vt:i4>1900604</vt:i4>
      </vt:variant>
      <vt:variant>
        <vt:i4>200</vt:i4>
      </vt:variant>
      <vt:variant>
        <vt:i4>0</vt:i4>
      </vt:variant>
      <vt:variant>
        <vt:i4>5</vt:i4>
      </vt:variant>
      <vt:variant>
        <vt:lpwstr/>
      </vt:variant>
      <vt:variant>
        <vt:lpwstr>_Toc353955936</vt:lpwstr>
      </vt:variant>
      <vt:variant>
        <vt:i4>1900604</vt:i4>
      </vt:variant>
      <vt:variant>
        <vt:i4>194</vt:i4>
      </vt:variant>
      <vt:variant>
        <vt:i4>0</vt:i4>
      </vt:variant>
      <vt:variant>
        <vt:i4>5</vt:i4>
      </vt:variant>
      <vt:variant>
        <vt:lpwstr/>
      </vt:variant>
      <vt:variant>
        <vt:lpwstr>_Toc353955935</vt:lpwstr>
      </vt:variant>
      <vt:variant>
        <vt:i4>1900604</vt:i4>
      </vt:variant>
      <vt:variant>
        <vt:i4>188</vt:i4>
      </vt:variant>
      <vt:variant>
        <vt:i4>0</vt:i4>
      </vt:variant>
      <vt:variant>
        <vt:i4>5</vt:i4>
      </vt:variant>
      <vt:variant>
        <vt:lpwstr/>
      </vt:variant>
      <vt:variant>
        <vt:lpwstr>_Toc353955934</vt:lpwstr>
      </vt:variant>
      <vt:variant>
        <vt:i4>1900604</vt:i4>
      </vt:variant>
      <vt:variant>
        <vt:i4>182</vt:i4>
      </vt:variant>
      <vt:variant>
        <vt:i4>0</vt:i4>
      </vt:variant>
      <vt:variant>
        <vt:i4>5</vt:i4>
      </vt:variant>
      <vt:variant>
        <vt:lpwstr/>
      </vt:variant>
      <vt:variant>
        <vt:lpwstr>_Toc353955933</vt:lpwstr>
      </vt:variant>
      <vt:variant>
        <vt:i4>1900604</vt:i4>
      </vt:variant>
      <vt:variant>
        <vt:i4>176</vt:i4>
      </vt:variant>
      <vt:variant>
        <vt:i4>0</vt:i4>
      </vt:variant>
      <vt:variant>
        <vt:i4>5</vt:i4>
      </vt:variant>
      <vt:variant>
        <vt:lpwstr/>
      </vt:variant>
      <vt:variant>
        <vt:lpwstr>_Toc353955932</vt:lpwstr>
      </vt:variant>
      <vt:variant>
        <vt:i4>1900604</vt:i4>
      </vt:variant>
      <vt:variant>
        <vt:i4>170</vt:i4>
      </vt:variant>
      <vt:variant>
        <vt:i4>0</vt:i4>
      </vt:variant>
      <vt:variant>
        <vt:i4>5</vt:i4>
      </vt:variant>
      <vt:variant>
        <vt:lpwstr/>
      </vt:variant>
      <vt:variant>
        <vt:lpwstr>_Toc353955931</vt:lpwstr>
      </vt:variant>
      <vt:variant>
        <vt:i4>1900604</vt:i4>
      </vt:variant>
      <vt:variant>
        <vt:i4>164</vt:i4>
      </vt:variant>
      <vt:variant>
        <vt:i4>0</vt:i4>
      </vt:variant>
      <vt:variant>
        <vt:i4>5</vt:i4>
      </vt:variant>
      <vt:variant>
        <vt:lpwstr/>
      </vt:variant>
      <vt:variant>
        <vt:lpwstr>_Toc353955930</vt:lpwstr>
      </vt:variant>
      <vt:variant>
        <vt:i4>1835068</vt:i4>
      </vt:variant>
      <vt:variant>
        <vt:i4>158</vt:i4>
      </vt:variant>
      <vt:variant>
        <vt:i4>0</vt:i4>
      </vt:variant>
      <vt:variant>
        <vt:i4>5</vt:i4>
      </vt:variant>
      <vt:variant>
        <vt:lpwstr/>
      </vt:variant>
      <vt:variant>
        <vt:lpwstr>_Toc353955929</vt:lpwstr>
      </vt:variant>
      <vt:variant>
        <vt:i4>1835068</vt:i4>
      </vt:variant>
      <vt:variant>
        <vt:i4>152</vt:i4>
      </vt:variant>
      <vt:variant>
        <vt:i4>0</vt:i4>
      </vt:variant>
      <vt:variant>
        <vt:i4>5</vt:i4>
      </vt:variant>
      <vt:variant>
        <vt:lpwstr/>
      </vt:variant>
      <vt:variant>
        <vt:lpwstr>_Toc353955928</vt:lpwstr>
      </vt:variant>
      <vt:variant>
        <vt:i4>1835068</vt:i4>
      </vt:variant>
      <vt:variant>
        <vt:i4>146</vt:i4>
      </vt:variant>
      <vt:variant>
        <vt:i4>0</vt:i4>
      </vt:variant>
      <vt:variant>
        <vt:i4>5</vt:i4>
      </vt:variant>
      <vt:variant>
        <vt:lpwstr/>
      </vt:variant>
      <vt:variant>
        <vt:lpwstr>_Toc353955927</vt:lpwstr>
      </vt:variant>
      <vt:variant>
        <vt:i4>1835068</vt:i4>
      </vt:variant>
      <vt:variant>
        <vt:i4>140</vt:i4>
      </vt:variant>
      <vt:variant>
        <vt:i4>0</vt:i4>
      </vt:variant>
      <vt:variant>
        <vt:i4>5</vt:i4>
      </vt:variant>
      <vt:variant>
        <vt:lpwstr/>
      </vt:variant>
      <vt:variant>
        <vt:lpwstr>_Toc353955926</vt:lpwstr>
      </vt:variant>
      <vt:variant>
        <vt:i4>1835068</vt:i4>
      </vt:variant>
      <vt:variant>
        <vt:i4>134</vt:i4>
      </vt:variant>
      <vt:variant>
        <vt:i4>0</vt:i4>
      </vt:variant>
      <vt:variant>
        <vt:i4>5</vt:i4>
      </vt:variant>
      <vt:variant>
        <vt:lpwstr/>
      </vt:variant>
      <vt:variant>
        <vt:lpwstr>_Toc353955925</vt:lpwstr>
      </vt:variant>
      <vt:variant>
        <vt:i4>1835068</vt:i4>
      </vt:variant>
      <vt:variant>
        <vt:i4>128</vt:i4>
      </vt:variant>
      <vt:variant>
        <vt:i4>0</vt:i4>
      </vt:variant>
      <vt:variant>
        <vt:i4>5</vt:i4>
      </vt:variant>
      <vt:variant>
        <vt:lpwstr/>
      </vt:variant>
      <vt:variant>
        <vt:lpwstr>_Toc353955924</vt:lpwstr>
      </vt:variant>
      <vt:variant>
        <vt:i4>1835068</vt:i4>
      </vt:variant>
      <vt:variant>
        <vt:i4>122</vt:i4>
      </vt:variant>
      <vt:variant>
        <vt:i4>0</vt:i4>
      </vt:variant>
      <vt:variant>
        <vt:i4>5</vt:i4>
      </vt:variant>
      <vt:variant>
        <vt:lpwstr/>
      </vt:variant>
      <vt:variant>
        <vt:lpwstr>_Toc353955923</vt:lpwstr>
      </vt:variant>
      <vt:variant>
        <vt:i4>1835068</vt:i4>
      </vt:variant>
      <vt:variant>
        <vt:i4>116</vt:i4>
      </vt:variant>
      <vt:variant>
        <vt:i4>0</vt:i4>
      </vt:variant>
      <vt:variant>
        <vt:i4>5</vt:i4>
      </vt:variant>
      <vt:variant>
        <vt:lpwstr/>
      </vt:variant>
      <vt:variant>
        <vt:lpwstr>_Toc353955922</vt:lpwstr>
      </vt:variant>
      <vt:variant>
        <vt:i4>1835068</vt:i4>
      </vt:variant>
      <vt:variant>
        <vt:i4>110</vt:i4>
      </vt:variant>
      <vt:variant>
        <vt:i4>0</vt:i4>
      </vt:variant>
      <vt:variant>
        <vt:i4>5</vt:i4>
      </vt:variant>
      <vt:variant>
        <vt:lpwstr/>
      </vt:variant>
      <vt:variant>
        <vt:lpwstr>_Toc353955921</vt:lpwstr>
      </vt:variant>
      <vt:variant>
        <vt:i4>1835068</vt:i4>
      </vt:variant>
      <vt:variant>
        <vt:i4>104</vt:i4>
      </vt:variant>
      <vt:variant>
        <vt:i4>0</vt:i4>
      </vt:variant>
      <vt:variant>
        <vt:i4>5</vt:i4>
      </vt:variant>
      <vt:variant>
        <vt:lpwstr/>
      </vt:variant>
      <vt:variant>
        <vt:lpwstr>_Toc353955920</vt:lpwstr>
      </vt:variant>
      <vt:variant>
        <vt:i4>2031676</vt:i4>
      </vt:variant>
      <vt:variant>
        <vt:i4>98</vt:i4>
      </vt:variant>
      <vt:variant>
        <vt:i4>0</vt:i4>
      </vt:variant>
      <vt:variant>
        <vt:i4>5</vt:i4>
      </vt:variant>
      <vt:variant>
        <vt:lpwstr/>
      </vt:variant>
      <vt:variant>
        <vt:lpwstr>_Toc353955919</vt:lpwstr>
      </vt:variant>
      <vt:variant>
        <vt:i4>2031676</vt:i4>
      </vt:variant>
      <vt:variant>
        <vt:i4>92</vt:i4>
      </vt:variant>
      <vt:variant>
        <vt:i4>0</vt:i4>
      </vt:variant>
      <vt:variant>
        <vt:i4>5</vt:i4>
      </vt:variant>
      <vt:variant>
        <vt:lpwstr/>
      </vt:variant>
      <vt:variant>
        <vt:lpwstr>_Toc353955918</vt:lpwstr>
      </vt:variant>
      <vt:variant>
        <vt:i4>2031676</vt:i4>
      </vt:variant>
      <vt:variant>
        <vt:i4>86</vt:i4>
      </vt:variant>
      <vt:variant>
        <vt:i4>0</vt:i4>
      </vt:variant>
      <vt:variant>
        <vt:i4>5</vt:i4>
      </vt:variant>
      <vt:variant>
        <vt:lpwstr/>
      </vt:variant>
      <vt:variant>
        <vt:lpwstr>_Toc353955917</vt:lpwstr>
      </vt:variant>
      <vt:variant>
        <vt:i4>2031676</vt:i4>
      </vt:variant>
      <vt:variant>
        <vt:i4>80</vt:i4>
      </vt:variant>
      <vt:variant>
        <vt:i4>0</vt:i4>
      </vt:variant>
      <vt:variant>
        <vt:i4>5</vt:i4>
      </vt:variant>
      <vt:variant>
        <vt:lpwstr/>
      </vt:variant>
      <vt:variant>
        <vt:lpwstr>_Toc353955916</vt:lpwstr>
      </vt:variant>
      <vt:variant>
        <vt:i4>2031676</vt:i4>
      </vt:variant>
      <vt:variant>
        <vt:i4>74</vt:i4>
      </vt:variant>
      <vt:variant>
        <vt:i4>0</vt:i4>
      </vt:variant>
      <vt:variant>
        <vt:i4>5</vt:i4>
      </vt:variant>
      <vt:variant>
        <vt:lpwstr/>
      </vt:variant>
      <vt:variant>
        <vt:lpwstr>_Toc353955915</vt:lpwstr>
      </vt:variant>
      <vt:variant>
        <vt:i4>2031676</vt:i4>
      </vt:variant>
      <vt:variant>
        <vt:i4>68</vt:i4>
      </vt:variant>
      <vt:variant>
        <vt:i4>0</vt:i4>
      </vt:variant>
      <vt:variant>
        <vt:i4>5</vt:i4>
      </vt:variant>
      <vt:variant>
        <vt:lpwstr/>
      </vt:variant>
      <vt:variant>
        <vt:lpwstr>_Toc353955914</vt:lpwstr>
      </vt:variant>
      <vt:variant>
        <vt:i4>2031676</vt:i4>
      </vt:variant>
      <vt:variant>
        <vt:i4>62</vt:i4>
      </vt:variant>
      <vt:variant>
        <vt:i4>0</vt:i4>
      </vt:variant>
      <vt:variant>
        <vt:i4>5</vt:i4>
      </vt:variant>
      <vt:variant>
        <vt:lpwstr/>
      </vt:variant>
      <vt:variant>
        <vt:lpwstr>_Toc353955913</vt:lpwstr>
      </vt:variant>
      <vt:variant>
        <vt:i4>2031676</vt:i4>
      </vt:variant>
      <vt:variant>
        <vt:i4>56</vt:i4>
      </vt:variant>
      <vt:variant>
        <vt:i4>0</vt:i4>
      </vt:variant>
      <vt:variant>
        <vt:i4>5</vt:i4>
      </vt:variant>
      <vt:variant>
        <vt:lpwstr/>
      </vt:variant>
      <vt:variant>
        <vt:lpwstr>_Toc353955912</vt:lpwstr>
      </vt:variant>
      <vt:variant>
        <vt:i4>2031676</vt:i4>
      </vt:variant>
      <vt:variant>
        <vt:i4>50</vt:i4>
      </vt:variant>
      <vt:variant>
        <vt:i4>0</vt:i4>
      </vt:variant>
      <vt:variant>
        <vt:i4>5</vt:i4>
      </vt:variant>
      <vt:variant>
        <vt:lpwstr/>
      </vt:variant>
      <vt:variant>
        <vt:lpwstr>_Toc353955911</vt:lpwstr>
      </vt:variant>
      <vt:variant>
        <vt:i4>2031676</vt:i4>
      </vt:variant>
      <vt:variant>
        <vt:i4>44</vt:i4>
      </vt:variant>
      <vt:variant>
        <vt:i4>0</vt:i4>
      </vt:variant>
      <vt:variant>
        <vt:i4>5</vt:i4>
      </vt:variant>
      <vt:variant>
        <vt:lpwstr/>
      </vt:variant>
      <vt:variant>
        <vt:lpwstr>_Toc353955910</vt:lpwstr>
      </vt:variant>
      <vt:variant>
        <vt:i4>1966140</vt:i4>
      </vt:variant>
      <vt:variant>
        <vt:i4>38</vt:i4>
      </vt:variant>
      <vt:variant>
        <vt:i4>0</vt:i4>
      </vt:variant>
      <vt:variant>
        <vt:i4>5</vt:i4>
      </vt:variant>
      <vt:variant>
        <vt:lpwstr/>
      </vt:variant>
      <vt:variant>
        <vt:lpwstr>_Toc353955909</vt:lpwstr>
      </vt:variant>
      <vt:variant>
        <vt:i4>1966140</vt:i4>
      </vt:variant>
      <vt:variant>
        <vt:i4>32</vt:i4>
      </vt:variant>
      <vt:variant>
        <vt:i4>0</vt:i4>
      </vt:variant>
      <vt:variant>
        <vt:i4>5</vt:i4>
      </vt:variant>
      <vt:variant>
        <vt:lpwstr/>
      </vt:variant>
      <vt:variant>
        <vt:lpwstr>_Toc353955908</vt:lpwstr>
      </vt:variant>
      <vt:variant>
        <vt:i4>1966140</vt:i4>
      </vt:variant>
      <vt:variant>
        <vt:i4>26</vt:i4>
      </vt:variant>
      <vt:variant>
        <vt:i4>0</vt:i4>
      </vt:variant>
      <vt:variant>
        <vt:i4>5</vt:i4>
      </vt:variant>
      <vt:variant>
        <vt:lpwstr/>
      </vt:variant>
      <vt:variant>
        <vt:lpwstr>_Toc353955907</vt:lpwstr>
      </vt:variant>
      <vt:variant>
        <vt:i4>1966140</vt:i4>
      </vt:variant>
      <vt:variant>
        <vt:i4>20</vt:i4>
      </vt:variant>
      <vt:variant>
        <vt:i4>0</vt:i4>
      </vt:variant>
      <vt:variant>
        <vt:i4>5</vt:i4>
      </vt:variant>
      <vt:variant>
        <vt:lpwstr/>
      </vt:variant>
      <vt:variant>
        <vt:lpwstr>_Toc353955906</vt:lpwstr>
      </vt:variant>
      <vt:variant>
        <vt:i4>1966140</vt:i4>
      </vt:variant>
      <vt:variant>
        <vt:i4>14</vt:i4>
      </vt:variant>
      <vt:variant>
        <vt:i4>0</vt:i4>
      </vt:variant>
      <vt:variant>
        <vt:i4>5</vt:i4>
      </vt:variant>
      <vt:variant>
        <vt:lpwstr/>
      </vt:variant>
      <vt:variant>
        <vt:lpwstr>_Toc353955905</vt:lpwstr>
      </vt:variant>
      <vt:variant>
        <vt:i4>1966140</vt:i4>
      </vt:variant>
      <vt:variant>
        <vt:i4>8</vt:i4>
      </vt:variant>
      <vt:variant>
        <vt:i4>0</vt:i4>
      </vt:variant>
      <vt:variant>
        <vt:i4>5</vt:i4>
      </vt:variant>
      <vt:variant>
        <vt:lpwstr/>
      </vt:variant>
      <vt:variant>
        <vt:lpwstr>_Toc353955904</vt:lpwstr>
      </vt:variant>
      <vt:variant>
        <vt:i4>1966140</vt:i4>
      </vt:variant>
      <vt:variant>
        <vt:i4>2</vt:i4>
      </vt:variant>
      <vt:variant>
        <vt:i4>0</vt:i4>
      </vt:variant>
      <vt:variant>
        <vt:i4>5</vt:i4>
      </vt:variant>
      <vt:variant>
        <vt:lpwstr/>
      </vt:variant>
      <vt:variant>
        <vt:lpwstr>_Toc353955903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2015-08-25T06:30:00Z</dcterms:created>
  <dcterms:modified xsi:type="dcterms:W3CDTF">2015-08-25T06:30:00Z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960000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