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CD" w:rsidRPr="001040CD" w:rsidRDefault="00473CE5" w:rsidP="00AD5CC1">
      <w:pPr>
        <w:pStyle w:val="Title"/>
      </w:pPr>
      <w:bookmarkStart w:id="0" w:name="_GoBack"/>
      <w:r>
        <w:rPr>
          <w:rFonts w:ascii="Arial" w:hAnsi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350010"/>
                <wp:effectExtent l="0" t="0" r="2540" b="254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95.3pt;height:106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ksfAIAAP0EAAAOAAAAZHJzL2Uyb0RvYy54bWysVNuO0zAQfUfiHyy/t0m66SXRpqu9UIS0&#10;wIqFD3BtJ7FwbGO7TQvi3xk7bWmBB4TIg+Oxx+Mzc874+mbXSbTl1gmtKpyNU4y4opoJ1VT408fV&#10;aIGR80QxIrXiFd5zh2+WL19c96bkE91qybhFEES5sjcVbr03ZZI42vKOuLE2XMFmrW1HPJi2SZgl&#10;PUTvZDJJ01nSa8uM1ZQ7B6sPwyZexvh1zal/X9eOeyQrDNh8HG0c12FMltekbCwxraAHGOQfUHRE&#10;KLj0FOqBeII2VvwWqhPUaqdrP6a6S3RdC8pjDpBNlv6SzXNLDI+5QHGcOZXJ/b+w9N32ySLBgDtg&#10;SpEOOPoAVSOqkRxdhfr0xpXg9myebMjQmUdNPzuk9H0LXvzWWt23nDBAlQX/5OJAMBwcRev+rWYQ&#10;nWy8jqXa1bYLAaEIaBcZ2Z8Y4TuPKCzOp7P0KgPiKOxlV9MUihTvIOXxuLHOv+a6Q2FSYQvgY3iy&#10;fXQ+wCHl0SXC11KwlZAyGrZZ30uLtgTksYrfIbo7d5MqOCsdjg0RhxVACXeEvYA30v2tyCZ5ejcp&#10;RqvZYj7KV/l0VMzTxSjNirtiluZF/rD6HgBmedkKxrh6FIofpZflf0ftoQkG0UTxob7CxXQyjblf&#10;oHfnSabx+1OSnfDQiVJ0FV6cnEgZmH2lGKRNSk+EHObJJfxYZajB8R+rEnUQqB8ktNZsDzKwGkgC&#10;QuHNgEmr7VeMeui/CrsvG2I5RvKNAikVWZ6Hho1GPp1PwLDnO+vzHaIohKqwx2iY3vuhyTfGiqaF&#10;m7JYGKVvQX61iMII0hxQHUQLPRYzOLwHoYnP7ej189Va/gAAAP//AwBQSwMEFAAGAAgAAAAhACYE&#10;3ZXbAAAABgEAAA8AAABkcnMvZG93bnJldi54bWxMj8FOwzAQRO9I/IO1SNyonQAWDXEqhNQTcKBF&#10;4rqNt0lEvA6x04a/x+VSLiuNZjTztlzNrhcHGkPn2UC2UCCIa287bgx8bNc3DyBCRLbYeyYDPxRg&#10;VV1elFhYf+R3OmxiI1IJhwINtDEOhZShbslhWPiBOHl7PzqMSY6NtCMeU7nrZa6Ulg47TgstDvTc&#10;Uv21mZwB1Hf2+21/+7p9mTQum1mt7z+VMddX89MjiEhzPIfhhJ/QoUpMOz+xDaI3kB6Jf/fkZUul&#10;QewM5FmuQVal/I9f/QIAAP//AwBQSwECLQAUAAYACAAAACEAtoM4kv4AAADhAQAAEwAAAAAAAAAA&#10;AAAAAAAAAAAAW0NvbnRlbnRfVHlwZXNdLnhtbFBLAQItABQABgAIAAAAIQA4/SH/1gAAAJQBAAAL&#10;AAAAAAAAAAAAAAAAAC8BAABfcmVscy8ucmVsc1BLAQItABQABgAIAAAAIQDxwcksfAIAAP0EAAAO&#10;AAAAAAAAAAAAAAAAAC4CAABkcnMvZTJvRG9jLnhtbFBLAQItABQABgAIAAAAIQAmBN2V2wAAAAYB&#10;AAAPAAAAAAAAAAAAAAAAANYEAABkcnMvZG93bnJldi54bWxQSwUGAAAAAAQABADzAAAA3gUAAAAA&#10;" stroked="f">
                <w10:wrap anchorx="page" anchory="page"/>
              </v:rect>
            </w:pict>
          </mc:Fallback>
        </mc:AlternateContent>
      </w:r>
      <w:bookmarkEnd w:id="0"/>
      <w:r>
        <w:rPr>
          <w:rFonts w:ascii="Arial" w:hAnsi="Arial"/>
          <w:noProof/>
          <w:sz w:val="22"/>
          <w:lang w:val="en-US" w:eastAsia="en-US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771140"/>
            <wp:effectExtent l="0" t="0" r="2540" b="0"/>
            <wp:wrapNone/>
            <wp:docPr id="17" name="Picture 2" descr="AusAID graphics pacific factsheet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AID graphics pacific factsheet head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549">
        <w:t>Australia-Vanuatu Partnership for Development Report</w:t>
      </w:r>
    </w:p>
    <w:p w:rsidR="001C0549" w:rsidRPr="00BD1E79" w:rsidRDefault="0042350C">
      <w:pPr>
        <w:pStyle w:val="Date"/>
        <w:spacing w:after="1200"/>
      </w:pPr>
      <w:r>
        <w:t>September</w:t>
      </w:r>
      <w:r w:rsidR="001C0549">
        <w:t xml:space="preserve"> 2010</w:t>
      </w:r>
    </w:p>
    <w:p w:rsidR="00B87C58" w:rsidRPr="00B87C58" w:rsidRDefault="00B87C58" w:rsidP="00B87C58">
      <w:pPr>
        <w:pStyle w:val="H1"/>
      </w:pPr>
      <w:r w:rsidRPr="00B87C58">
        <w:t>Contents</w:t>
      </w:r>
    </w:p>
    <w:p w:rsidR="00B87C58" w:rsidRPr="00B87C58" w:rsidRDefault="00B87C58">
      <w:pPr>
        <w:pStyle w:val="TOC1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60711475" w:history="1">
        <w:r w:rsidRPr="00171E6F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711476" w:history="1">
        <w:r w:rsidRPr="00171E6F">
          <w:rPr>
            <w:rStyle w:val="Hyperlink"/>
            <w:noProof/>
          </w:rPr>
          <w:t>Overview of Vanuatu context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711477" w:history="1">
        <w:r w:rsidRPr="00171E6F">
          <w:rPr>
            <w:rStyle w:val="Hyperlink"/>
            <w:noProof/>
          </w:rPr>
          <w:t>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711478" w:history="1">
        <w:r w:rsidRPr="00171E6F">
          <w:rPr>
            <w:rStyle w:val="Hyperlink"/>
            <w:noProof/>
          </w:rPr>
          <w:t>Priority Outcome 1: Improved Education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79" w:history="1">
        <w:r w:rsidRPr="00171E6F">
          <w:rPr>
            <w:rStyle w:val="Hyperlink"/>
            <w:noProof/>
          </w:rPr>
          <w:t>Rating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80" w:history="1">
        <w:r w:rsidRPr="00171E6F">
          <w:rPr>
            <w:rStyle w:val="Hyperlink"/>
            <w:noProof/>
          </w:rPr>
          <w:t>Assessment of results and performance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711481" w:history="1">
        <w:r w:rsidRPr="00171E6F">
          <w:rPr>
            <w:rStyle w:val="Hyperlink"/>
            <w:noProof/>
          </w:rPr>
          <w:t>Priority Outcome 2: Improved Health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711482" w:history="1">
        <w:r w:rsidRPr="00171E6F">
          <w:rPr>
            <w:rStyle w:val="Hyperlink"/>
            <w:noProof/>
          </w:rPr>
          <w:t>Priority Outcome 2: Improved Health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83" w:history="1">
        <w:r w:rsidRPr="00171E6F">
          <w:rPr>
            <w:rStyle w:val="Hyperlink"/>
            <w:noProof/>
          </w:rPr>
          <w:t>Rating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84" w:history="1">
        <w:r w:rsidRPr="00171E6F">
          <w:rPr>
            <w:rStyle w:val="Hyperlink"/>
            <w:noProof/>
          </w:rPr>
          <w:t>Assessment of results and performance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85" w:history="1">
        <w:r w:rsidRPr="00171E6F">
          <w:rPr>
            <w:rStyle w:val="Hyperlink"/>
            <w:noProof/>
          </w:rPr>
          <w:t>Priorities for 2010–11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711486" w:history="1">
        <w:r w:rsidRPr="00171E6F">
          <w:rPr>
            <w:rStyle w:val="Hyperlink"/>
            <w:noProof/>
          </w:rPr>
          <w:t>Priority Outcome 3: Infrastructure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87" w:history="1">
        <w:r w:rsidRPr="00171E6F">
          <w:rPr>
            <w:rStyle w:val="Hyperlink"/>
            <w:noProof/>
          </w:rPr>
          <w:t>Rating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88" w:history="1">
        <w:r w:rsidRPr="00171E6F">
          <w:rPr>
            <w:rStyle w:val="Hyperlink"/>
            <w:noProof/>
          </w:rPr>
          <w:t>Assessment of results and performance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89" w:history="1">
        <w:r w:rsidRPr="00171E6F">
          <w:rPr>
            <w:rStyle w:val="Hyperlink"/>
            <w:noProof/>
          </w:rPr>
          <w:t>Priorities for 2010–11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711490" w:history="1">
        <w:r w:rsidRPr="00171E6F">
          <w:rPr>
            <w:rStyle w:val="Hyperlink"/>
            <w:noProof/>
          </w:rPr>
          <w:t>Priority Outcome 4: Economic Governance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91" w:history="1">
        <w:r w:rsidRPr="00171E6F">
          <w:rPr>
            <w:rStyle w:val="Hyperlink"/>
            <w:noProof/>
          </w:rPr>
          <w:t>Rating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92" w:history="1">
        <w:r w:rsidRPr="00171E6F">
          <w:rPr>
            <w:rStyle w:val="Hyperlink"/>
            <w:noProof/>
          </w:rPr>
          <w:t>Assessment of results and performance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93" w:history="1">
        <w:r w:rsidRPr="00171E6F">
          <w:rPr>
            <w:rStyle w:val="Hyperlink"/>
            <w:noProof/>
          </w:rPr>
          <w:t>Priorities for 2010–11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87C58" w:rsidRPr="00B87C58" w:rsidRDefault="00B87C58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711494" w:history="1">
        <w:r w:rsidRPr="00171E6F">
          <w:rPr>
            <w:rStyle w:val="Hyperlink"/>
            <w:noProof/>
          </w:rPr>
          <w:t>Other priority areas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_Toc360711494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87C58" w:rsidRDefault="00B87C58">
      <w:r>
        <w:rPr>
          <w:b/>
          <w:bCs/>
          <w:noProof/>
        </w:rPr>
        <w:fldChar w:fldCharType="end"/>
      </w:r>
    </w:p>
    <w:p w:rsidR="00B87C58" w:rsidRDefault="00B87C58" w:rsidP="002647C5">
      <w:pPr>
        <w:pStyle w:val="BodyText"/>
      </w:pPr>
    </w:p>
    <w:p w:rsidR="00B87C58" w:rsidRDefault="00B87C58" w:rsidP="002647C5">
      <w:pPr>
        <w:pStyle w:val="BodyText"/>
      </w:pPr>
    </w:p>
    <w:p w:rsidR="00B87C58" w:rsidRDefault="00B87C58" w:rsidP="002647C5">
      <w:pPr>
        <w:pStyle w:val="BodyText"/>
      </w:pPr>
    </w:p>
    <w:p w:rsidR="00B87C58" w:rsidRDefault="00B87C58" w:rsidP="002647C5">
      <w:pPr>
        <w:pStyle w:val="BodyText"/>
      </w:pPr>
    </w:p>
    <w:p w:rsidR="00B87C58" w:rsidRDefault="00B87C58" w:rsidP="002647C5">
      <w:pPr>
        <w:pStyle w:val="BodyText"/>
      </w:pPr>
    </w:p>
    <w:p w:rsidR="00B87C58" w:rsidRDefault="00B87C58" w:rsidP="002647C5">
      <w:pPr>
        <w:pStyle w:val="BodyText"/>
      </w:pPr>
    </w:p>
    <w:p w:rsidR="00B87C58" w:rsidRDefault="00B87C58" w:rsidP="002647C5">
      <w:pPr>
        <w:pStyle w:val="BodyText"/>
      </w:pPr>
    </w:p>
    <w:p w:rsidR="006E6D0A" w:rsidRDefault="006E6D0A" w:rsidP="002647C5">
      <w:pPr>
        <w:pStyle w:val="BodyText"/>
      </w:pPr>
    </w:p>
    <w:p w:rsidR="006E6D0A" w:rsidRDefault="006E6D0A" w:rsidP="002647C5">
      <w:pPr>
        <w:pStyle w:val="BodyText"/>
      </w:pPr>
    </w:p>
    <w:p w:rsidR="006E6D0A" w:rsidRDefault="006E6D0A" w:rsidP="002647C5">
      <w:pPr>
        <w:pStyle w:val="BodyText"/>
      </w:pPr>
    </w:p>
    <w:p w:rsidR="00E64639" w:rsidRDefault="002647C5" w:rsidP="002647C5">
      <w:pPr>
        <w:pStyle w:val="BodyText"/>
        <w:rPr>
          <w:rFonts w:cs="Arial"/>
        </w:rPr>
      </w:pPr>
      <w:r w:rsidRPr="006A1943">
        <w:lastRenderedPageBreak/>
        <w:t xml:space="preserve">This </w:t>
      </w:r>
      <w:r>
        <w:t xml:space="preserve">is the first report on the Australia – Vanuatu Partnership for Development, signed in </w:t>
      </w:r>
      <w:r w:rsidR="00846E7B">
        <w:br/>
      </w:r>
      <w:r>
        <w:t>May</w:t>
      </w:r>
      <w:r w:rsidR="00846E7B">
        <w:t> </w:t>
      </w:r>
      <w:r>
        <w:t xml:space="preserve">2009. </w:t>
      </w:r>
      <w:r w:rsidR="00D13645">
        <w:t>It covers the 2009 calendar year</w:t>
      </w:r>
      <w:r w:rsidR="00E64639">
        <w:t xml:space="preserve"> as well as some significant events in 2010</w:t>
      </w:r>
      <w:r w:rsidR="00D13645">
        <w:t xml:space="preserve">. </w:t>
      </w:r>
      <w:r w:rsidR="005F094E">
        <w:br/>
      </w:r>
      <w:r>
        <w:t>The partnership is designed to accelerate Vanuatu’s progress towards achieving the Millen</w:t>
      </w:r>
      <w:r w:rsidR="00EE07F3">
        <w:t>n</w:t>
      </w:r>
      <w:r>
        <w:t>ium Development Goals (MDGs)</w:t>
      </w:r>
      <w:r w:rsidR="00EE07F3">
        <w:t xml:space="preserve">. </w:t>
      </w:r>
      <w:r w:rsidR="00E64639">
        <w:rPr>
          <w:rFonts w:cs="Arial"/>
        </w:rPr>
        <w:t xml:space="preserve">Under </w:t>
      </w:r>
      <w:r>
        <w:rPr>
          <w:rFonts w:cs="Arial"/>
        </w:rPr>
        <w:t>the partnership, the Australian Government</w:t>
      </w:r>
      <w:r w:rsidR="00846E7B">
        <w:rPr>
          <w:rFonts w:cs="Arial"/>
        </w:rPr>
        <w:t>—</w:t>
      </w:r>
      <w:r>
        <w:rPr>
          <w:rFonts w:cs="Arial"/>
        </w:rPr>
        <w:t>primarily through the Australian Agency for International Development (AusAID)—will also help the</w:t>
      </w:r>
      <w:r w:rsidRPr="00A65DCA">
        <w:rPr>
          <w:rFonts w:cs="Arial"/>
        </w:rPr>
        <w:t xml:space="preserve"> </w:t>
      </w:r>
      <w:r>
        <w:rPr>
          <w:rFonts w:cs="Arial"/>
        </w:rPr>
        <w:t xml:space="preserve">Vanuatu Government </w:t>
      </w:r>
      <w:r w:rsidR="00111FCA">
        <w:rPr>
          <w:rFonts w:cs="Arial"/>
        </w:rPr>
        <w:t>respond to</w:t>
      </w:r>
      <w:r>
        <w:rPr>
          <w:rFonts w:cs="Arial"/>
        </w:rPr>
        <w:t xml:space="preserve"> the social, environmental and economic challenges i</w:t>
      </w:r>
      <w:r w:rsidR="005E1748">
        <w:rPr>
          <w:rFonts w:cs="Arial"/>
        </w:rPr>
        <w:t>t</w:t>
      </w:r>
      <w:r>
        <w:rPr>
          <w:rFonts w:cs="Arial"/>
        </w:rPr>
        <w:t xml:space="preserve"> faces.</w:t>
      </w:r>
    </w:p>
    <w:p w:rsidR="002647C5" w:rsidRDefault="009B66B7" w:rsidP="002647C5">
      <w:pPr>
        <w:pStyle w:val="BodyText"/>
        <w:rPr>
          <w:rFonts w:cs="Arial"/>
        </w:rPr>
      </w:pPr>
      <w:r>
        <w:rPr>
          <w:rFonts w:cs="Arial"/>
        </w:rPr>
        <w:t>This</w:t>
      </w:r>
      <w:r w:rsidR="00E64639">
        <w:rPr>
          <w:rFonts w:cs="Arial"/>
        </w:rPr>
        <w:t xml:space="preserve"> partnership</w:t>
      </w:r>
      <w:r>
        <w:rPr>
          <w:rFonts w:cs="Arial"/>
        </w:rPr>
        <w:t xml:space="preserve"> report was drafted jointly by the </w:t>
      </w:r>
      <w:r w:rsidR="00E83976">
        <w:rPr>
          <w:rFonts w:cs="Arial"/>
        </w:rPr>
        <w:t>g</w:t>
      </w:r>
      <w:r>
        <w:rPr>
          <w:rFonts w:cs="Arial"/>
        </w:rPr>
        <w:t>overnments of Australia and Vanuatu and discussed by senior officials at the first annual Partnership Talks</w:t>
      </w:r>
      <w:r w:rsidR="00E64639">
        <w:rPr>
          <w:rFonts w:cs="Arial"/>
        </w:rPr>
        <w:t xml:space="preserve"> held</w:t>
      </w:r>
      <w:r>
        <w:rPr>
          <w:rFonts w:cs="Arial"/>
        </w:rPr>
        <w:t xml:space="preserve"> in Port Vila in June</w:t>
      </w:r>
      <w:r w:rsidR="00846E7B">
        <w:rPr>
          <w:rFonts w:cs="Arial"/>
        </w:rPr>
        <w:t> </w:t>
      </w:r>
      <w:r>
        <w:rPr>
          <w:rFonts w:cs="Arial"/>
        </w:rPr>
        <w:t>2010.</w:t>
      </w:r>
    </w:p>
    <w:p w:rsidR="00D04DD6" w:rsidRPr="005D23C9" w:rsidRDefault="00D04DD6" w:rsidP="005D23C9">
      <w:pPr>
        <w:pStyle w:val="Heading1"/>
      </w:pPr>
      <w:bookmarkStart w:id="1" w:name="_Toc360711475"/>
      <w:r w:rsidRPr="005D23C9">
        <w:t>Summary</w:t>
      </w:r>
      <w:bookmarkEnd w:id="1"/>
    </w:p>
    <w:p w:rsidR="00A6701D" w:rsidRDefault="00A6701D" w:rsidP="00D3064D">
      <w:pPr>
        <w:pStyle w:val="BodyText"/>
      </w:pPr>
      <w:r>
        <w:t>There has been strong early progress</w:t>
      </w:r>
      <w:r w:rsidR="0057554C">
        <w:t xml:space="preserve"> </w:t>
      </w:r>
      <w:r>
        <w:t xml:space="preserve">in the priority areas of education, infrastructure and economic governance </w:t>
      </w:r>
      <w:r w:rsidR="00EE07F3">
        <w:t xml:space="preserve">in Vanuatu, </w:t>
      </w:r>
      <w:r>
        <w:t xml:space="preserve">which are assessed as being ‘on track’ to achieve agreed </w:t>
      </w:r>
      <w:r w:rsidR="00EE07F3">
        <w:t>p</w:t>
      </w:r>
      <w:r>
        <w:t>artnership objectives by 2015</w:t>
      </w:r>
      <w:r w:rsidR="00EE07F3">
        <w:t xml:space="preserve">. </w:t>
      </w:r>
      <w:r>
        <w:t>In health, progress is ‘partly on track’</w:t>
      </w:r>
      <w:r w:rsidR="00616254">
        <w:t xml:space="preserve"> with</w:t>
      </w:r>
      <w:r>
        <w:t xml:space="preserve"> more work needed to align donor efforts in support of Vanuatu’s health reform agenda.</w:t>
      </w:r>
    </w:p>
    <w:p w:rsidR="00A6701D" w:rsidRDefault="00A6701D" w:rsidP="00D3064D">
      <w:pPr>
        <w:pStyle w:val="BodyText"/>
      </w:pPr>
      <w:r>
        <w:t xml:space="preserve">In education, donors are strongly supporting </w:t>
      </w:r>
      <w:r w:rsidR="00EE07F3">
        <w:t xml:space="preserve">the country’s </w:t>
      </w:r>
      <w:r>
        <w:t xml:space="preserve">reform agenda through the Vanuatu Education Road Map. Australia, New Zealand, </w:t>
      </w:r>
      <w:r w:rsidR="00EE07F3">
        <w:t>the United</w:t>
      </w:r>
      <w:r w:rsidR="00E64639">
        <w:t> </w:t>
      </w:r>
      <w:r w:rsidR="00EE07F3">
        <w:t>Nations Children’s Fund (</w:t>
      </w:r>
      <w:r>
        <w:t>UNICEF</w:t>
      </w:r>
      <w:r w:rsidR="00EE07F3">
        <w:t>)</w:t>
      </w:r>
      <w:r>
        <w:t xml:space="preserve"> and the Vanuatu</w:t>
      </w:r>
      <w:r w:rsidR="00DD0AF3">
        <w:t> </w:t>
      </w:r>
      <w:r>
        <w:t>Government are jointly funding the phase-out of primary school fees for all Vanuatu children by 2012, with 70</w:t>
      </w:r>
      <w:r w:rsidR="00EE07F3">
        <w:t xml:space="preserve">% </w:t>
      </w:r>
      <w:r>
        <w:t>of schools fee-free in 2010.</w:t>
      </w:r>
    </w:p>
    <w:p w:rsidR="00A6701D" w:rsidRDefault="00A6701D" w:rsidP="00D3064D">
      <w:pPr>
        <w:pStyle w:val="BodyText"/>
      </w:pPr>
      <w:r>
        <w:t xml:space="preserve">In health, </w:t>
      </w:r>
      <w:r w:rsidR="00A752DE">
        <w:t xml:space="preserve">more </w:t>
      </w:r>
      <w:r>
        <w:t xml:space="preserve">progress </w:t>
      </w:r>
      <w:r w:rsidR="00A752DE">
        <w:t>was made</w:t>
      </w:r>
      <w:r>
        <w:t xml:space="preserve"> in reducing the impact of malaria across Vanuatu and increasing nurse training to address workforce shortages</w:t>
      </w:r>
      <w:r w:rsidR="00EE07F3">
        <w:t xml:space="preserve">. </w:t>
      </w:r>
      <w:r w:rsidR="00C565BA" w:rsidRPr="00782EE4">
        <w:t>A</w:t>
      </w:r>
      <w:r w:rsidRPr="00782EE4">
        <w:t xml:space="preserve">n outcome of </w:t>
      </w:r>
      <w:r w:rsidR="00DD0AF3">
        <w:t xml:space="preserve">the </w:t>
      </w:r>
      <w:r w:rsidRPr="00782EE4">
        <w:t>2010</w:t>
      </w:r>
      <w:r w:rsidR="00E64639">
        <w:t> </w:t>
      </w:r>
      <w:r w:rsidRPr="00782EE4">
        <w:t xml:space="preserve">Partnership </w:t>
      </w:r>
      <w:r w:rsidR="004F796F">
        <w:t>Talks</w:t>
      </w:r>
      <w:r w:rsidRPr="00782EE4">
        <w:t xml:space="preserve"> </w:t>
      </w:r>
      <w:r w:rsidR="00C565BA" w:rsidRPr="00782EE4">
        <w:t>wa</w:t>
      </w:r>
      <w:r w:rsidRPr="00782EE4">
        <w:t xml:space="preserve">s an </w:t>
      </w:r>
      <w:r w:rsidR="004F796F">
        <w:t>agreement by Australia</w:t>
      </w:r>
      <w:r w:rsidRPr="00782EE4">
        <w:t xml:space="preserve"> </w:t>
      </w:r>
      <w:r w:rsidR="00782EE4">
        <w:t>to provide a four</w:t>
      </w:r>
      <w:r w:rsidR="00DD0AF3">
        <w:t>-</w:t>
      </w:r>
      <w:r w:rsidR="00782EE4">
        <w:t>year</w:t>
      </w:r>
      <w:r w:rsidR="00DD0AF3">
        <w:t>,</w:t>
      </w:r>
      <w:r w:rsidR="00782EE4">
        <w:t xml:space="preserve"> </w:t>
      </w:r>
      <w:r w:rsidR="004F796F">
        <w:t>$17.1</w:t>
      </w:r>
      <w:r w:rsidR="00A752DE">
        <w:t> </w:t>
      </w:r>
      <w:r w:rsidR="004F796F">
        <w:t>million</w:t>
      </w:r>
      <w:r w:rsidRPr="00782EE4">
        <w:t xml:space="preserve"> commitment </w:t>
      </w:r>
      <w:r w:rsidR="004F796F">
        <w:t xml:space="preserve">to support Vanuatu’s </w:t>
      </w:r>
      <w:r w:rsidR="004F796F" w:rsidRPr="004F796F">
        <w:rPr>
          <w:i/>
        </w:rPr>
        <w:t>Health Sector Strategy 2010</w:t>
      </w:r>
      <w:r w:rsidR="00DD0AF3">
        <w:rPr>
          <w:i/>
        </w:rPr>
        <w:t>–</w:t>
      </w:r>
      <w:r w:rsidR="004F796F" w:rsidRPr="004F796F">
        <w:rPr>
          <w:i/>
        </w:rPr>
        <w:t>2016</w:t>
      </w:r>
      <w:r w:rsidRPr="00782EE4">
        <w:t>, in partnership with other donors.</w:t>
      </w:r>
    </w:p>
    <w:p w:rsidR="00A6701D" w:rsidRDefault="00A6701D" w:rsidP="00D3064D">
      <w:pPr>
        <w:pStyle w:val="BodyText"/>
      </w:pPr>
      <w:r>
        <w:t xml:space="preserve">In infrastructure, work has </w:t>
      </w:r>
      <w:r w:rsidR="00DD0AF3">
        <w:t>started on improving</w:t>
      </w:r>
      <w:r>
        <w:t xml:space="preserve"> maintenance of transport infrastructure and </w:t>
      </w:r>
      <w:r w:rsidR="003E2C82">
        <w:t xml:space="preserve">creating </w:t>
      </w:r>
      <w:r>
        <w:t xml:space="preserve">job opportunities on the islands of </w:t>
      </w:r>
      <w:proofErr w:type="spellStart"/>
      <w:r>
        <w:t>Tanna</w:t>
      </w:r>
      <w:proofErr w:type="spellEnd"/>
      <w:r>
        <w:t xml:space="preserve">, </w:t>
      </w:r>
      <w:proofErr w:type="spellStart"/>
      <w:r>
        <w:t>Ambae</w:t>
      </w:r>
      <w:proofErr w:type="spellEnd"/>
      <w:r>
        <w:t xml:space="preserve"> and </w:t>
      </w:r>
      <w:proofErr w:type="spellStart"/>
      <w:r>
        <w:t>Malekula</w:t>
      </w:r>
      <w:proofErr w:type="spellEnd"/>
      <w:r w:rsidR="00EE07F3">
        <w:t xml:space="preserve">. </w:t>
      </w:r>
      <w:r>
        <w:t xml:space="preserve">Australia </w:t>
      </w:r>
      <w:r w:rsidR="00EA5000">
        <w:t xml:space="preserve">is supporting </w:t>
      </w:r>
      <w:r>
        <w:t xml:space="preserve">Vanuatu’s plans </w:t>
      </w:r>
      <w:r w:rsidR="00A752DE">
        <w:t>to</w:t>
      </w:r>
      <w:r>
        <w:t xml:space="preserve"> design a new international wharf facility in Port</w:t>
      </w:r>
      <w:r w:rsidR="00DD0AF3">
        <w:t> </w:t>
      </w:r>
      <w:r>
        <w:t xml:space="preserve">Vila, and is </w:t>
      </w:r>
      <w:r w:rsidR="00E64639">
        <w:br/>
      </w:r>
      <w:r w:rsidR="00EA5000">
        <w:t xml:space="preserve">also funding </w:t>
      </w:r>
      <w:r>
        <w:t xml:space="preserve">management improvements to ease congestion and increase </w:t>
      </w:r>
      <w:r w:rsidR="00111FCA">
        <w:t xml:space="preserve">the </w:t>
      </w:r>
      <w:r>
        <w:t>efficiency of stevedoring operations.</w:t>
      </w:r>
    </w:p>
    <w:p w:rsidR="00D1047E" w:rsidRDefault="00A6701D" w:rsidP="00D1047E">
      <w:pPr>
        <w:pStyle w:val="BodyText"/>
      </w:pPr>
      <w:r>
        <w:t xml:space="preserve">In economic governance, there </w:t>
      </w:r>
      <w:r w:rsidR="00DD0AF3">
        <w:t>are</w:t>
      </w:r>
      <w:r>
        <w:t xml:space="preserve"> ongoing improvements in </w:t>
      </w:r>
      <w:r w:rsidR="00A752DE">
        <w:t>strengthening</w:t>
      </w:r>
      <w:r>
        <w:t xml:space="preserve"> Vanuatu’s budget processes and reporting systems</w:t>
      </w:r>
      <w:r w:rsidR="00DD0AF3">
        <w:t>,</w:t>
      </w:r>
      <w:r>
        <w:t xml:space="preserve"> as recognised in the Public </w:t>
      </w:r>
      <w:r w:rsidR="009C2A88">
        <w:t xml:space="preserve">Financial Management Performance Report of November 2009 commissioned by the Public </w:t>
      </w:r>
      <w:r>
        <w:t xml:space="preserve">Expenditure and Financial Accountability </w:t>
      </w:r>
      <w:r w:rsidR="001A42F6">
        <w:t xml:space="preserve">(PEFA) </w:t>
      </w:r>
      <w:r w:rsidR="009C2A88">
        <w:t>program</w:t>
      </w:r>
      <w:r w:rsidR="00EE07F3">
        <w:t xml:space="preserve">. </w:t>
      </w:r>
      <w:r w:rsidR="00846E7B">
        <w:t xml:space="preserve">In 2009, </w:t>
      </w:r>
      <w:r>
        <w:t>Australian advisers</w:t>
      </w:r>
      <w:r w:rsidR="00A752DE">
        <w:t xml:space="preserve"> helped</w:t>
      </w:r>
      <w:r>
        <w:t xml:space="preserve"> 94</w:t>
      </w:r>
      <w:r w:rsidR="00DD0AF3">
        <w:t>%</w:t>
      </w:r>
      <w:r>
        <w:t xml:space="preserve"> of Vanuatu primary schools to adopt stronger financial management arrangements, enabling </w:t>
      </w:r>
      <w:r w:rsidR="00111FCA">
        <w:t>government and its donor partners</w:t>
      </w:r>
      <w:r w:rsidR="00DD0AF3">
        <w:t xml:space="preserve"> </w:t>
      </w:r>
      <w:r>
        <w:t xml:space="preserve">to channel </w:t>
      </w:r>
      <w:r w:rsidR="00A752DE">
        <w:t xml:space="preserve">more </w:t>
      </w:r>
      <w:r>
        <w:t>funding direct to schools in 2010.</w:t>
      </w:r>
    </w:p>
    <w:p w:rsidR="00D30682" w:rsidRDefault="00CB122B" w:rsidP="00D1047E">
      <w:pPr>
        <w:pStyle w:val="BodyText"/>
      </w:pPr>
      <w:r>
        <w:t>C</w:t>
      </w:r>
      <w:r w:rsidR="00D30682">
        <w:t xml:space="preserve">limate change </w:t>
      </w:r>
      <w:r>
        <w:t xml:space="preserve">has been identified as </w:t>
      </w:r>
      <w:r w:rsidR="00D30682">
        <w:t>an issue that need</w:t>
      </w:r>
      <w:r w:rsidR="00A752DE">
        <w:t>s</w:t>
      </w:r>
      <w:r w:rsidR="00D30682">
        <w:t xml:space="preserve"> to be addressed across all sectors.</w:t>
      </w:r>
    </w:p>
    <w:p w:rsidR="00D04DD6" w:rsidRDefault="00D04DD6" w:rsidP="00D1047E">
      <w:pPr>
        <w:pStyle w:val="Heading2"/>
        <w:numPr>
          <w:ilvl w:val="0"/>
          <w:numId w:val="0"/>
        </w:numPr>
        <w:spacing w:before="240"/>
      </w:pPr>
      <w:bookmarkStart w:id="2" w:name="_Toc360711476"/>
      <w:r>
        <w:t xml:space="preserve">Overview of </w:t>
      </w:r>
      <w:r w:rsidR="00F45F39">
        <w:t xml:space="preserve">Vanuatu </w:t>
      </w:r>
      <w:r>
        <w:t>context</w:t>
      </w:r>
      <w:bookmarkEnd w:id="2"/>
    </w:p>
    <w:p w:rsidR="00D04DD6" w:rsidRDefault="00B53D17" w:rsidP="00D04DD6">
      <w:pPr>
        <w:pStyle w:val="BodyText"/>
      </w:pPr>
      <w:r>
        <w:t xml:space="preserve">The Vanuatu economy continues to perform strongly and has weathered the global </w:t>
      </w:r>
      <w:r w:rsidR="009C2A88">
        <w:t>economic</w:t>
      </w:r>
      <w:r w:rsidR="00DD0AF3">
        <w:t xml:space="preserve"> </w:t>
      </w:r>
      <w:r>
        <w:t>crisis relatively well</w:t>
      </w:r>
      <w:r w:rsidR="00EE07F3">
        <w:t xml:space="preserve">. </w:t>
      </w:r>
      <w:r w:rsidR="00DD0AF3">
        <w:t>The l</w:t>
      </w:r>
      <w:r>
        <w:t xml:space="preserve">atest estimates </w:t>
      </w:r>
      <w:r w:rsidR="00673E40">
        <w:t xml:space="preserve">from the Government of Vanuatu and the International Monetary Fund </w:t>
      </w:r>
      <w:r>
        <w:t xml:space="preserve">indicate economic growth of around </w:t>
      </w:r>
      <w:r w:rsidR="00C565BA" w:rsidRPr="00CB122B">
        <w:t>4</w:t>
      </w:r>
      <w:r w:rsidR="00DD0AF3">
        <w:t>%</w:t>
      </w:r>
      <w:r w:rsidR="00BF25D6">
        <w:t> </w:t>
      </w:r>
      <w:r>
        <w:t>in 2009, driven by activity in tourism, construction and telecommunications</w:t>
      </w:r>
      <w:r w:rsidR="00EE07F3">
        <w:t xml:space="preserve">. </w:t>
      </w:r>
      <w:r>
        <w:t>While this is substantially less than the 6.8</w:t>
      </w:r>
      <w:r w:rsidR="008A30FA">
        <w:t>%</w:t>
      </w:r>
      <w:r w:rsidR="00E64639">
        <w:t> g</w:t>
      </w:r>
      <w:r>
        <w:t>rowth in 2008, it is impressive given the global and regional economic context</w:t>
      </w:r>
      <w:r w:rsidR="00EE07F3">
        <w:t xml:space="preserve">. </w:t>
      </w:r>
      <w:r>
        <w:t>Vanuatu’s 2010</w:t>
      </w:r>
      <w:r w:rsidR="008A30FA">
        <w:t> </w:t>
      </w:r>
      <w:r>
        <w:t xml:space="preserve">Budget showed fresh optimism within </w:t>
      </w:r>
      <w:r w:rsidR="008A30FA">
        <w:t>g</w:t>
      </w:r>
      <w:r>
        <w:t xml:space="preserve">overnment about the economic outlook, with forecast growth of </w:t>
      </w:r>
      <w:r w:rsidRPr="00CB122B">
        <w:t>4.</w:t>
      </w:r>
      <w:r w:rsidR="00C565BA" w:rsidRPr="00CB122B">
        <w:t>1</w:t>
      </w:r>
      <w:r w:rsidR="008A30FA">
        <w:t>%</w:t>
      </w:r>
      <w:r w:rsidR="00BF25D6">
        <w:t> </w:t>
      </w:r>
      <w:r>
        <w:t>in 2010.</w:t>
      </w:r>
    </w:p>
    <w:p w:rsidR="00B53D17" w:rsidRDefault="00B53D17" w:rsidP="00D04DD6">
      <w:pPr>
        <w:pStyle w:val="BodyText"/>
      </w:pPr>
      <w:r>
        <w:lastRenderedPageBreak/>
        <w:t>Vanuatu is one of the few countries in the Pacific that has significant</w:t>
      </w:r>
      <w:r w:rsidR="00E61BA6">
        <w:t xml:space="preserve">ly </w:t>
      </w:r>
      <w:r>
        <w:t>reduc</w:t>
      </w:r>
      <w:r w:rsidR="00E61BA6">
        <w:t>ed</w:t>
      </w:r>
      <w:r>
        <w:t xml:space="preserve"> poverty over the last decade, due largely to sound policy choices leading to strong economic growth</w:t>
      </w:r>
      <w:r w:rsidR="00EE07F3">
        <w:t xml:space="preserve">. </w:t>
      </w:r>
      <w:r>
        <w:t>Vanuatu’s main commodity export is copra</w:t>
      </w:r>
      <w:r w:rsidR="008A30FA">
        <w:t>. T</w:t>
      </w:r>
      <w:r>
        <w:t>ourism is becoming increasingly important and is contributing to growth across a range of sectors</w:t>
      </w:r>
      <w:r w:rsidR="008A30FA">
        <w:t>—</w:t>
      </w:r>
      <w:r>
        <w:t>wholesale, retail, restaurants, hotels, transport and communications.</w:t>
      </w:r>
    </w:p>
    <w:p w:rsidR="00DF1246" w:rsidRDefault="00E51D0A" w:rsidP="00855392">
      <w:pPr>
        <w:pStyle w:val="Heading2"/>
        <w:numPr>
          <w:ilvl w:val="0"/>
          <w:numId w:val="0"/>
        </w:numPr>
        <w:spacing w:before="240"/>
      </w:pPr>
      <w:bookmarkStart w:id="3" w:name="_Toc360711477"/>
      <w:r>
        <w:t>Results</w:t>
      </w:r>
      <w:bookmarkEnd w:id="3"/>
    </w:p>
    <w:p w:rsidR="00156A18" w:rsidRDefault="00156A18">
      <w:pPr>
        <w:pStyle w:val="Caption"/>
      </w:pPr>
      <w:r>
        <w:t xml:space="preserve">Table </w:t>
      </w:r>
      <w:fldSimple w:instr=" SEQ Table \* MERGEFORMAT ">
        <w:r w:rsidR="00467E42">
          <w:rPr>
            <w:noProof/>
          </w:rPr>
          <w:t>1</w:t>
        </w:r>
      </w:fldSimple>
      <w:r>
        <w:t xml:space="preserve">: Ratings of the program’s progress towards the objectives of the </w:t>
      </w:r>
      <w:r w:rsidR="00B53D17">
        <w:t>Australia</w:t>
      </w:r>
      <w:r w:rsidR="008A30FA">
        <w:t xml:space="preserve"> – </w:t>
      </w:r>
      <w:r w:rsidR="00B53D17">
        <w:t>Vanuatu Partnership for Development</w:t>
      </w:r>
    </w:p>
    <w:tbl>
      <w:tblPr>
        <w:tblW w:w="0" w:type="auto"/>
        <w:tblInd w:w="57" w:type="dxa"/>
        <w:tblLook w:val="01E0" w:firstRow="1" w:lastRow="1" w:firstColumn="1" w:lastColumn="1" w:noHBand="0" w:noVBand="0"/>
      </w:tblPr>
      <w:tblGrid>
        <w:gridCol w:w="6720"/>
        <w:gridCol w:w="896"/>
      </w:tblGrid>
      <w:tr w:rsidR="00B53D17" w:rsidRPr="00D81B5B" w:rsidTr="00AD5CC1">
        <w:trPr>
          <w:tblHeader/>
        </w:trPr>
        <w:tc>
          <w:tcPr>
            <w:tcW w:w="6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D17" w:rsidRPr="00D81B5B" w:rsidRDefault="00B53D17">
            <w:pPr>
              <w:pStyle w:val="TableTextColumnHeading"/>
            </w:pPr>
            <w:r w:rsidRPr="00D81B5B">
              <w:t>Objective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D17" w:rsidRDefault="00B53D17" w:rsidP="00DF1246">
            <w:pPr>
              <w:pStyle w:val="TableTextColumnHeading"/>
              <w:jc w:val="center"/>
            </w:pPr>
            <w:r w:rsidRPr="00D81B5B">
              <w:t>Rating</w:t>
            </w:r>
          </w:p>
        </w:tc>
      </w:tr>
      <w:tr w:rsidR="00B53D17" w:rsidRPr="00D81B5B" w:rsidTr="00F21734">
        <w:trPr>
          <w:cantSplit/>
        </w:trPr>
        <w:tc>
          <w:tcPr>
            <w:tcW w:w="6720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D17" w:rsidRPr="0058729F" w:rsidRDefault="00B53D17">
            <w:pPr>
              <w:pStyle w:val="TableTextEntries"/>
            </w:pPr>
            <w:r>
              <w:t xml:space="preserve">Improved </w:t>
            </w:r>
            <w:r w:rsidR="008A30FA">
              <w:t>e</w:t>
            </w:r>
            <w:r>
              <w:t>ducation: support increased access and quality of education for all boys and girls and equip them with relevant skills and knowledge</w:t>
            </w:r>
          </w:p>
        </w:tc>
        <w:tc>
          <w:tcPr>
            <w:tcW w:w="896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D17" w:rsidRPr="0058729F" w:rsidRDefault="00473CE5" w:rsidP="004174E5">
            <w:pPr>
              <w:pStyle w:val="Ratingbulle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30810" cy="163195"/>
                  <wp:effectExtent l="0" t="0" r="2540" b="8255"/>
                  <wp:docPr id="9" name="Picture 1" descr="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17" w:rsidRPr="00D81B5B" w:rsidTr="00F21734">
        <w:trPr>
          <w:cantSplit/>
        </w:trPr>
        <w:tc>
          <w:tcPr>
            <w:tcW w:w="6720" w:type="dxa"/>
            <w:tcMar>
              <w:left w:w="57" w:type="dxa"/>
              <w:right w:w="57" w:type="dxa"/>
            </w:tcMar>
            <w:vAlign w:val="center"/>
          </w:tcPr>
          <w:p w:rsidR="00B53D17" w:rsidRPr="0058729F" w:rsidRDefault="00F21734">
            <w:pPr>
              <w:pStyle w:val="TableTextEntries"/>
            </w:pPr>
            <w:r>
              <w:t xml:space="preserve">Improved </w:t>
            </w:r>
            <w:r w:rsidR="008A30FA">
              <w:t>h</w:t>
            </w:r>
            <w:r>
              <w:t>ealth: strengthen health services and accelerate progress towards health MDGs</w:t>
            </w:r>
          </w:p>
        </w:tc>
        <w:tc>
          <w:tcPr>
            <w:tcW w:w="8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D17" w:rsidRPr="0058729F" w:rsidRDefault="00473CE5" w:rsidP="00DF1246">
            <w:pPr>
              <w:pStyle w:val="Ratingbulle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6685" cy="196215"/>
                  <wp:effectExtent l="0" t="0" r="5715" b="0"/>
                  <wp:docPr id="8" name="Picture 2" descr="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17" w:rsidRPr="00D81B5B" w:rsidTr="00F21734">
        <w:trPr>
          <w:cantSplit/>
        </w:trPr>
        <w:tc>
          <w:tcPr>
            <w:tcW w:w="6720" w:type="dxa"/>
            <w:tcMar>
              <w:left w:w="57" w:type="dxa"/>
              <w:right w:w="57" w:type="dxa"/>
            </w:tcMar>
            <w:vAlign w:val="center"/>
          </w:tcPr>
          <w:p w:rsidR="00B53D17" w:rsidRPr="0058729F" w:rsidRDefault="00F21734">
            <w:pPr>
              <w:pStyle w:val="TableTextEntries"/>
            </w:pPr>
            <w:r>
              <w:t xml:space="preserve">Improved </w:t>
            </w:r>
            <w:r w:rsidR="008A30FA">
              <w:t>i</w:t>
            </w:r>
            <w:r>
              <w:t>nfrastructure: develop essential infrastructure to support economic growth and service delivery</w:t>
            </w:r>
          </w:p>
        </w:tc>
        <w:tc>
          <w:tcPr>
            <w:tcW w:w="8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D17" w:rsidRPr="0058729F" w:rsidRDefault="00473CE5" w:rsidP="00DF1246">
            <w:pPr>
              <w:pStyle w:val="Ratingbulle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30810" cy="163195"/>
                  <wp:effectExtent l="0" t="0" r="2540" b="8255"/>
                  <wp:docPr id="7" name="Picture 3" descr="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17" w:rsidRPr="00D81B5B" w:rsidTr="00F21734">
        <w:trPr>
          <w:cantSplit/>
        </w:trPr>
        <w:tc>
          <w:tcPr>
            <w:tcW w:w="6720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D17" w:rsidRPr="00D81B5B" w:rsidRDefault="00F21734">
            <w:pPr>
              <w:pStyle w:val="TableTextEntries"/>
            </w:pPr>
            <w:r>
              <w:t xml:space="preserve">Economic </w:t>
            </w:r>
            <w:r w:rsidR="008A30FA">
              <w:t>g</w:t>
            </w:r>
            <w:r>
              <w:t>overnance: progress reform on economic governance issues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D17" w:rsidRPr="0058729F" w:rsidRDefault="00473CE5" w:rsidP="00DF1246">
            <w:pPr>
              <w:pStyle w:val="Ratingbulle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30810" cy="163195"/>
                  <wp:effectExtent l="0" t="0" r="2540" b="8255"/>
                  <wp:docPr id="3" name="Picture 4" descr="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A18" w:rsidRDefault="00156A18" w:rsidP="00EC0129">
      <w:pPr>
        <w:pStyle w:val="Note"/>
        <w:keepNext/>
      </w:pPr>
      <w:r w:rsidRPr="00D33DDE">
        <w:t xml:space="preserve">Note: </w:t>
      </w:r>
    </w:p>
    <w:p w:rsidR="00FE607C" w:rsidRPr="006D2818" w:rsidRDefault="00473CE5" w:rsidP="00EC0129">
      <w:pPr>
        <w:pStyle w:val="Note"/>
        <w:keepNext/>
        <w:spacing w:before="0"/>
      </w:pPr>
      <w:r>
        <w:rPr>
          <w:noProof/>
          <w:color w:val="99CC00"/>
          <w:sz w:val="18"/>
          <w:szCs w:val="18"/>
          <w:lang w:val="en-US"/>
        </w:rPr>
        <mc:AlternateContent>
          <mc:Choice Requires="wps">
            <w:drawing>
              <wp:inline distT="0" distB="0" distL="0" distR="0">
                <wp:extent cx="109855" cy="109855"/>
                <wp:effectExtent l="0" t="0" r="4445" b="4445"/>
                <wp:docPr id="16" name="Rectangle 4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Gree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8thQIAAAkFAAAOAAAAZHJzL2Uyb0RvYy54bWysVN1u2yAUvp+0d0Dcp/6RncZWnKptlmpS&#10;t1Xr9gAEcIyGgQGJ01V79x1wkqXdzTTNF5jD+eF853yH+dW+l2jHrRNaNTi7SDHiimom1KbBX7+s&#10;JjOMnCeKEakVb/ATd/hq8fbNfDA1z3WnJeMWQRDl6sE0uPPe1EniaMd74i604QqUrbY98SDaTcIs&#10;GSB6L5M8TafJoC0zVlPuHJwuRyVexPhty6n/1LaOeyQbDLn5uNq4rsOaLOak3lhiOkEPaZB/yKIn&#10;QsGlp1BL4gnaWvFHqF5Qq51u/QXVfaLbVlAeMQCaLH2F5rEjhkcsUBxnTmVy/y8s/bh7sEgw6N0U&#10;I0V66NFnqBpRG8lRgRHjjkK97iznKlRrMK4Gp0fzYANeZ+41/eaQ0rcd+PBra/XQccIgxyzYJy8c&#10;guDAFa2HD5rBXWTrdSzcvrV9CAglQfvYn6dTf/jeIwqHWVrNyhIjCqrDPtxA6qOzsc7fcd2jsGmw&#10;BSAxONndOz+aHk1i8loKthJSRsFu1rfSoh0BqlT5Mi0jOyC6OzeTKhgrHdzGiOMJ5Ah3BF3INrb+&#10;ucryIr3Jq8lqOrucFKuinFSX6WySZtVNNU2LqliufoYEs6LuBGNc3QvFjzTMir9r82EgRgJFIqIB&#10;EJR5GbG/yN6dg0zjF5v0CmQvPEylFH2DZycjUoe+vlMMYJPaEyHHffIy/dgQqMHxH6sSWRAaPxJo&#10;rdkTkMBqaBJMJbwfsOm0/YHRALPYYPd9SyzHSL5XQKQqK4owvFEoysscBHuuWZ9riKIQqsEeo3F7&#10;68eB3xorNh3clMXCKH0N5GtFJEYg5pjVgbIwbxHB4W0IA30uR6vfL9jiFwAAAP//AwBQSwMEFAAG&#10;AAgAAAAhAPePU9XXAAAAAwEAAA8AAABkcnMvZG93bnJldi54bWxMj0tPwzAQhO9I/AdrkXqjDg9R&#10;FOJUVVF7bwPluo23SYS9jmLn0X9fFw5w2dFqVjPfZsvJGjFQ5xvHCh7mCQji0umGKwUfxeb+FYQP&#10;yBqNY1JwJg/L/PYmw1S7kXc07EMlYgj7FBXUIbSplL6syaKfu5Y4eifXWQxx7SqpOxxjuDXyMUle&#10;pMWGY0ONLa1rKr/3vVVw2Oi22K1Nf1gttuPps3x/Hr4KpWZ30+oNRKAp/B3DFT+iQx6Zjq5n7YVR&#10;EB8JP/PqLZ5AHH9V5pn8z55fAAAA//8DAFBLAQItABQABgAIAAAAIQC2gziS/gAAAOEBAAATAAAA&#10;AAAAAAAAAAAAAAAAAABbQ29udGVudF9UeXBlc10ueG1sUEsBAi0AFAAGAAgAAAAhADj9If/WAAAA&#10;lAEAAAsAAAAAAAAAAAAAAAAALwEAAF9yZWxzLy5yZWxzUEsBAi0AFAAGAAgAAAAhALifPy2FAgAA&#10;CQUAAA4AAAAAAAAAAAAAAAAALgIAAGRycy9lMm9Eb2MueG1sUEsBAi0AFAAGAAgAAAAhAPePU9XX&#10;AAAAAwEAAA8AAAAAAAAAAAAAAAAA3wQAAGRycy9kb3ducmV2LnhtbFBLBQYAAAAABAAEAPMAAADj&#10;BQAAAAA=&#10;" fillcolor="#92d050" stroked="f">
                <w10:anchorlock/>
              </v:rect>
            </w:pict>
          </mc:Fallback>
        </mc:AlternateContent>
      </w:r>
      <w:r w:rsidR="009369AB">
        <w:rPr>
          <w:rFonts w:ascii="Arial Unicode MS" w:eastAsia="Arial Unicode MS" w:hAnsi="Arial Unicode MS" w:cs="Arial Unicode MS"/>
        </w:rPr>
        <w:t> </w:t>
      </w:r>
      <w:r w:rsidR="00FE607C" w:rsidRPr="006D2818">
        <w:t xml:space="preserve">The objective will be fully achieved within the timeframe of the </w:t>
      </w:r>
      <w:r w:rsidR="008A30FA">
        <w:t>p</w:t>
      </w:r>
      <w:r w:rsidR="00F21734">
        <w:t>artnership</w:t>
      </w:r>
      <w:r w:rsidR="00FE607C" w:rsidRPr="006D2818">
        <w:t>.</w:t>
      </w:r>
    </w:p>
    <w:p w:rsidR="00FE607C" w:rsidRPr="006D2818" w:rsidRDefault="00473CE5" w:rsidP="00EC0129">
      <w:pPr>
        <w:pStyle w:val="Note"/>
        <w:keepNext/>
        <w:spacing w:before="0"/>
      </w:pPr>
      <w:r>
        <w:rPr>
          <w:noProof/>
          <w:color w:val="FF99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107315</wp:posOffset>
                </wp:positionV>
                <wp:extent cx="109855" cy="123825"/>
                <wp:effectExtent l="635" t="2540" r="3810" b="0"/>
                <wp:wrapNone/>
                <wp:docPr id="15" name="Rectangle 8" descr="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23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alt="Red" style="position:absolute;margin-left:.05pt;margin-top:8.45pt;width:8.6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M9hQIAAAcFAAAOAAAAZHJzL2Uyb0RvYy54bWysVG1v0zAQ/o7Ef7D8vcsL6dZETaetJQhp&#10;wLTBD3Btp7FwbGO7TQfiv3N22tIBHxCiH1xffHd+nrvnPL/e9xLtuHVCqxpnFylGXFHNhNrU+NPH&#10;ZjLDyHmiGJFa8Ro/cYevFy9fzAdT8Vx3WjJuESRRrhpMjTvvTZUkjna8J+5CG67gsNW2Jx5Mu0mY&#10;JQNk72WSp+llMmjLjNWUOwdfV+MhXsT8bcup/9C2jnskawzYfFxtXNdhTRZzUm0sMZ2gBxjkH1D0&#10;RCi49JRqRTxBWyt+S9ULarXTrb+guk902wrKIwdgk6W/sHnsiOGRCxTHmVOZ3P9LS9/v7i0SDHo3&#10;xUiRHnr0AFUjaiM5guYx7ijU64GzUKvBuApCHs29DWydudP0s0NKLzuI4DfW6qHjhAHCLPgnzwKC&#10;4SAUrYd3msFNZOt1LNu+tX1ICAVB+9idp1N3+N4jCh+ztJxNASSFoyx/Ncun8QZSHYONdf4N1z0K&#10;mxpboBGTk92d8wEMqY4uEbyWgjVCymjYzXopLdoREErTpPA7ZHfnblIFZ6VD2Jhx/AIY4Y5wFtDG&#10;xn8rs7xIb/Ny0lzOriZFU0wn5VU6m6RZeVtepkVZrJrvAWBWVJ1gjKs7ofhRhFnxd00+jMMonyhD&#10;NNS4nEJ1Iq9z9O6cZKD4Z5K98DCTUvQ1np2cSBX6+loxoE0qT4Qc98lz+LHKUIPjf6xKVEFo/Cig&#10;tWZPIAKroUkwk/B6wKbT9itGA0xijd2XLbEcI/lWgZDKrCjC6EajmF7lYNjzk/X5CVEUUtXYYzRu&#10;l34c962xYtPBTVksjNI3IL5WRGEEYY6oDpKFaYsMDi9DGOdzO3r9fL8WPwAAAP//AwBQSwMEFAAG&#10;AAgAAAAhADpLhHfZAAAABQEAAA8AAABkcnMvZG93bnJldi54bWxMjsFugzAQRO+V+g/WVuqtMU0Q&#10;aSkmiiLlA0JzaG/G3gKqvUbYIdCvjzmll5FGM5p5xW6yho04+M6RgNdVAgxJOd1RI+D8eXx5A+aD&#10;JC2NIxQwo4dd+fhQyFy7K51wrELD4gj5XApoQ+hzzr1q0Uq/cj1SzH7cYGWIdmi4HuQ1jlvD10mS&#10;cSs7ig+t7PHQovqtLlbA9/ZsTqr72zfzV6riyVxX4yzE89O0/wAWcAr3Miz4ER3KyFS7C2nPzOJZ&#10;iJq9A1vSbQqsFrDJUuBlwf/TlzcAAAD//wMAUEsBAi0AFAAGAAgAAAAhALaDOJL+AAAA4QEAABMA&#10;AAAAAAAAAAAAAAAAAAAAAFtDb250ZW50X1R5cGVzXS54bWxQSwECLQAUAAYACAAAACEAOP0h/9YA&#10;AACUAQAACwAAAAAAAAAAAAAAAAAvAQAAX3JlbHMvLnJlbHNQSwECLQAUAAYACAAAACEAgKHzPYUC&#10;AAAHBQAADgAAAAAAAAAAAAAAAAAuAgAAZHJzL2Uyb0RvYy54bWxQSwECLQAUAAYACAAAACEAOkuE&#10;d9kAAAAFAQAADwAAAAAAAAAAAAAAAADfBAAAZHJzL2Rvd25yZXYueG1sUEsFBgAAAAAEAAQA8wAA&#10;AOUFAAAAAA==&#10;" fillcolor="red" stroked="f"/>
            </w:pict>
          </mc:Fallback>
        </mc:AlternateContent>
      </w:r>
      <w:r>
        <w:rPr>
          <w:noProof/>
          <w:color w:val="FF9900"/>
          <w:sz w:val="18"/>
          <w:szCs w:val="18"/>
          <w:lang w:val="en-US"/>
        </w:rPr>
        <mc:AlternateContent>
          <mc:Choice Requires="wps">
            <w:drawing>
              <wp:inline distT="0" distB="0" distL="0" distR="0">
                <wp:extent cx="109855" cy="108585"/>
                <wp:effectExtent l="0" t="0" r="4445" b="5715"/>
                <wp:docPr id="14" name="AutoShape 7" descr="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8585"/>
                        </a:xfrm>
                        <a:prstGeom prst="flowChartProcess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alt="Orange" style="width:8.6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u+iwIAABYFAAAOAAAAZHJzL2Uyb0RvYy54bWysVFFv0zAQfkfiP1h+75JUSZtETaetowhp&#10;sEmDH+DaTmPh2MZ2mw7Ef+fstKUDHhAiD47Pd7777u47L64PvUR7bp3QqsHZVYoRV1QzobYN/vRx&#10;PSkxcp4oRqRWvMHP3OHr5etXi8HUfKo7LRm3CJwoVw+mwZ33pk4SRzveE3elDVegbLXtiQfRbhNm&#10;yQDee5lM03SWDNoyYzXlzsHp3ajEy+i/bTn1D23ruEeywYDNx9XGdRPWZLkg9dYS0wl6hEH+AUVP&#10;hIKgZ1d3xBO0s+I3V72gVjvd+iuq+0S3raA85gDZZOkv2Tx1xPCYCxTHmXOZ3P9zSz/sHy0SDHqX&#10;Y6RIDz262XkdQ6M5Row7CvV6sERteSjXYFwNt57Mow0JO3Ov6WeHlF51weTGWj10nDAAmQX75MWF&#10;IDi4ijbDe80gGIFgsXKH1vbBIdQEHWKDns8N4gePKBxmaVUWBUYUVFlaFmURI5D6dNlY599y3aOw&#10;aXAr9QCwrH8cGRIDkf298wEYqU/mMREtBVsLKaNgt5uVtGhPgDfreTXLZ8dI7tJMqmCsdLg2ehxP&#10;AC/ECLqAPPLgW5VN8/R2Wk3Ws3I+ydd5ManmaTlJs+q2mqV5ld+tvweAWV53gjGu7oXiJ05m+d/1&#10;/DgdI5siK9HQ4KqYFjH3F+jdZZJp/P6UZC88jKgUfYPLsxGpQ4/fKAZpk9oTIcd98hJ+rDLU4PSP&#10;VYmMCCQYybTR7BkIYTU0DEYUHhPYdNp+xWiAwWyw+7IjlmMk3ykgVZXleZjkKOTFfAqCvdRsLjVE&#10;UXDVYI/RuF35cfp3xoptB5GyWBilA+tbEYkRSDqiOtIXhi9mcHwownRfytHq53O2/AEAAP//AwBQ&#10;SwMEFAAGAAgAAAAhAF695h/YAAAAAwEAAA8AAABkcnMvZG93bnJldi54bWxMj0FLw0AQhe9C/8My&#10;BW92UwWVmE0pth4EEUz8AdPsNAlmZ0J220R/vRsv9jKP4Q3vfZNtJtepMw2+FTawXiWgiCuxLdcG&#10;PsuXm0dQPiBb7ITJwDd52OSLqwxTKyN/0LkItYoh7FM00ITQp1r7qiGHfiU9cfSOMjgMcR1qbQcc&#10;Y7jr9G2S3GuHLceGBnt6bqj6Kk7OwHa/m0qpZF++1+Pb7vXYOv4pjLleTtsnUIGm8H8MM35Ehzwy&#10;HeTE1qvOQHwk/M3Ze7gDdZh1DTrP9CV7/gsAAP//AwBQSwECLQAUAAYACAAAACEAtoM4kv4AAADh&#10;AQAAEwAAAAAAAAAAAAAAAAAAAAAAW0NvbnRlbnRfVHlwZXNdLnhtbFBLAQItABQABgAIAAAAIQA4&#10;/SH/1gAAAJQBAAALAAAAAAAAAAAAAAAAAC8BAABfcmVscy8ucmVsc1BLAQItABQABgAIAAAAIQAC&#10;m+u+iwIAABYFAAAOAAAAAAAAAAAAAAAAAC4CAABkcnMvZTJvRG9jLnhtbFBLAQItABQABgAIAAAA&#10;IQBeveYf2AAAAAMBAAAPAAAAAAAAAAAAAAAAAOUEAABkcnMvZG93bnJldi54bWxQSwUGAAAAAAQA&#10;BADzAAAA6gUAAAAA&#10;" fillcolor="#f79646" stroked="f">
                <w10:anchorlock/>
              </v:shape>
            </w:pict>
          </mc:Fallback>
        </mc:AlternateContent>
      </w:r>
      <w:r w:rsidR="009369AB">
        <w:rPr>
          <w:rFonts w:ascii="Arial Unicode MS" w:eastAsia="Arial Unicode MS" w:hAnsi="Arial Unicode MS" w:cs="Arial Unicode MS"/>
        </w:rPr>
        <w:t> </w:t>
      </w:r>
      <w:r w:rsidR="00FE607C" w:rsidRPr="006D2818">
        <w:t>The objective will be partly achieved with</w:t>
      </w:r>
      <w:r w:rsidR="00F21734">
        <w:t xml:space="preserve">in the timeframe of the </w:t>
      </w:r>
      <w:r w:rsidR="008A30FA">
        <w:t>p</w:t>
      </w:r>
      <w:r w:rsidR="00F21734">
        <w:t>artnership</w:t>
      </w:r>
      <w:r w:rsidR="00FE607C" w:rsidRPr="006D2818">
        <w:t>.</w:t>
      </w:r>
    </w:p>
    <w:p w:rsidR="00FE607C" w:rsidRPr="006D2818" w:rsidRDefault="00DF1246">
      <w:pPr>
        <w:pStyle w:val="Note"/>
        <w:spacing w:before="0"/>
      </w:pPr>
      <w:r>
        <w:rPr>
          <w:color w:val="FF0000"/>
          <w:sz w:val="18"/>
          <w:szCs w:val="18"/>
        </w:rPr>
        <w:sym w:font="Webdings" w:char="F067"/>
      </w:r>
      <w:r w:rsidR="009369AB">
        <w:rPr>
          <w:rFonts w:ascii="Arial Unicode MS" w:eastAsia="Arial Unicode MS" w:hAnsi="Arial Unicode MS" w:cs="Arial Unicode MS"/>
        </w:rPr>
        <w:t> </w:t>
      </w:r>
      <w:r w:rsidR="00FE607C" w:rsidRPr="006D2818">
        <w:t>The objective is unlikely to be achieved with</w:t>
      </w:r>
      <w:r w:rsidR="00F21734">
        <w:t xml:space="preserve">in the timeframe of the </w:t>
      </w:r>
      <w:r w:rsidR="008A30FA">
        <w:t>partnership</w:t>
      </w:r>
      <w:r w:rsidR="00FE607C" w:rsidRPr="006D2818">
        <w:t>.</w:t>
      </w:r>
    </w:p>
    <w:p w:rsidR="00CB122B" w:rsidRDefault="004F796F" w:rsidP="00CB122B">
      <w:pPr>
        <w:pStyle w:val="Heading2"/>
        <w:numPr>
          <w:ilvl w:val="0"/>
          <w:numId w:val="0"/>
        </w:numPr>
        <w:spacing w:before="240"/>
      </w:pPr>
      <w:r>
        <w:br w:type="page"/>
      </w:r>
      <w:bookmarkStart w:id="4" w:name="_Toc360711478"/>
      <w:r w:rsidR="00CB122B">
        <w:lastRenderedPageBreak/>
        <w:t>Priority Outcome 1: Improved Education</w:t>
      </w:r>
      <w:bookmarkEnd w:id="4"/>
    </w:p>
    <w:p w:rsidR="00F21734" w:rsidRPr="009004A2" w:rsidRDefault="00F21734" w:rsidP="009004A2">
      <w:pPr>
        <w:pStyle w:val="Heading3"/>
        <w:spacing w:before="120"/>
      </w:pPr>
      <w:bookmarkStart w:id="5" w:name="_Toc360711479"/>
      <w:r w:rsidRPr="009004A2">
        <w:t>Rating</w:t>
      </w:r>
      <w:bookmarkEnd w:id="5"/>
    </w:p>
    <w:p w:rsidR="00F21734" w:rsidRPr="00F21734" w:rsidRDefault="00473CE5" w:rsidP="00F21734">
      <w:pPr>
        <w:pStyle w:val="BodyText"/>
        <w:spacing w:after="120"/>
      </w:pPr>
      <w:r>
        <w:rPr>
          <w:noProof/>
          <w:color w:val="99CC00"/>
          <w:lang w:val="en-US" w:eastAsia="en-US"/>
        </w:rPr>
        <mc:AlternateContent>
          <mc:Choice Requires="wps">
            <w:drawing>
              <wp:inline distT="0" distB="0" distL="0" distR="0">
                <wp:extent cx="123190" cy="128905"/>
                <wp:effectExtent l="0" t="0" r="0" b="4445"/>
                <wp:docPr id="13" name="Rectangle 9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89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Green" style="width:9.7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ypiQIAAAkFAAAOAAAAZHJzL2Uyb0RvYy54bWysVNuO0zAQfUfiHyy/t7lsuttETVe7LV0h&#10;LbBi4QNc22ksHNvYbtMF8e+Mnba08IIQfXA98cz4zJkznt3uO4l23DqhVY2zcYoRV1QzoTY1/vxp&#10;NZpi5DxRjEiteI1fuMO389evZr2peK5bLRm3CJIoV/Wmxq33pkoSR1veETfWhis4bLTtiAfTbhJm&#10;SQ/ZO5nkaXqd9NoyYzXlzsHX5XCI5zF/03DqPzSN4x7JGgM2H1cb13VYk/mMVBtLTCvoAQb5BxQd&#10;EQouPaVaEk/Q1oo/UnWCWu1048dUd4luGkF5rAGqydLfqnluieGxFiDHmRNN7v+lpe93TxYJBr27&#10;wkiRDnr0EVgjaiM5KjFi3FHg68FyrgJbvXEVBD2bJxvqdeZR0y8OKb1oIYbfWav7lhMGGLPgn1wE&#10;BMNBKFr37zSDu8jW60jcvrFdSAiUoH3sz8upP3zvEYWPWX6VldBFCkdZPi3TSbyBVMdgY51/4LpD&#10;YVNjC4XE5GT36HwAQ6qjSwSvpWArIWU07Ga9kBbtCEilzJfpJKoDQty5m1TBWekQNmQcvgBGuCOc&#10;BbSx9d/LLC/S+7wcra6nN6NiVUxG5U06HaVZeV9ep0VZLFc/AsCsqFrBGFePQvGjDLPi79p8GIhB&#10;QFGIqIcKJvkk1n6B3p0XmcbfgcILt054mEopuhpPT06kCn19oxiUTSpPhBz2ySX8yDJwcPyPrEQV&#10;hMYPAlpr9gIisBqaBP2E9wM2rbbfMOphFmvsvm6J5RjJtwqEVGZFEYY3GsXkJgfDnp+sz0+IopCq&#10;xh6jYbvww8BvjRWbFm7KIjFK34H4GhGFEYQ5oDpIFuYtVnB4G8JAn9vR69cLNv8JAAD//wMAUEsD&#10;BBQABgAIAAAAIQCnC8+V2QAAAAMBAAAPAAAAZHJzL2Rvd25yZXYueG1sTI/NTsMwEITvSLyDtUjc&#10;qEOpgIZsqqqo3NtAe3XjbRJhr6PY+eHtcbnQy0qjGc18m60ma8RAnW8cIzzOEhDEpdMNVwifxfbh&#10;FYQPirUyjgnhhzys8tubTKXajbyjYR8qEUvYpwqhDqFNpfRlTVb5mWuJo3d2nVUhyq6SulNjLLdG&#10;zpPkWVrVcFyoVUubmsrvfW8RDlvdFruN6Q/rl4/x/FW+L4ZjgXh/N63fQASawn8YLvgRHfLIdHI9&#10;ay8MQnwk/N2Lt1yAOCHMkyeQeSav2fNfAAAA//8DAFBLAQItABQABgAIAAAAIQC2gziS/gAAAOEB&#10;AAATAAAAAAAAAAAAAAAAAAAAAABbQ29udGVudF9UeXBlc10ueG1sUEsBAi0AFAAGAAgAAAAhADj9&#10;If/WAAAAlAEAAAsAAAAAAAAAAAAAAAAALwEAAF9yZWxzLy5yZWxzUEsBAi0AFAAGAAgAAAAhAKy+&#10;7KmJAgAACQUAAA4AAAAAAAAAAAAAAAAALgIAAGRycy9lMm9Eb2MueG1sUEsBAi0AFAAGAAgAAAAh&#10;AKcLz5XZAAAAAwEAAA8AAAAAAAAAAAAAAAAA4wQAAGRycy9kb3ducmV2LnhtbFBLBQYAAAAABAAE&#10;APMAAADpBQAAAAA=&#10;" fillcolor="#92d050" stroked="f">
                <w10:anchorlock/>
              </v:rect>
            </w:pict>
          </mc:Fallback>
        </mc:AlternateContent>
      </w:r>
      <w:r w:rsidR="00F21734" w:rsidRPr="00F21734">
        <w:rPr>
          <w:rFonts w:eastAsia="Arial Unicode MS" w:hAnsi="Arial Unicode MS"/>
        </w:rPr>
        <w:t> </w:t>
      </w:r>
      <w:r w:rsidR="00F21734" w:rsidRPr="00F21734">
        <w:t>The objective will be fully achieved within the timeframe of the strategy.</w:t>
      </w:r>
    </w:p>
    <w:tbl>
      <w:tblPr>
        <w:tblW w:w="7938" w:type="dxa"/>
        <w:tblInd w:w="57" w:type="dxa"/>
        <w:tblBorders>
          <w:top w:val="single" w:sz="12" w:space="0" w:color="auto"/>
          <w:bottom w:val="single" w:sz="12" w:space="0" w:color="auto"/>
        </w:tblBorders>
        <w:shd w:val="clear" w:color="auto" w:fill="F5F1CC"/>
        <w:tblLook w:val="01E0" w:firstRow="1" w:lastRow="1" w:firstColumn="1" w:lastColumn="1" w:noHBand="0" w:noVBand="0"/>
      </w:tblPr>
      <w:tblGrid>
        <w:gridCol w:w="7938"/>
      </w:tblGrid>
      <w:tr w:rsidR="00F21734" w:rsidRPr="00F21734" w:rsidTr="003C1A66">
        <w:tc>
          <w:tcPr>
            <w:tcW w:w="7938" w:type="dxa"/>
            <w:shd w:val="clear" w:color="auto" w:fill="F5F1CC"/>
          </w:tcPr>
          <w:p w:rsidR="008A30FA" w:rsidRDefault="00F21734" w:rsidP="00AD5CC1">
            <w:pPr>
              <w:pStyle w:val="H4A"/>
            </w:pPr>
            <w:r w:rsidRPr="00F21734">
              <w:t xml:space="preserve">Joint </w:t>
            </w:r>
            <w:r w:rsidR="00846E7B">
              <w:t>c</w:t>
            </w:r>
            <w:r w:rsidRPr="00F21734">
              <w:t>ommitments</w:t>
            </w:r>
          </w:p>
          <w:p w:rsidR="00F21734" w:rsidRPr="00F21734" w:rsidRDefault="00F21734" w:rsidP="00EE4AFE">
            <w:pPr>
              <w:pStyle w:val="BoxText"/>
              <w:rPr>
                <w:b/>
              </w:rPr>
            </w:pPr>
            <w:r w:rsidRPr="00F21734">
              <w:t xml:space="preserve">The </w:t>
            </w:r>
            <w:r w:rsidR="00846E7B">
              <w:t>p</w:t>
            </w:r>
            <w:r w:rsidRPr="00F21734">
              <w:t>artnership will support increased access and quality of education for boys and girls and equip them with relevant skills and knowledge, through:</w:t>
            </w:r>
            <w:r w:rsidRPr="00F21734">
              <w:rPr>
                <w:b/>
              </w:rPr>
              <w:t xml:space="preserve"> </w:t>
            </w:r>
          </w:p>
          <w:p w:rsidR="00F21734" w:rsidRPr="00B8453B" w:rsidRDefault="00846E7B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21734" w:rsidRPr="00B8453B">
              <w:rPr>
                <w:lang w:val="en-US"/>
              </w:rPr>
              <w:t>ccelerating progress towards the 2015 goal of universal primary education (MDG</w:t>
            </w:r>
            <w:r>
              <w:rPr>
                <w:lang w:val="en-US"/>
              </w:rPr>
              <w:t> </w:t>
            </w:r>
            <w:r w:rsidR="00F21734" w:rsidRPr="00B8453B">
              <w:rPr>
                <w:lang w:val="en-US"/>
              </w:rPr>
              <w:t xml:space="preserve">2) </w:t>
            </w:r>
          </w:p>
          <w:p w:rsidR="00F21734" w:rsidRPr="00B8453B" w:rsidRDefault="00846E7B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F21734" w:rsidRPr="00B8453B">
              <w:rPr>
                <w:lang w:val="en-US"/>
              </w:rPr>
              <w:t xml:space="preserve">mproving the quality of education, through reforming the curriculum, upgrading school facilities and resources, and enhancing teacher training </w:t>
            </w:r>
          </w:p>
          <w:p w:rsidR="00F21734" w:rsidRPr="00B8453B" w:rsidRDefault="00846E7B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F21734" w:rsidRPr="00B8453B">
              <w:rPr>
                <w:lang w:val="en-US"/>
              </w:rPr>
              <w:t>ngoing support for the Government of Vanuatu’s education reform agenda in line with the Vanuatu Education Sector Strategy, co-financed with New Zealand and other donors</w:t>
            </w:r>
          </w:p>
          <w:p w:rsidR="00F21734" w:rsidRPr="00B8453B" w:rsidRDefault="00846E7B" w:rsidP="00EE4AFE">
            <w:pPr>
              <w:pStyle w:val="BoxListBullet"/>
              <w:rPr>
                <w:lang w:val="en-US"/>
              </w:rPr>
            </w:pPr>
            <w:proofErr w:type="gramStart"/>
            <w:r>
              <w:rPr>
                <w:lang w:val="en-US"/>
              </w:rPr>
              <w:t>i</w:t>
            </w:r>
            <w:r w:rsidR="00F21734" w:rsidRPr="00B8453B">
              <w:rPr>
                <w:lang w:val="en-US"/>
              </w:rPr>
              <w:t>ncreased</w:t>
            </w:r>
            <w:proofErr w:type="gramEnd"/>
            <w:r w:rsidR="00F21734" w:rsidRPr="00B8453B">
              <w:rPr>
                <w:lang w:val="en-US"/>
              </w:rPr>
              <w:t xml:space="preserve"> training and employment opportunities </w:t>
            </w:r>
            <w:r w:rsidR="00D13645" w:rsidRPr="00B8453B">
              <w:rPr>
                <w:lang w:val="en-US"/>
              </w:rPr>
              <w:t xml:space="preserve">by </w:t>
            </w:r>
            <w:r w:rsidR="00F21734" w:rsidRPr="00B8453B">
              <w:rPr>
                <w:lang w:val="en-US"/>
              </w:rPr>
              <w:t>support for demand</w:t>
            </w:r>
            <w:r w:rsidR="00F21734" w:rsidRPr="00B8453B">
              <w:rPr>
                <w:lang w:val="en-US"/>
              </w:rPr>
              <w:noBreakHyphen/>
              <w:t>driven vocational training services.</w:t>
            </w:r>
          </w:p>
          <w:p w:rsidR="00F21734" w:rsidRPr="00F21734" w:rsidRDefault="00F21734" w:rsidP="00AD5CC1">
            <w:pPr>
              <w:pStyle w:val="H4A"/>
            </w:pPr>
            <w:r w:rsidRPr="00F21734">
              <w:t xml:space="preserve">Target </w:t>
            </w:r>
            <w:r w:rsidR="00846E7B">
              <w:t>r</w:t>
            </w:r>
            <w:r w:rsidRPr="00F21734">
              <w:t>esults</w:t>
            </w:r>
          </w:p>
          <w:p w:rsidR="00F21734" w:rsidRPr="00B8453B" w:rsidRDefault="00846E7B" w:rsidP="0099384C">
            <w:pPr>
              <w:pStyle w:val="BoxListBullet"/>
              <w:spacing w:before="6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21734" w:rsidRPr="00B8453B">
              <w:rPr>
                <w:lang w:val="en-US"/>
              </w:rPr>
              <w:t xml:space="preserve">chieve the </w:t>
            </w:r>
            <w:r w:rsidR="00E83976">
              <w:t>Vanuatu Education Road Map</w:t>
            </w:r>
            <w:r w:rsidR="00E83976" w:rsidRPr="00B8453B">
              <w:rPr>
                <w:lang w:val="en-US"/>
              </w:rPr>
              <w:t xml:space="preserve"> </w:t>
            </w:r>
            <w:r w:rsidR="00F21734" w:rsidRPr="00B8453B">
              <w:rPr>
                <w:lang w:val="en-US"/>
              </w:rPr>
              <w:t>goal of increasing net primary enrolment rate to 100</w:t>
            </w:r>
            <w:r w:rsidR="00F6295A">
              <w:rPr>
                <w:lang w:val="en-US"/>
              </w:rPr>
              <w:t>%</w:t>
            </w:r>
            <w:r w:rsidR="00F21734" w:rsidRPr="00B8453B">
              <w:rPr>
                <w:lang w:val="en-US"/>
              </w:rPr>
              <w:t xml:space="preserve"> by 2015, reaching </w:t>
            </w:r>
            <w:r w:rsidR="005F094E">
              <w:rPr>
                <w:lang w:val="en-US"/>
              </w:rPr>
              <w:br/>
            </w:r>
            <w:r w:rsidR="00F21734" w:rsidRPr="00B8453B">
              <w:rPr>
                <w:lang w:val="en-US"/>
              </w:rPr>
              <w:t>85</w:t>
            </w:r>
            <w:r w:rsidR="00F6295A">
              <w:rPr>
                <w:lang w:val="en-US"/>
              </w:rPr>
              <w:t>%</w:t>
            </w:r>
            <w:r w:rsidR="005F094E">
              <w:rPr>
                <w:lang w:val="en-US"/>
              </w:rPr>
              <w:t> </w:t>
            </w:r>
            <w:r w:rsidR="00F21734" w:rsidRPr="00B8453B">
              <w:rPr>
                <w:lang w:val="en-US"/>
              </w:rPr>
              <w:t>by 2011</w:t>
            </w:r>
          </w:p>
          <w:p w:rsidR="00F21734" w:rsidRPr="00B8453B" w:rsidRDefault="00846E7B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F21734" w:rsidRPr="00B8453B">
              <w:rPr>
                <w:lang w:val="en-US"/>
              </w:rPr>
              <w:t>mproved literacy and numeracy skills of school age children, tracked through national assessments</w:t>
            </w:r>
          </w:p>
          <w:p w:rsidR="00F21734" w:rsidRPr="00B8453B" w:rsidRDefault="00846E7B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21734" w:rsidRPr="00B8453B">
              <w:rPr>
                <w:lang w:val="en-US"/>
              </w:rPr>
              <w:t xml:space="preserve">trengthened financial management and accountability, including primary schools adopting </w:t>
            </w:r>
            <w:r w:rsidR="00F6295A">
              <w:rPr>
                <w:lang w:val="en-US"/>
              </w:rPr>
              <w:t>g</w:t>
            </w:r>
            <w:r w:rsidR="00F21734" w:rsidRPr="00B8453B">
              <w:rPr>
                <w:lang w:val="en-US"/>
              </w:rPr>
              <w:t>overnment-approved bank accounts by the end of 2009</w:t>
            </w:r>
          </w:p>
          <w:p w:rsidR="00F21734" w:rsidRPr="00B8453B" w:rsidRDefault="00846E7B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F21734" w:rsidRPr="00B8453B">
              <w:rPr>
                <w:lang w:val="en-US"/>
              </w:rPr>
              <w:t>ncreased proportion of certified primary school teachers</w:t>
            </w:r>
          </w:p>
          <w:p w:rsidR="00F21734" w:rsidRPr="00F21734" w:rsidRDefault="00846E7B" w:rsidP="00EE4AFE">
            <w:pPr>
              <w:pStyle w:val="BoxListBullet"/>
            </w:pPr>
            <w:proofErr w:type="gramStart"/>
            <w:r>
              <w:rPr>
                <w:lang w:val="en-US"/>
              </w:rPr>
              <w:t>h</w:t>
            </w:r>
            <w:r w:rsidR="00F21734" w:rsidRPr="00B8453B">
              <w:rPr>
                <w:lang w:val="en-US"/>
              </w:rPr>
              <w:t>igher</w:t>
            </w:r>
            <w:proofErr w:type="gramEnd"/>
            <w:r w:rsidR="00F21734" w:rsidRPr="00B8453B">
              <w:rPr>
                <w:lang w:val="en-US"/>
              </w:rPr>
              <w:t xml:space="preserve"> numbers of technical and vocational trainees increase their incomes through </w:t>
            </w:r>
            <w:r w:rsidR="005F094E">
              <w:rPr>
                <w:lang w:val="en-US"/>
              </w:rPr>
              <w:br/>
            </w:r>
            <w:r w:rsidR="00F21734" w:rsidRPr="00B8453B">
              <w:rPr>
                <w:lang w:val="en-US"/>
              </w:rPr>
              <w:t>skill development.</w:t>
            </w:r>
          </w:p>
        </w:tc>
      </w:tr>
    </w:tbl>
    <w:p w:rsidR="00F21734" w:rsidRPr="009004A2" w:rsidRDefault="00F21734" w:rsidP="009004A2">
      <w:pPr>
        <w:pStyle w:val="Heading3"/>
      </w:pPr>
      <w:bookmarkStart w:id="6" w:name="_Toc360711480"/>
      <w:r w:rsidRPr="009004A2">
        <w:t xml:space="preserve">Assessment of </w:t>
      </w:r>
      <w:r w:rsidR="008A30FA" w:rsidRPr="009004A2">
        <w:t>r</w:t>
      </w:r>
      <w:r w:rsidRPr="009004A2">
        <w:t xml:space="preserve">esults and </w:t>
      </w:r>
      <w:r w:rsidR="008A30FA" w:rsidRPr="009004A2">
        <w:t>p</w:t>
      </w:r>
      <w:r w:rsidRPr="009004A2">
        <w:t>erformance</w:t>
      </w:r>
      <w:bookmarkEnd w:id="6"/>
    </w:p>
    <w:p w:rsidR="00F21734" w:rsidRPr="00F21734" w:rsidRDefault="00F21734" w:rsidP="00D1047E">
      <w:pPr>
        <w:pStyle w:val="BodyText"/>
        <w:spacing w:before="0" w:after="120"/>
      </w:pPr>
      <w:r w:rsidRPr="00F21734">
        <w:t>There has been strong early progress in supporting Government</w:t>
      </w:r>
      <w:r w:rsidR="00FB714A">
        <w:t> </w:t>
      </w:r>
      <w:r w:rsidRPr="00F21734">
        <w:t>of</w:t>
      </w:r>
      <w:r w:rsidR="00FB714A">
        <w:t> </w:t>
      </w:r>
      <w:r w:rsidRPr="00F21734">
        <w:t>Vanuatu efforts to deliver quality education services to the people</w:t>
      </w:r>
      <w:r w:rsidR="00EE07F3">
        <w:t xml:space="preserve">. </w:t>
      </w:r>
    </w:p>
    <w:p w:rsidR="00F21734" w:rsidRPr="00F21734" w:rsidRDefault="00F21734" w:rsidP="00D1047E">
      <w:pPr>
        <w:pStyle w:val="BodyText"/>
        <w:spacing w:before="0" w:after="120"/>
      </w:pPr>
      <w:r w:rsidRPr="00F21734">
        <w:t xml:space="preserve">The phasing out of school fees for primary education </w:t>
      </w:r>
      <w:r w:rsidR="006B37C2">
        <w:t>started</w:t>
      </w:r>
      <w:r w:rsidR="006B37C2" w:rsidRPr="00F21734">
        <w:t xml:space="preserve"> </w:t>
      </w:r>
      <w:r w:rsidRPr="00F21734">
        <w:t xml:space="preserve">in January 2010 to improve </w:t>
      </w:r>
      <w:r w:rsidRPr="00F21734">
        <w:rPr>
          <w:b/>
        </w:rPr>
        <w:t>access to basic education</w:t>
      </w:r>
      <w:r w:rsidR="00EE07F3">
        <w:t xml:space="preserve">. </w:t>
      </w:r>
      <w:r w:rsidRPr="00F21734">
        <w:t xml:space="preserve">Through </w:t>
      </w:r>
      <w:r w:rsidR="00111FCA">
        <w:t xml:space="preserve">Vanuatu’s Education </w:t>
      </w:r>
      <w:r w:rsidR="00E369D4">
        <w:t>Road Map</w:t>
      </w:r>
      <w:r w:rsidR="006B37C2">
        <w:t>,</w:t>
      </w:r>
      <w:r w:rsidRPr="00F21734">
        <w:t xml:space="preserve"> the grant provided to </w:t>
      </w:r>
      <w:r w:rsidR="00111FCA">
        <w:t>g</w:t>
      </w:r>
      <w:r w:rsidRPr="00F21734">
        <w:t xml:space="preserve">overnment and </w:t>
      </w:r>
      <w:r w:rsidR="00AD08EC">
        <w:t>g</w:t>
      </w:r>
      <w:r w:rsidRPr="00F21734">
        <w:t>overnment</w:t>
      </w:r>
      <w:r w:rsidR="006B37C2">
        <w:t>-</w:t>
      </w:r>
      <w:r w:rsidRPr="00F21734">
        <w:t>assisted schools has been increased to 6800</w:t>
      </w:r>
      <w:r w:rsidR="00AD08EC">
        <w:t> </w:t>
      </w:r>
      <w:r w:rsidRPr="00F21734">
        <w:t>vatu per child</w:t>
      </w:r>
      <w:r w:rsidR="00EE07F3">
        <w:t xml:space="preserve">. </w:t>
      </w:r>
      <w:r w:rsidRPr="00F21734">
        <w:t>It is estimated that 70</w:t>
      </w:r>
      <w:r w:rsidR="00FB714A">
        <w:t>%</w:t>
      </w:r>
      <w:r w:rsidRPr="00F21734">
        <w:t xml:space="preserve"> of primary schools will be fee-free in 2010</w:t>
      </w:r>
      <w:r w:rsidR="00EE07F3">
        <w:t xml:space="preserve">. </w:t>
      </w:r>
      <w:r w:rsidRPr="00F21734">
        <w:t xml:space="preserve">A monitoring report </w:t>
      </w:r>
      <w:r w:rsidR="00330ADD">
        <w:t>by the Ministry of Education</w:t>
      </w:r>
      <w:r w:rsidRPr="00F21734">
        <w:t xml:space="preserve"> show</w:t>
      </w:r>
      <w:r w:rsidR="00330ADD">
        <w:t>s</w:t>
      </w:r>
      <w:r w:rsidRPr="00F21734">
        <w:t xml:space="preserve"> that enrolments have already increased by </w:t>
      </w:r>
      <w:r w:rsidR="00FB714A">
        <w:t>between</w:t>
      </w:r>
      <w:r w:rsidR="00FB714A" w:rsidRPr="00F21734">
        <w:t xml:space="preserve"> </w:t>
      </w:r>
      <w:r w:rsidRPr="00F21734">
        <w:t>8</w:t>
      </w:r>
      <w:r w:rsidR="00FB714A">
        <w:t>%</w:t>
      </w:r>
      <w:r w:rsidRPr="00F21734">
        <w:t xml:space="preserve"> </w:t>
      </w:r>
      <w:r w:rsidR="00FB714A">
        <w:t>and</w:t>
      </w:r>
      <w:r w:rsidR="00FB714A" w:rsidRPr="00F21734">
        <w:t xml:space="preserve"> </w:t>
      </w:r>
      <w:r w:rsidRPr="00F21734">
        <w:t>10</w:t>
      </w:r>
      <w:r w:rsidR="00FB714A">
        <w:t>%</w:t>
      </w:r>
      <w:r w:rsidRPr="00F21734">
        <w:t xml:space="preserve"> in 2010.</w:t>
      </w:r>
    </w:p>
    <w:p w:rsidR="00AD08EC" w:rsidRPr="00F21734" w:rsidRDefault="006B37C2" w:rsidP="00AD08EC">
      <w:pPr>
        <w:pStyle w:val="BodyText"/>
        <w:spacing w:before="0" w:after="120"/>
      </w:pPr>
      <w:r>
        <w:rPr>
          <w:b/>
        </w:rPr>
        <w:t>Q</w:t>
      </w:r>
      <w:r w:rsidR="00F21734" w:rsidRPr="00F21734">
        <w:rPr>
          <w:b/>
        </w:rPr>
        <w:t>uality of education</w:t>
      </w:r>
      <w:r w:rsidR="00F21734" w:rsidRPr="00F21734">
        <w:t xml:space="preserve"> continues to improve through reforming curriculum, upgrading school facilities and enhancing teacher training</w:t>
      </w:r>
      <w:r w:rsidR="00EE07F3">
        <w:t xml:space="preserve">. </w:t>
      </w:r>
      <w:r w:rsidR="00F21734" w:rsidRPr="00F21734">
        <w:t>In 2009, 12</w:t>
      </w:r>
      <w:r w:rsidR="00AD08EC">
        <w:t> </w:t>
      </w:r>
      <w:r w:rsidR="00F21734" w:rsidRPr="00F21734">
        <w:t>new or upgraded classrooms were provided to primary schools across Vanuatu</w:t>
      </w:r>
      <w:r w:rsidR="00E54445">
        <w:t xml:space="preserve"> giving</w:t>
      </w:r>
      <w:r w:rsidR="00F21734" w:rsidRPr="00F21734">
        <w:t xml:space="preserve"> children from remote areas better access to education and </w:t>
      </w:r>
      <w:r w:rsidR="00AD08EC">
        <w:t xml:space="preserve">a </w:t>
      </w:r>
      <w:r w:rsidR="00FB714A">
        <w:t>safer and healthier</w:t>
      </w:r>
      <w:r w:rsidR="00AD08EC">
        <w:t xml:space="preserve"> environment in</w:t>
      </w:r>
      <w:r w:rsidR="00FB714A">
        <w:t xml:space="preserve"> schools</w:t>
      </w:r>
      <w:r w:rsidR="00F21734" w:rsidRPr="00F21734">
        <w:t>.</w:t>
      </w:r>
    </w:p>
    <w:p w:rsidR="00F21734" w:rsidRPr="00F21734" w:rsidRDefault="00F21734" w:rsidP="00D1047E">
      <w:pPr>
        <w:pStyle w:val="BodyText"/>
        <w:spacing w:before="0" w:after="120"/>
      </w:pPr>
      <w:r w:rsidRPr="00F21734">
        <w:t xml:space="preserve">While it is too early to see improvements in </w:t>
      </w:r>
      <w:r w:rsidRPr="00F21734">
        <w:rPr>
          <w:b/>
        </w:rPr>
        <w:t>learning outcomes</w:t>
      </w:r>
      <w:r w:rsidRPr="00F21734">
        <w:t>, the Vanuatu</w:t>
      </w:r>
      <w:r w:rsidR="00E32C7B">
        <w:t> </w:t>
      </w:r>
      <w:r w:rsidRPr="00F21734">
        <w:t>Government has committed to introducing early grade reading assessments in 2010 to provide important baseline and monitoring data on the quality of teaching and learning in schools</w:t>
      </w:r>
      <w:r w:rsidR="00EE07F3">
        <w:t xml:space="preserve">. </w:t>
      </w:r>
    </w:p>
    <w:p w:rsidR="00F21734" w:rsidRPr="00F21734" w:rsidRDefault="00F21734" w:rsidP="00D1047E">
      <w:pPr>
        <w:pStyle w:val="BodyText"/>
        <w:spacing w:before="0" w:after="120"/>
      </w:pPr>
      <w:r w:rsidRPr="00F21734">
        <w:lastRenderedPageBreak/>
        <w:t>Support to the Vanuatu Institute of Teacher Education has contributed to an increase in</w:t>
      </w:r>
      <w:r w:rsidR="00E54445">
        <w:t xml:space="preserve"> the number of </w:t>
      </w:r>
      <w:r w:rsidRPr="00F21734">
        <w:rPr>
          <w:b/>
        </w:rPr>
        <w:t>trained teachers</w:t>
      </w:r>
      <w:r w:rsidR="00F6295A">
        <w:t>,</w:t>
      </w:r>
      <w:r w:rsidR="00FB714A">
        <w:t xml:space="preserve"> from 50%</w:t>
      </w:r>
      <w:r w:rsidRPr="00F21734">
        <w:t xml:space="preserve"> in 2009 to an estimated 56</w:t>
      </w:r>
      <w:r w:rsidR="00FB714A">
        <w:t>%</w:t>
      </w:r>
      <w:r w:rsidRPr="00F21734">
        <w:t xml:space="preserve"> in 2010</w:t>
      </w:r>
      <w:r w:rsidR="00EE07F3">
        <w:t xml:space="preserve">. </w:t>
      </w:r>
    </w:p>
    <w:p w:rsidR="00F21734" w:rsidRPr="00F21734" w:rsidRDefault="0057554C" w:rsidP="00D1047E">
      <w:pPr>
        <w:pStyle w:val="BodyText"/>
        <w:spacing w:before="0" w:after="120"/>
      </w:pPr>
      <w:r>
        <w:t>T</w:t>
      </w:r>
      <w:r w:rsidR="00F21734" w:rsidRPr="00F21734">
        <w:t xml:space="preserve">wo </w:t>
      </w:r>
      <w:r w:rsidR="00F21734" w:rsidRPr="00F21734">
        <w:rPr>
          <w:b/>
        </w:rPr>
        <w:t>Technical and Vocational Education and Training Service Centres</w:t>
      </w:r>
      <w:r w:rsidR="00F21734" w:rsidRPr="00F21734">
        <w:t xml:space="preserve"> are now fully operational in </w:t>
      </w:r>
      <w:proofErr w:type="spellStart"/>
      <w:r w:rsidR="00F21734" w:rsidRPr="00F21734">
        <w:t>Sanma</w:t>
      </w:r>
      <w:proofErr w:type="spellEnd"/>
      <w:r w:rsidR="00F21734" w:rsidRPr="00F21734">
        <w:t xml:space="preserve"> and </w:t>
      </w:r>
      <w:proofErr w:type="spellStart"/>
      <w:r w:rsidR="00F21734" w:rsidRPr="00F21734">
        <w:t>Malampa</w:t>
      </w:r>
      <w:proofErr w:type="spellEnd"/>
      <w:r w:rsidR="00E32C7B">
        <w:t> </w:t>
      </w:r>
      <w:r w:rsidR="00F21734" w:rsidRPr="00F21734">
        <w:t>provinces, and have so far provided 34</w:t>
      </w:r>
      <w:r w:rsidR="00E32C7B">
        <w:t> </w:t>
      </w:r>
      <w:r w:rsidR="00F21734" w:rsidRPr="00F21734">
        <w:t>training sessions to more than 830</w:t>
      </w:r>
      <w:r w:rsidR="00D13645">
        <w:t> </w:t>
      </w:r>
      <w:r w:rsidR="00F21734" w:rsidRPr="00F21734">
        <w:t>trainees under the</w:t>
      </w:r>
      <w:r w:rsidR="003458FF">
        <w:t xml:space="preserve"> AusAID-funded</w:t>
      </w:r>
      <w:r w:rsidR="00F21734" w:rsidRPr="00F21734">
        <w:t xml:space="preserve"> Education and Training Fund. </w:t>
      </w:r>
      <w:r w:rsidR="00F377CE">
        <w:br/>
      </w:r>
      <w:r w:rsidR="00F21734" w:rsidRPr="00F21734">
        <w:t>Business development services are now fully operati</w:t>
      </w:r>
      <w:r w:rsidR="008358B7">
        <w:t>onal</w:t>
      </w:r>
      <w:r w:rsidR="00F21734" w:rsidRPr="00F21734">
        <w:t xml:space="preserve"> in both provinces with high demands from clients</w:t>
      </w:r>
      <w:r w:rsidR="00EE07F3">
        <w:t xml:space="preserve">. </w:t>
      </w:r>
    </w:p>
    <w:p w:rsidR="00F21734" w:rsidRPr="00F21734" w:rsidRDefault="00F21734" w:rsidP="00D1047E">
      <w:pPr>
        <w:pStyle w:val="BodyText"/>
        <w:spacing w:before="0" w:after="120"/>
      </w:pPr>
      <w:r w:rsidRPr="00F21734">
        <w:t xml:space="preserve">Vanuatu </w:t>
      </w:r>
      <w:r w:rsidR="0057554C">
        <w:t xml:space="preserve">has </w:t>
      </w:r>
      <w:r w:rsidRPr="00F21734">
        <w:t>now had more than 100</w:t>
      </w:r>
      <w:r w:rsidR="00E32C7B">
        <w:t> </w:t>
      </w:r>
      <w:r w:rsidRPr="00F21734">
        <w:rPr>
          <w:b/>
        </w:rPr>
        <w:t>Australia Pacific Technical College</w:t>
      </w:r>
      <w:r w:rsidRPr="00F21734">
        <w:t xml:space="preserve"> graduates (75</w:t>
      </w:r>
      <w:r w:rsidR="00FB714A">
        <w:t>%</w:t>
      </w:r>
      <w:r w:rsidR="00E32C7B">
        <w:t> </w:t>
      </w:r>
      <w:r w:rsidR="00F6295A">
        <w:t xml:space="preserve">in </w:t>
      </w:r>
      <w:r w:rsidRPr="00F21734">
        <w:t>hospitality and tourism), half of whom are women</w:t>
      </w:r>
      <w:r w:rsidR="00EE07F3">
        <w:t xml:space="preserve">. </w:t>
      </w:r>
      <w:r w:rsidR="0005328B">
        <w:t>The college has</w:t>
      </w:r>
      <w:r w:rsidRPr="00F21734">
        <w:t xml:space="preserve"> 224</w:t>
      </w:r>
      <w:r w:rsidR="00E32C7B">
        <w:t> </w:t>
      </w:r>
      <w:r w:rsidRPr="00F21734">
        <w:t xml:space="preserve">students currently enrolled (up from 150 in 2009) and now provides courses in Santo. </w:t>
      </w:r>
    </w:p>
    <w:p w:rsidR="00F21734" w:rsidRPr="00F21734" w:rsidRDefault="00F21734" w:rsidP="00D1047E">
      <w:pPr>
        <w:pStyle w:val="BodyText"/>
        <w:spacing w:before="0" w:after="120"/>
      </w:pPr>
      <w:r w:rsidRPr="00F21734">
        <w:rPr>
          <w:b/>
        </w:rPr>
        <w:t>Priorities for 2010</w:t>
      </w:r>
      <w:r w:rsidR="00E32C7B" w:rsidRPr="00E32C7B">
        <w:t>–</w:t>
      </w:r>
      <w:r w:rsidRPr="00F21734">
        <w:rPr>
          <w:b/>
        </w:rPr>
        <w:t>11</w:t>
      </w:r>
      <w:r w:rsidRPr="00F21734">
        <w:t xml:space="preserve"> </w:t>
      </w:r>
      <w:r w:rsidR="00E32C7B">
        <w:t>will</w:t>
      </w:r>
      <w:r w:rsidRPr="00F21734">
        <w:t xml:space="preserve"> continue </w:t>
      </w:r>
      <w:r w:rsidR="00E32C7B">
        <w:t xml:space="preserve">to </w:t>
      </w:r>
      <w:r w:rsidRPr="00F21734">
        <w:t xml:space="preserve">focus on </w:t>
      </w:r>
      <w:r w:rsidR="00111FCA">
        <w:t>the</w:t>
      </w:r>
      <w:r w:rsidR="00111FCA" w:rsidRPr="00F21734">
        <w:t xml:space="preserve"> </w:t>
      </w:r>
      <w:r w:rsidRPr="00F21734">
        <w:t>objectives</w:t>
      </w:r>
      <w:r w:rsidR="00111FCA">
        <w:t xml:space="preserve"> of the </w:t>
      </w:r>
      <w:r w:rsidR="00E369D4">
        <w:t>Road Map</w:t>
      </w:r>
      <w:r w:rsidRPr="00F21734">
        <w:t>: enhanced access</w:t>
      </w:r>
      <w:r w:rsidR="00E32C7B">
        <w:t>;</w:t>
      </w:r>
      <w:r w:rsidRPr="00F21734">
        <w:t xml:space="preserve"> improved quality</w:t>
      </w:r>
      <w:r w:rsidR="00E32C7B">
        <w:t>;</w:t>
      </w:r>
      <w:r w:rsidR="00356D8A">
        <w:t xml:space="preserve"> and</w:t>
      </w:r>
      <w:r w:rsidRPr="00F21734">
        <w:t xml:space="preserve"> improved management. Vanuatu and Australia, along with New</w:t>
      </w:r>
      <w:r w:rsidR="00E54445">
        <w:t> </w:t>
      </w:r>
      <w:r w:rsidRPr="00F21734">
        <w:t>Zealand and UNICEF</w:t>
      </w:r>
      <w:r w:rsidR="00E32C7B">
        <w:t>—</w:t>
      </w:r>
      <w:r w:rsidRPr="00F21734">
        <w:t>as donor pool partners</w:t>
      </w:r>
      <w:r w:rsidR="00E32C7B">
        <w:t>—</w:t>
      </w:r>
      <w:r w:rsidRPr="00F21734">
        <w:t>will look to:</w:t>
      </w:r>
    </w:p>
    <w:p w:rsidR="00F21734" w:rsidRDefault="00F21734" w:rsidP="00EE4AFE">
      <w:pPr>
        <w:pStyle w:val="ListBullet"/>
      </w:pPr>
      <w:r w:rsidRPr="00F21734">
        <w:t xml:space="preserve">continue </w:t>
      </w:r>
      <w:r w:rsidRPr="00F21734">
        <w:rPr>
          <w:b/>
        </w:rPr>
        <w:t>phasing out school fees</w:t>
      </w:r>
      <w:r w:rsidR="008358B7">
        <w:t xml:space="preserve"> in primary education</w:t>
      </w:r>
      <w:r w:rsidRPr="00F21734">
        <w:t>, including developing a policy on minimum standards for primary school education and costing of primary education to inform further development of the school grant scheme</w:t>
      </w:r>
    </w:p>
    <w:p w:rsidR="0005328B" w:rsidRPr="00D30682" w:rsidRDefault="0005328B" w:rsidP="00EE4AFE">
      <w:pPr>
        <w:pStyle w:val="ListBullet"/>
      </w:pPr>
      <w:r w:rsidRPr="00D30682">
        <w:t xml:space="preserve">conduct a study into the </w:t>
      </w:r>
      <w:r w:rsidRPr="00D30682">
        <w:rPr>
          <w:b/>
        </w:rPr>
        <w:t>cost of service delivery</w:t>
      </w:r>
    </w:p>
    <w:p w:rsidR="00F21734" w:rsidRPr="00F21734" w:rsidRDefault="00F21734" w:rsidP="00EE4AFE">
      <w:pPr>
        <w:pStyle w:val="ListBullet"/>
      </w:pPr>
      <w:r w:rsidRPr="00F21734">
        <w:t xml:space="preserve">develop for implementation by 2012 a comprehensive approach to address performance and budget challenges associated with the </w:t>
      </w:r>
      <w:r w:rsidRPr="00F21734">
        <w:rPr>
          <w:b/>
        </w:rPr>
        <w:t>teaching</w:t>
      </w:r>
      <w:r w:rsidRPr="00F21734">
        <w:t xml:space="preserve"> </w:t>
      </w:r>
      <w:r w:rsidRPr="00F21734">
        <w:rPr>
          <w:b/>
        </w:rPr>
        <w:t>workforce</w:t>
      </w:r>
      <w:r w:rsidRPr="00F21734">
        <w:t xml:space="preserve">, including teacher career structures, staffing of schools and training for teachers </w:t>
      </w:r>
    </w:p>
    <w:p w:rsidR="00F21734" w:rsidRPr="00F21734" w:rsidRDefault="00F21734" w:rsidP="00EE4AFE">
      <w:pPr>
        <w:pStyle w:val="ListBullet"/>
      </w:pPr>
      <w:r w:rsidRPr="00F21734">
        <w:t xml:space="preserve">develop and </w:t>
      </w:r>
      <w:r w:rsidR="000F629E">
        <w:t>start implementing</w:t>
      </w:r>
      <w:r w:rsidR="000F629E" w:rsidRPr="00F21734">
        <w:t xml:space="preserve"> </w:t>
      </w:r>
      <w:r w:rsidRPr="00F21734">
        <w:t xml:space="preserve">a strategy to roll out the new </w:t>
      </w:r>
      <w:r w:rsidRPr="00F21734">
        <w:rPr>
          <w:b/>
        </w:rPr>
        <w:t>national curriculum statement</w:t>
      </w:r>
      <w:r w:rsidRPr="00F21734">
        <w:t>, including focusing on literacy and numeracy</w:t>
      </w:r>
    </w:p>
    <w:p w:rsidR="00F21734" w:rsidRPr="00F21734" w:rsidRDefault="00F21734" w:rsidP="00EE4AFE">
      <w:pPr>
        <w:pStyle w:val="ListBullet"/>
      </w:pPr>
      <w:r w:rsidRPr="00F21734">
        <w:t xml:space="preserve">use </w:t>
      </w:r>
      <w:r w:rsidRPr="00F21734">
        <w:rPr>
          <w:b/>
        </w:rPr>
        <w:t>early grade reading assessment</w:t>
      </w:r>
      <w:r w:rsidRPr="00F21734">
        <w:t xml:space="preserve"> as a regular process to track the quality </w:t>
      </w:r>
      <w:r w:rsidR="00F6295A">
        <w:br/>
      </w:r>
      <w:r w:rsidRPr="00F21734">
        <w:t>of education, and improve the quality and use of education man</w:t>
      </w:r>
      <w:r w:rsidR="0005328B">
        <w:t xml:space="preserve">agement </w:t>
      </w:r>
      <w:r w:rsidR="00F6295A">
        <w:br/>
      </w:r>
      <w:r w:rsidR="0005328B">
        <w:t>information systems</w:t>
      </w:r>
    </w:p>
    <w:p w:rsidR="00F21734" w:rsidRDefault="00F21734" w:rsidP="00EE4AFE">
      <w:pPr>
        <w:pStyle w:val="ListBullet"/>
      </w:pPr>
      <w:proofErr w:type="gramStart"/>
      <w:r w:rsidRPr="00F21734">
        <w:t>develop</w:t>
      </w:r>
      <w:proofErr w:type="gramEnd"/>
      <w:r w:rsidRPr="00F21734">
        <w:t xml:space="preserve"> a long-term strategy for </w:t>
      </w:r>
      <w:r w:rsidRPr="00F21734">
        <w:rPr>
          <w:b/>
        </w:rPr>
        <w:t>school facilities</w:t>
      </w:r>
      <w:r w:rsidRPr="000F629E">
        <w:rPr>
          <w:b/>
        </w:rPr>
        <w:t>,</w:t>
      </w:r>
      <w:r w:rsidRPr="00F21734">
        <w:t xml:space="preserve"> including establishing minimum st</w:t>
      </w:r>
      <w:r w:rsidR="0005328B">
        <w:t>andards for school construction</w:t>
      </w:r>
      <w:r w:rsidR="00E32C7B">
        <w:t>.</w:t>
      </w:r>
    </w:p>
    <w:p w:rsidR="00F21734" w:rsidRPr="008A7507" w:rsidRDefault="00F21734" w:rsidP="00F21734">
      <w:pPr>
        <w:pStyle w:val="Caption"/>
      </w:pPr>
      <w:r w:rsidRPr="008A7507">
        <w:t xml:space="preserve">Table </w:t>
      </w:r>
      <w:r w:rsidR="00C565BA" w:rsidRPr="008A7507">
        <w:t>2</w:t>
      </w:r>
      <w:r w:rsidRPr="008A7507">
        <w:t>: Estimated expenditure on Priority Outcome 1</w:t>
      </w:r>
      <w:r w:rsidR="00356D8A" w:rsidRPr="008A7507">
        <w:t>: I</w:t>
      </w:r>
      <w:r w:rsidRPr="008A7507">
        <w:t xml:space="preserve">mproved </w:t>
      </w:r>
      <w:r w:rsidR="00356D8A" w:rsidRPr="008A7507">
        <w:t>E</w:t>
      </w:r>
      <w:r w:rsidRPr="008A7507">
        <w:t>ducation</w:t>
      </w:r>
    </w:p>
    <w:tbl>
      <w:tblPr>
        <w:tblW w:w="7938" w:type="dxa"/>
        <w:tblInd w:w="57" w:type="dxa"/>
        <w:tblBorders>
          <w:top w:val="single" w:sz="1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91"/>
        <w:gridCol w:w="1247"/>
        <w:gridCol w:w="1559"/>
        <w:gridCol w:w="1247"/>
        <w:gridCol w:w="1559"/>
      </w:tblGrid>
      <w:tr w:rsidR="00B019AB" w:rsidRPr="00ED2327" w:rsidTr="00ED2327">
        <w:trPr>
          <w:tblHeader/>
        </w:trPr>
        <w:tc>
          <w:tcPr>
            <w:tcW w:w="1134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05328B" w:rsidRPr="00A21B7E" w:rsidRDefault="00CC784D" w:rsidP="00ED2327">
            <w:pPr>
              <w:pStyle w:val="TableDataColumnHeading"/>
              <w:jc w:val="left"/>
            </w:pPr>
            <w:r w:rsidRPr="00A21B7E">
              <w:t>Year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328B" w:rsidRPr="00A21B7E" w:rsidRDefault="0005328B" w:rsidP="00A21B7E">
            <w:pPr>
              <w:pStyle w:val="TableDataColumnHeading"/>
            </w:pPr>
            <w:r w:rsidRPr="00A21B7E">
              <w:t xml:space="preserve">Australian </w:t>
            </w:r>
            <w:r w:rsidR="00E32C7B" w:rsidRPr="00A21B7E">
              <w:t>c</w:t>
            </w:r>
            <w:r w:rsidRPr="00A21B7E">
              <w:t xml:space="preserve">ommitment </w:t>
            </w:r>
            <w:r w:rsidR="00D75BCB">
              <w:t>(</w:t>
            </w:r>
            <w:r w:rsidRPr="00A21B7E">
              <w:t>A$ million</w:t>
            </w:r>
            <w:r w:rsidR="00D75BCB">
              <w:t>)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328B" w:rsidRPr="00A21B7E" w:rsidRDefault="0005328B" w:rsidP="00A21B7E">
            <w:pPr>
              <w:pStyle w:val="TableDataColumnHeading"/>
            </w:pPr>
            <w:r w:rsidRPr="00A21B7E">
              <w:t>% of bilateral program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328B" w:rsidRPr="00A21B7E" w:rsidRDefault="0005328B" w:rsidP="00A21B7E">
            <w:pPr>
              <w:pStyle w:val="TableDataColumnHeading"/>
            </w:pPr>
            <w:r w:rsidRPr="00A21B7E">
              <w:t xml:space="preserve">Partner </w:t>
            </w:r>
            <w:r w:rsidR="00356D8A" w:rsidRPr="00A21B7E">
              <w:t>g</w:t>
            </w:r>
            <w:r w:rsidRPr="00A21B7E">
              <w:t xml:space="preserve">overnment </w:t>
            </w:r>
            <w:r w:rsidR="00E32C7B" w:rsidRPr="00A21B7E">
              <w:t>c</w:t>
            </w:r>
            <w:r w:rsidRPr="00A21B7E">
              <w:t>ommitment (</w:t>
            </w:r>
            <w:r w:rsidR="001C27CC" w:rsidRPr="00A21B7E">
              <w:t>m</w:t>
            </w:r>
            <w:r w:rsidR="00C565BA" w:rsidRPr="00A21B7E">
              <w:t>illions of vatu</w:t>
            </w:r>
            <w:r w:rsidRPr="00A21B7E">
              <w:t>)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328B" w:rsidRPr="00A21B7E" w:rsidRDefault="0005328B" w:rsidP="00A21B7E">
            <w:pPr>
              <w:pStyle w:val="TableDataColumnHeading"/>
            </w:pPr>
            <w:r w:rsidRPr="00A21B7E">
              <w:t>% of national budget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05328B" w:rsidRPr="00A21B7E" w:rsidRDefault="0005328B" w:rsidP="00A21B7E">
            <w:pPr>
              <w:pStyle w:val="TableDataColumnHeading"/>
            </w:pPr>
            <w:r w:rsidRPr="00A21B7E">
              <w:t>Other donor contributions (</w:t>
            </w:r>
            <w:r w:rsidR="001C27CC" w:rsidRPr="00A21B7E">
              <w:t>millions of vatu</w:t>
            </w:r>
            <w:r w:rsidRPr="00A21B7E">
              <w:t>)</w:t>
            </w:r>
          </w:p>
        </w:tc>
      </w:tr>
      <w:tr w:rsidR="00B019AB" w:rsidRPr="00F21734" w:rsidTr="00ED2327">
        <w:tc>
          <w:tcPr>
            <w:tcW w:w="1134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:rsidR="0005328B" w:rsidRPr="00F21734" w:rsidRDefault="0005328B" w:rsidP="00ED2327">
            <w:pPr>
              <w:pStyle w:val="TableDataEntries"/>
              <w:jc w:val="left"/>
            </w:pPr>
            <w:r w:rsidRPr="00F21734">
              <w:t>2009</w:t>
            </w:r>
            <w:r w:rsidR="000F629E">
              <w:t>–</w:t>
            </w:r>
            <w:r>
              <w:t>10</w:t>
            </w:r>
          </w:p>
        </w:tc>
        <w:tc>
          <w:tcPr>
            <w:tcW w:w="119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5328B" w:rsidRPr="00F21734" w:rsidRDefault="00C565BA" w:rsidP="00A21B7E">
            <w:pPr>
              <w:pStyle w:val="TableDataEntries"/>
            </w:pPr>
            <w:r>
              <w:t>6.0</w:t>
            </w:r>
          </w:p>
          <w:p w:rsidR="0005328B" w:rsidRPr="00F21734" w:rsidRDefault="0005328B" w:rsidP="00A21B7E">
            <w:pPr>
              <w:pStyle w:val="TableDataEntries"/>
            </w:pPr>
          </w:p>
        </w:tc>
        <w:tc>
          <w:tcPr>
            <w:tcW w:w="124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5328B" w:rsidRPr="00F21734" w:rsidRDefault="0005328B" w:rsidP="00A21B7E">
            <w:pPr>
              <w:pStyle w:val="TableDataEntries"/>
            </w:pPr>
            <w:r w:rsidRPr="00F21734">
              <w:t>13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5328B" w:rsidRDefault="0005328B" w:rsidP="00A21B7E">
            <w:pPr>
              <w:pStyle w:val="TableDataEntries"/>
            </w:pPr>
            <w:r w:rsidRPr="00F21734">
              <w:t>3</w:t>
            </w:r>
            <w:r w:rsidR="00BB6931">
              <w:t>,</w:t>
            </w:r>
            <w:r w:rsidR="00C565BA">
              <w:t>1</w:t>
            </w:r>
            <w:r w:rsidR="001C27CC">
              <w:t>48</w:t>
            </w:r>
          </w:p>
          <w:p w:rsidR="001C27CC" w:rsidRPr="00F21734" w:rsidRDefault="001C27CC" w:rsidP="00A21B7E">
            <w:pPr>
              <w:pStyle w:val="TableDataEntries"/>
            </w:pPr>
            <w:r>
              <w:t>(2009)</w:t>
            </w:r>
          </w:p>
        </w:tc>
        <w:tc>
          <w:tcPr>
            <w:tcW w:w="124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5328B" w:rsidRPr="00F21734" w:rsidRDefault="0030533F" w:rsidP="00A21B7E">
            <w:pPr>
              <w:pStyle w:val="TableDataEntries"/>
            </w:pPr>
            <w:r>
              <w:t>22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:rsidR="0005328B" w:rsidRPr="00F21734" w:rsidRDefault="0005328B" w:rsidP="00A21B7E">
            <w:pPr>
              <w:pStyle w:val="TableDataEntries"/>
            </w:pPr>
            <w:r w:rsidRPr="00F21734">
              <w:t>2</w:t>
            </w:r>
            <w:r w:rsidR="001C27CC">
              <w:t>39</w:t>
            </w:r>
          </w:p>
        </w:tc>
      </w:tr>
      <w:tr w:rsidR="00B019AB" w:rsidRPr="00F21734" w:rsidTr="00ED2327">
        <w:tc>
          <w:tcPr>
            <w:tcW w:w="113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05328B" w:rsidRPr="00F21734" w:rsidRDefault="0005328B" w:rsidP="00ED2327">
            <w:pPr>
              <w:pStyle w:val="TableDataEntries"/>
              <w:jc w:val="left"/>
            </w:pPr>
            <w:r w:rsidRPr="00F21734">
              <w:t>2010</w:t>
            </w:r>
            <w:r w:rsidR="000F629E">
              <w:t>–</w:t>
            </w:r>
            <w:r>
              <w:t>11</w:t>
            </w:r>
          </w:p>
        </w:tc>
        <w:tc>
          <w:tcPr>
            <w:tcW w:w="119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5328B" w:rsidRPr="00F21734" w:rsidRDefault="00C565BA" w:rsidP="00A21B7E">
            <w:pPr>
              <w:pStyle w:val="TableDataEntries"/>
            </w:pPr>
            <w:r>
              <w:t>6.4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5328B" w:rsidRPr="00F21734" w:rsidRDefault="0005328B" w:rsidP="00A21B7E">
            <w:pPr>
              <w:pStyle w:val="TableDataEntries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5328B" w:rsidRPr="00044606" w:rsidRDefault="0005328B" w:rsidP="00A21B7E">
            <w:pPr>
              <w:pStyle w:val="TableDataEntries"/>
            </w:pPr>
            <w:r w:rsidRPr="00044606">
              <w:t>3</w:t>
            </w:r>
            <w:r w:rsidR="00BB6931">
              <w:t>,</w:t>
            </w:r>
            <w:r w:rsidR="0030533F" w:rsidRPr="00044606">
              <w:t>62</w:t>
            </w:r>
            <w:r w:rsidR="001C27CC" w:rsidRPr="00044606">
              <w:t>3</w:t>
            </w:r>
          </w:p>
          <w:p w:rsidR="001C27CC" w:rsidRPr="00044606" w:rsidRDefault="001C27CC" w:rsidP="00A21B7E">
            <w:pPr>
              <w:pStyle w:val="TableDataEntries"/>
            </w:pPr>
            <w:r w:rsidRPr="00044606">
              <w:t>(2010)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5328B" w:rsidRPr="00F21734" w:rsidRDefault="0030533F" w:rsidP="00A21B7E">
            <w:pPr>
              <w:pStyle w:val="TableDataEntries"/>
            </w:pPr>
            <w:r>
              <w:t>23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05328B" w:rsidRPr="00F21734" w:rsidRDefault="001C27CC" w:rsidP="00A21B7E">
            <w:pPr>
              <w:pStyle w:val="TableDataEntries"/>
            </w:pPr>
            <w:r>
              <w:t>227</w:t>
            </w:r>
          </w:p>
        </w:tc>
      </w:tr>
    </w:tbl>
    <w:p w:rsidR="0005328B" w:rsidRDefault="0005328B" w:rsidP="0005328B">
      <w:pPr>
        <w:pStyle w:val="Heading2"/>
        <w:spacing w:before="240"/>
      </w:pPr>
      <w:bookmarkStart w:id="7" w:name="_Toc360711481"/>
      <w:r>
        <w:t>Priority Outcome 2: Improved Health</w:t>
      </w:r>
      <w:bookmarkEnd w:id="7"/>
    </w:p>
    <w:p w:rsidR="004F796F" w:rsidRDefault="00D1047E" w:rsidP="004316EE">
      <w:pPr>
        <w:pStyle w:val="Heading2"/>
        <w:numPr>
          <w:ilvl w:val="0"/>
          <w:numId w:val="0"/>
        </w:numPr>
        <w:spacing w:before="240"/>
      </w:pPr>
      <w:r>
        <w:br w:type="page"/>
      </w:r>
      <w:bookmarkStart w:id="8" w:name="_Toc360711482"/>
      <w:r w:rsidR="004F796F">
        <w:lastRenderedPageBreak/>
        <w:t>Priority Outcome 2: Improved Health</w:t>
      </w:r>
      <w:bookmarkEnd w:id="8"/>
    </w:p>
    <w:p w:rsidR="0005328B" w:rsidRPr="009004A2" w:rsidRDefault="0005328B" w:rsidP="0005328B">
      <w:pPr>
        <w:pStyle w:val="Heading3"/>
        <w:spacing w:before="120"/>
      </w:pPr>
      <w:bookmarkStart w:id="9" w:name="_Toc360711483"/>
      <w:r w:rsidRPr="009004A2">
        <w:t>Rating</w:t>
      </w:r>
      <w:bookmarkEnd w:id="9"/>
    </w:p>
    <w:p w:rsidR="0005328B" w:rsidRPr="0005328B" w:rsidRDefault="00473CE5" w:rsidP="0005328B">
      <w:pPr>
        <w:pStyle w:val="BodyText"/>
        <w:spacing w:after="120"/>
      </w:pPr>
      <w:r>
        <w:rPr>
          <w:noProof/>
          <w:color w:val="FF9900"/>
          <w:lang w:val="en-US" w:eastAsia="en-US"/>
        </w:rPr>
        <mc:AlternateContent>
          <mc:Choice Requires="wps">
            <w:drawing>
              <wp:inline distT="0" distB="0" distL="0" distR="0">
                <wp:extent cx="123190" cy="134620"/>
                <wp:effectExtent l="0" t="0" r="0" b="0"/>
                <wp:docPr id="12" name="Rectangle 10" descr="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3462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alt="Orange" style="width:9.7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JmiQIAAAsFAAAOAAAAZHJzL2Uyb0RvYy54bWysVF1v0zAUfUfiP1h+7/LRtGuipVPXrQhp&#10;sInBD3Btp7FwbGO7TQfiv3PttKUDHhCiD6k/rq/PPedcX13vO4l23DqhVY2zixQjrqhmQm1q/Onj&#10;ajTDyHmiGJFa8Ro/c4ev569fXfWm4rlutWTcIkiiXNWbGrfemypJHG15R9yFNlzBZqNtRzxM7SZh&#10;lvSQvZNJnqbTpNeWGaspdw5Wb4dNPI/5m4ZT/9A0jnskawzYfPza+F2HbzK/ItXGEtMKeoBB/gFF&#10;R4SCS0+pboknaGvFb6k6Qa12uvEXVHeJbhpBeawBqsnSX6p5aonhsRYgx5kTTe7/paXvd48WCQba&#10;5Rgp0oFGH4A1ojaSowwoY9xRIOzBwhIPfPXGVXDsyTzaULEz95p+dkjpZRtCFtbqvuWEAcosxCcv&#10;DoSJg6No3b/TDG4jW68jdfvGdiEhkIL2UaHnk0J87xGFxSwfZyWAorCVjYtpHhVMSHU8bKzzb7ju&#10;UBjU2EIpMTnZ3TsfwJDqGBLBaynYSkgZJ3azXkqLdgTMcjeeLtNFxA81nodJFYKVDseGjMMKYIQ7&#10;wl5AG8X/VmZ5kd7k5Wg1nV2OilUxGZWX6WyUZuVNOU2LsrhdfQ8As6JqBWNc3QvFj0bMir8T+tAS&#10;g4WiFVFf43KST2LtL9C78yLT+PtTkZ3w0JdSdDWenYJIFXS9UwzKJpUnQg7j5CX8yDJwcPyPrEQX&#10;BOEHA601ewYTWA0igZ7wgsCg1fYrRj10Y43dly2xHCP5VoGRyqwoQvvGSTG5BN2RPd9Zn+8QRSFV&#10;jT1Gw3Dph5bfGis2LdyURWKUXoD5GhGNEYw5oDpYFjouVnB4HUJLn89j1M83bP4DAAD//wMAUEsD&#10;BBQABgAIAAAAIQD7I1QC2gAAAAMBAAAPAAAAZHJzL2Rvd25yZXYueG1sTI9Ba8JAEIXvQv/DMoI3&#10;3SSo2DQbKQ2leOihNocex+yYBLOzIbtq/Pdde6mXgcd7vPdNth1NJy40uNaygngRgSCurG65VlB+&#10;v883IJxH1thZJgU3crDNnyYZptpe+Ysue1+LUMIuRQWN930qpasaMugWticO3tEOBn2QQy31gNdQ&#10;bjqZRNFaGmw5LDTY01tD1Wl/NgqKze2nTKryM+5Xxan4WO3WzDulZtPx9QWEp9H/h+GOH9AhD0wH&#10;e2btRKcgPOL/7t17XoI4KEjiBGSeyUf2/BcAAP//AwBQSwECLQAUAAYACAAAACEAtoM4kv4AAADh&#10;AQAAEwAAAAAAAAAAAAAAAAAAAAAAW0NvbnRlbnRfVHlwZXNdLnhtbFBLAQItABQABgAIAAAAIQA4&#10;/SH/1gAAAJQBAAALAAAAAAAAAAAAAAAAAC8BAABfcmVscy8ucmVsc1BLAQItABQABgAIAAAAIQCs&#10;qaJmiQIAAAsFAAAOAAAAAAAAAAAAAAAAAC4CAABkcnMvZTJvRG9jLnhtbFBLAQItABQABgAIAAAA&#10;IQD7I1QC2gAAAAMBAAAPAAAAAAAAAAAAAAAAAOMEAABkcnMvZG93bnJldi54bWxQSwUGAAAAAAQA&#10;BADzAAAA6gUAAAAA&#10;" fillcolor="#e36c0a" stroked="f">
                <w10:anchorlock/>
              </v:rect>
            </w:pict>
          </mc:Fallback>
        </mc:AlternateContent>
      </w:r>
      <w:r w:rsidR="0005328B" w:rsidRPr="0005328B">
        <w:rPr>
          <w:rFonts w:eastAsia="Arial Unicode MS" w:hAnsi="Arial Unicode MS"/>
        </w:rPr>
        <w:t> </w:t>
      </w:r>
      <w:r w:rsidR="0005328B" w:rsidRPr="0005328B">
        <w:t>The objective will be partly achieved within the timeframe of the strategy.</w:t>
      </w:r>
    </w:p>
    <w:tbl>
      <w:tblPr>
        <w:tblW w:w="7938" w:type="dxa"/>
        <w:tblInd w:w="57" w:type="dxa"/>
        <w:tblBorders>
          <w:top w:val="single" w:sz="12" w:space="0" w:color="auto"/>
          <w:bottom w:val="single" w:sz="12" w:space="0" w:color="auto"/>
        </w:tblBorders>
        <w:shd w:val="clear" w:color="auto" w:fill="F5F1CC"/>
        <w:tblLook w:val="01E0" w:firstRow="1" w:lastRow="1" w:firstColumn="1" w:lastColumn="1" w:noHBand="0" w:noVBand="0"/>
      </w:tblPr>
      <w:tblGrid>
        <w:gridCol w:w="7938"/>
      </w:tblGrid>
      <w:tr w:rsidR="0005328B" w:rsidRPr="0005328B" w:rsidTr="003C1A66">
        <w:tc>
          <w:tcPr>
            <w:tcW w:w="7938" w:type="dxa"/>
            <w:shd w:val="clear" w:color="auto" w:fill="F5F1CC"/>
          </w:tcPr>
          <w:p w:rsidR="000F629E" w:rsidRPr="00B8453B" w:rsidRDefault="0005328B" w:rsidP="00AD5CC1">
            <w:pPr>
              <w:pStyle w:val="H4A"/>
            </w:pPr>
            <w:r w:rsidRPr="00B8453B">
              <w:t xml:space="preserve">Joint </w:t>
            </w:r>
            <w:r w:rsidR="00F6295A">
              <w:t>c</w:t>
            </w:r>
            <w:r w:rsidRPr="00B8453B">
              <w:t>ommitments</w:t>
            </w:r>
          </w:p>
          <w:p w:rsidR="0005328B" w:rsidRPr="0005328B" w:rsidRDefault="0005328B" w:rsidP="00EE4AFE">
            <w:pPr>
              <w:pStyle w:val="BoxText"/>
              <w:rPr>
                <w:lang w:val="en-US"/>
              </w:rPr>
            </w:pPr>
            <w:r w:rsidRPr="0005328B">
              <w:rPr>
                <w:lang w:val="en-US"/>
              </w:rPr>
              <w:t>The</w:t>
            </w:r>
            <w:r w:rsidR="00551157">
              <w:rPr>
                <w:lang w:val="en-US"/>
              </w:rPr>
              <w:t xml:space="preserve"> p</w:t>
            </w:r>
            <w:r w:rsidRPr="0005328B">
              <w:rPr>
                <w:lang w:val="en-US"/>
              </w:rPr>
              <w:t xml:space="preserve">artnership will strengthen health services and accelerate progress towards health MDGs, through: </w:t>
            </w:r>
          </w:p>
          <w:p w:rsidR="000E537D" w:rsidRPr="0005328B" w:rsidRDefault="0005328B" w:rsidP="000E537D">
            <w:pPr>
              <w:pStyle w:val="BoxListBullet"/>
              <w:rPr>
                <w:lang w:val="en-US"/>
              </w:rPr>
            </w:pPr>
            <w:r w:rsidRPr="0005328B">
              <w:rPr>
                <w:lang w:val="en-US"/>
              </w:rPr>
              <w:t>health information system to track MDG progress and support evidence</w:t>
            </w:r>
            <w:r w:rsidRPr="0005328B">
              <w:rPr>
                <w:lang w:val="en-US"/>
              </w:rPr>
              <w:noBreakHyphen/>
              <w:t>based decision</w:t>
            </w:r>
            <w:r w:rsidR="005F094E">
              <w:rPr>
                <w:lang w:val="en-US"/>
              </w:rPr>
              <w:t xml:space="preserve"> </w:t>
            </w:r>
            <w:r w:rsidR="000E537D">
              <w:rPr>
                <w:lang w:val="en-US"/>
              </w:rPr>
              <w:t>e</w:t>
            </w:r>
            <w:r w:rsidR="000E537D" w:rsidRPr="0005328B">
              <w:rPr>
                <w:lang w:val="en-US"/>
              </w:rPr>
              <w:t xml:space="preserve">nhanced access to, and quality of, health care services, particularly for rural communities, including a strengthened health supply chain, strengthened community nursing, and </w:t>
            </w:r>
            <w:r w:rsidR="000E537D">
              <w:rPr>
                <w:lang w:val="en-US"/>
              </w:rPr>
              <w:br/>
            </w:r>
            <w:r w:rsidR="000E537D" w:rsidRPr="0005328B">
              <w:rPr>
                <w:lang w:val="en-US"/>
              </w:rPr>
              <w:t>upgraded facilities</w:t>
            </w:r>
          </w:p>
          <w:p w:rsidR="000E537D" w:rsidRPr="0005328B" w:rsidRDefault="000E537D" w:rsidP="000E537D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05328B">
              <w:rPr>
                <w:lang w:val="en-US"/>
              </w:rPr>
              <w:t>ontrolling and progressively eliminating malaria</w:t>
            </w:r>
          </w:p>
          <w:p w:rsidR="000E537D" w:rsidRPr="0005328B" w:rsidRDefault="000E537D" w:rsidP="000E537D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5328B">
              <w:rPr>
                <w:lang w:val="en-US"/>
              </w:rPr>
              <w:t>mproved budgeting, financial and expenditure management</w:t>
            </w:r>
          </w:p>
          <w:p w:rsidR="0005328B" w:rsidRPr="0005328B" w:rsidRDefault="000E537D" w:rsidP="000E537D">
            <w:pPr>
              <w:pStyle w:val="BoxListBullet"/>
              <w:rPr>
                <w:lang w:val="en-US"/>
              </w:rPr>
            </w:pPr>
            <w:proofErr w:type="gramStart"/>
            <w:r>
              <w:rPr>
                <w:lang w:val="en-US"/>
              </w:rPr>
              <w:t>s</w:t>
            </w:r>
            <w:r w:rsidRPr="0005328B">
              <w:rPr>
                <w:lang w:val="en-US"/>
              </w:rPr>
              <w:t>trengthened</w:t>
            </w:r>
            <w:proofErr w:type="gramEnd"/>
            <w:r w:rsidRPr="0005328B">
              <w:rPr>
                <w:lang w:val="en-US"/>
              </w:rPr>
              <w:t xml:space="preserve"> </w:t>
            </w:r>
            <w:r w:rsidR="0005328B" w:rsidRPr="0005328B">
              <w:rPr>
                <w:lang w:val="en-US"/>
              </w:rPr>
              <w:t>making.</w:t>
            </w:r>
          </w:p>
          <w:p w:rsidR="0005328B" w:rsidRPr="00B8453B" w:rsidRDefault="0005328B" w:rsidP="00AD5CC1">
            <w:pPr>
              <w:pStyle w:val="H4A"/>
            </w:pPr>
            <w:r w:rsidRPr="00B8453B">
              <w:t xml:space="preserve">Target </w:t>
            </w:r>
            <w:r w:rsidR="00F6295A">
              <w:t>r</w:t>
            </w:r>
            <w:r w:rsidRPr="00B8453B">
              <w:t>esults</w:t>
            </w:r>
          </w:p>
          <w:p w:rsidR="0005328B" w:rsidRPr="0005328B" w:rsidRDefault="00F6295A" w:rsidP="004316EE">
            <w:pPr>
              <w:pStyle w:val="BoxListBullet"/>
              <w:spacing w:before="6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05328B" w:rsidRPr="0005328B">
              <w:rPr>
                <w:lang w:val="en-US"/>
              </w:rPr>
              <w:t>nder-five mortality rate reduced from 34.1</w:t>
            </w:r>
            <w:r w:rsidR="00356D8A">
              <w:rPr>
                <w:lang w:val="en-US"/>
              </w:rPr>
              <w:t> </w:t>
            </w:r>
            <w:r w:rsidR="0005328B" w:rsidRPr="0005328B">
              <w:rPr>
                <w:lang w:val="en-US"/>
              </w:rPr>
              <w:t>per</w:t>
            </w:r>
            <w:r w:rsidR="00356D8A">
              <w:rPr>
                <w:lang w:val="en-US"/>
              </w:rPr>
              <w:t> </w:t>
            </w:r>
            <w:r w:rsidR="0005328B" w:rsidRPr="0005328B">
              <w:rPr>
                <w:lang w:val="en-US"/>
              </w:rPr>
              <w:t>1000 in 2007 to the MDG target of 20.7</w:t>
            </w:r>
            <w:r w:rsidR="00356D8A">
              <w:rPr>
                <w:lang w:val="en-US"/>
              </w:rPr>
              <w:t> </w:t>
            </w:r>
            <w:r w:rsidR="0005328B" w:rsidRPr="0005328B">
              <w:rPr>
                <w:lang w:val="en-US"/>
              </w:rPr>
              <w:t>per</w:t>
            </w:r>
            <w:r w:rsidR="005F094E">
              <w:rPr>
                <w:lang w:val="en-US"/>
              </w:rPr>
              <w:t> </w:t>
            </w:r>
            <w:r w:rsidR="0005328B" w:rsidRPr="0005328B">
              <w:rPr>
                <w:lang w:val="en-US"/>
              </w:rPr>
              <w:t xml:space="preserve">1000 by 2015, and maternal care improved with an increased percentage of </w:t>
            </w:r>
            <w:r w:rsidR="005F094E">
              <w:rPr>
                <w:lang w:val="en-US"/>
              </w:rPr>
              <w:br/>
            </w:r>
            <w:r w:rsidR="0005328B" w:rsidRPr="0005328B">
              <w:rPr>
                <w:lang w:val="en-US"/>
              </w:rPr>
              <w:t>deliveries supervised by skilled staff</w:t>
            </w:r>
          </w:p>
          <w:p w:rsidR="0005328B" w:rsidRPr="0005328B" w:rsidRDefault="00F6295A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5328B" w:rsidRPr="0005328B">
              <w:rPr>
                <w:lang w:val="en-US"/>
              </w:rPr>
              <w:t>ncreased routine measles and triple antigen vaccination coverage of one-year</w:t>
            </w:r>
            <w:r w:rsidR="00551157">
              <w:rPr>
                <w:lang w:val="en-US"/>
              </w:rPr>
              <w:t>-</w:t>
            </w:r>
            <w:r w:rsidR="0005328B" w:rsidRPr="0005328B">
              <w:rPr>
                <w:lang w:val="en-US"/>
              </w:rPr>
              <w:t xml:space="preserve">old children </w:t>
            </w:r>
            <w:r w:rsidR="005F094E">
              <w:rPr>
                <w:lang w:val="en-US"/>
              </w:rPr>
              <w:br/>
            </w:r>
            <w:r w:rsidR="0005328B" w:rsidRPr="0005328B">
              <w:rPr>
                <w:lang w:val="en-US"/>
              </w:rPr>
              <w:t>to 80</w:t>
            </w:r>
            <w:r w:rsidR="00FB714A">
              <w:rPr>
                <w:lang w:val="en-US"/>
              </w:rPr>
              <w:t>%</w:t>
            </w:r>
            <w:r w:rsidR="00356D8A">
              <w:rPr>
                <w:lang w:val="en-US"/>
              </w:rPr>
              <w:t> </w:t>
            </w:r>
            <w:r w:rsidR="0005328B" w:rsidRPr="0005328B">
              <w:rPr>
                <w:lang w:val="en-US"/>
              </w:rPr>
              <w:t>by 2012 and 90</w:t>
            </w:r>
            <w:r w:rsidR="00FB714A">
              <w:rPr>
                <w:lang w:val="en-US"/>
              </w:rPr>
              <w:t>%</w:t>
            </w:r>
            <w:r w:rsidR="00356D8A">
              <w:rPr>
                <w:lang w:val="en-US"/>
              </w:rPr>
              <w:t> </w:t>
            </w:r>
            <w:r w:rsidR="0005328B" w:rsidRPr="0005328B">
              <w:rPr>
                <w:lang w:val="en-US"/>
              </w:rPr>
              <w:t>by 2015</w:t>
            </w:r>
          </w:p>
          <w:p w:rsidR="0005328B" w:rsidRPr="0005328B" w:rsidRDefault="00F6295A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05328B" w:rsidRPr="0005328B">
              <w:rPr>
                <w:lang w:val="en-US"/>
              </w:rPr>
              <w:t>educed malaria incidence nationwide by 70</w:t>
            </w:r>
            <w:r w:rsidR="00FB714A">
              <w:rPr>
                <w:lang w:val="en-US"/>
              </w:rPr>
              <w:t>%</w:t>
            </w:r>
            <w:r w:rsidR="0005328B" w:rsidRPr="0005328B">
              <w:rPr>
                <w:lang w:val="en-US"/>
              </w:rPr>
              <w:t xml:space="preserve"> and elimination in </w:t>
            </w:r>
            <w:proofErr w:type="spellStart"/>
            <w:r w:rsidR="0005328B" w:rsidRPr="0005328B">
              <w:rPr>
                <w:lang w:val="en-US"/>
              </w:rPr>
              <w:t>Tafea</w:t>
            </w:r>
            <w:proofErr w:type="spellEnd"/>
            <w:r w:rsidR="0005328B" w:rsidRPr="0005328B">
              <w:rPr>
                <w:lang w:val="en-US"/>
              </w:rPr>
              <w:t xml:space="preserve"> Province</w:t>
            </w:r>
          </w:p>
          <w:p w:rsidR="0005328B" w:rsidRPr="0005328B" w:rsidRDefault="00F6295A" w:rsidP="00EE4AFE">
            <w:pPr>
              <w:pStyle w:val="BoxListBullet"/>
            </w:pPr>
            <w:proofErr w:type="gramStart"/>
            <w:r>
              <w:rPr>
                <w:lang w:val="en-US"/>
              </w:rPr>
              <w:t>i</w:t>
            </w:r>
            <w:r w:rsidR="0005328B" w:rsidRPr="0005328B">
              <w:rPr>
                <w:lang w:val="en-US"/>
              </w:rPr>
              <w:t>ncreased</w:t>
            </w:r>
            <w:proofErr w:type="gramEnd"/>
            <w:r w:rsidR="0005328B" w:rsidRPr="0005328B">
              <w:rPr>
                <w:lang w:val="en-US"/>
              </w:rPr>
              <w:t xml:space="preserve"> proportion of health sector expenditures that reach provincial and </w:t>
            </w:r>
            <w:r w:rsidR="00551157">
              <w:rPr>
                <w:lang w:val="en-US"/>
              </w:rPr>
              <w:br/>
            </w:r>
            <w:r w:rsidR="0005328B" w:rsidRPr="0005328B">
              <w:rPr>
                <w:lang w:val="en-US"/>
              </w:rPr>
              <w:t>rural</w:t>
            </w:r>
            <w:r w:rsidR="00551157">
              <w:rPr>
                <w:lang w:val="en-US"/>
              </w:rPr>
              <w:t> </w:t>
            </w:r>
            <w:r w:rsidR="0005328B" w:rsidRPr="0005328B">
              <w:rPr>
                <w:lang w:val="en-US"/>
              </w:rPr>
              <w:t>facilities</w:t>
            </w:r>
            <w:r>
              <w:rPr>
                <w:lang w:val="en-US"/>
              </w:rPr>
              <w:t>.</w:t>
            </w:r>
          </w:p>
        </w:tc>
      </w:tr>
    </w:tbl>
    <w:p w:rsidR="0005328B" w:rsidRPr="0005328B" w:rsidRDefault="0005328B" w:rsidP="00877809">
      <w:pPr>
        <w:pStyle w:val="BodyText"/>
      </w:pPr>
      <w:r w:rsidRPr="0005328B">
        <w:t xml:space="preserve">AusAID funds a number of bilateral health initiatives and is currently in discussion with </w:t>
      </w:r>
      <w:r w:rsidR="006C5937">
        <w:t xml:space="preserve">the Vanuatu </w:t>
      </w:r>
      <w:r w:rsidRPr="0005328B">
        <w:t xml:space="preserve">Government and </w:t>
      </w:r>
      <w:r w:rsidR="006C5937">
        <w:t xml:space="preserve">other </w:t>
      </w:r>
      <w:r w:rsidRPr="0005328B">
        <w:t xml:space="preserve">donors to provide a multi-year funding commitment </w:t>
      </w:r>
      <w:r w:rsidR="006C5937">
        <w:t>to</w:t>
      </w:r>
      <w:r w:rsidR="006C5937" w:rsidRPr="0005328B">
        <w:t xml:space="preserve"> </w:t>
      </w:r>
      <w:r w:rsidRPr="0005328B">
        <w:t xml:space="preserve">support </w:t>
      </w:r>
      <w:r w:rsidR="006C5937">
        <w:t>the country’s</w:t>
      </w:r>
      <w:r w:rsidRPr="0005328B">
        <w:t xml:space="preserve"> health priorities</w:t>
      </w:r>
      <w:r w:rsidR="00E04E06">
        <w:t>. This includes the transition from</w:t>
      </w:r>
      <w:r w:rsidRPr="0005328B">
        <w:t xml:space="preserve"> current activities </w:t>
      </w:r>
      <w:r w:rsidR="00356D8A">
        <w:br/>
      </w:r>
      <w:r w:rsidRPr="0005328B">
        <w:t xml:space="preserve">into a long-term partnership in support of Vanuatu leadership in </w:t>
      </w:r>
      <w:r w:rsidR="00E04E06">
        <w:t>health</w:t>
      </w:r>
      <w:r w:rsidR="00EE07F3">
        <w:t xml:space="preserve">. </w:t>
      </w:r>
      <w:r w:rsidRPr="0005328B">
        <w:t>This transition is crucial to achieve greater value for money and effectiveness in the use of donor and Vanuatu</w:t>
      </w:r>
      <w:r w:rsidR="00356D8A">
        <w:t> </w:t>
      </w:r>
      <w:r w:rsidRPr="0005328B">
        <w:t>resources.</w:t>
      </w:r>
    </w:p>
    <w:p w:rsidR="0005328B" w:rsidRPr="00877809" w:rsidRDefault="0005328B" w:rsidP="00877809">
      <w:pPr>
        <w:pStyle w:val="Heading3"/>
      </w:pPr>
      <w:bookmarkStart w:id="10" w:name="_Toc360711484"/>
      <w:r w:rsidRPr="00877809">
        <w:t xml:space="preserve">Assessment of </w:t>
      </w:r>
      <w:r w:rsidR="006C5937" w:rsidRPr="00877809">
        <w:t>r</w:t>
      </w:r>
      <w:r w:rsidRPr="00877809">
        <w:t xml:space="preserve">esults and </w:t>
      </w:r>
      <w:r w:rsidR="006C5937" w:rsidRPr="00877809">
        <w:t>p</w:t>
      </w:r>
      <w:r w:rsidRPr="00877809">
        <w:t>erformance</w:t>
      </w:r>
      <w:bookmarkEnd w:id="10"/>
    </w:p>
    <w:p w:rsidR="0005328B" w:rsidRPr="0005328B" w:rsidRDefault="0005328B" w:rsidP="00877809">
      <w:pPr>
        <w:pStyle w:val="BodyText"/>
      </w:pPr>
      <w:r w:rsidRPr="0005328B">
        <w:t>It is difficult to adequately assess progress against the target</w:t>
      </w:r>
      <w:r w:rsidR="006C5937">
        <w:t xml:space="preserve"> results listed above because</w:t>
      </w:r>
      <w:r w:rsidRPr="0005328B">
        <w:t xml:space="preserve"> the</w:t>
      </w:r>
      <w:r w:rsidR="006C5937">
        <w:t>re is not enough reliable data c</w:t>
      </w:r>
      <w:r w:rsidRPr="0005328B">
        <w:t xml:space="preserve">oming out of the </w:t>
      </w:r>
      <w:r w:rsidR="00DB2637">
        <w:t>h</w:t>
      </w:r>
      <w:r w:rsidRPr="0005328B">
        <w:t xml:space="preserve">ealth </w:t>
      </w:r>
      <w:r w:rsidR="00DB2637">
        <w:t>i</w:t>
      </w:r>
      <w:r w:rsidRPr="0005328B">
        <w:t xml:space="preserve">nformation </w:t>
      </w:r>
      <w:r w:rsidR="00DB2637">
        <w:t>s</w:t>
      </w:r>
      <w:r w:rsidRPr="0005328B">
        <w:t>ystem. The release of Census</w:t>
      </w:r>
      <w:r w:rsidR="005F094E">
        <w:t> </w:t>
      </w:r>
      <w:r w:rsidRPr="0005328B">
        <w:t xml:space="preserve">data and proposed assistance for the </w:t>
      </w:r>
      <w:r w:rsidR="00E04E06">
        <w:t>system</w:t>
      </w:r>
      <w:r w:rsidR="00E04E06" w:rsidRPr="0005328B">
        <w:t xml:space="preserve"> </w:t>
      </w:r>
      <w:r w:rsidRPr="0005328B">
        <w:t>should enable progress to be assessed in the coming year.</w:t>
      </w:r>
    </w:p>
    <w:p w:rsidR="0005328B" w:rsidRPr="0005328B" w:rsidRDefault="0005328B" w:rsidP="00877809">
      <w:pPr>
        <w:pStyle w:val="BodyText"/>
        <w:rPr>
          <w:b/>
        </w:rPr>
      </w:pPr>
      <w:r w:rsidRPr="0005328B">
        <w:t xml:space="preserve">While some estimates suggest that Vanuatu is making </w:t>
      </w:r>
      <w:r w:rsidR="00447A92">
        <w:t xml:space="preserve">slow </w:t>
      </w:r>
      <w:r w:rsidRPr="0005328B">
        <w:t>progress</w:t>
      </w:r>
      <w:r w:rsidR="00447A92">
        <w:t xml:space="preserve"> </w:t>
      </w:r>
      <w:r w:rsidRPr="0005328B">
        <w:t xml:space="preserve">towards </w:t>
      </w:r>
      <w:r w:rsidRPr="0005328B">
        <w:rPr>
          <w:b/>
        </w:rPr>
        <w:t>MDG</w:t>
      </w:r>
      <w:r w:rsidR="006C5937">
        <w:rPr>
          <w:b/>
        </w:rPr>
        <w:t> </w:t>
      </w:r>
      <w:r w:rsidRPr="0005328B">
        <w:rPr>
          <w:b/>
        </w:rPr>
        <w:t>4</w:t>
      </w:r>
      <w:r w:rsidRPr="0005328B">
        <w:t xml:space="preserve"> (reducing child mortality), progress against </w:t>
      </w:r>
      <w:r w:rsidRPr="0005328B">
        <w:rPr>
          <w:b/>
        </w:rPr>
        <w:t>MDG</w:t>
      </w:r>
      <w:r w:rsidR="006C5937">
        <w:rPr>
          <w:b/>
        </w:rPr>
        <w:t> </w:t>
      </w:r>
      <w:r w:rsidRPr="0005328B">
        <w:rPr>
          <w:b/>
        </w:rPr>
        <w:t>5</w:t>
      </w:r>
      <w:r w:rsidRPr="0005328B">
        <w:t xml:space="preserve"> (improving maternal health) is more difficult to assess</w:t>
      </w:r>
      <w:r w:rsidR="00EE07F3">
        <w:t xml:space="preserve">. </w:t>
      </w:r>
      <w:r w:rsidRPr="0005328B">
        <w:t>Currently 74</w:t>
      </w:r>
      <w:r w:rsidR="00FB714A">
        <w:t>%</w:t>
      </w:r>
      <w:r w:rsidR="00356D8A">
        <w:t> </w:t>
      </w:r>
      <w:r w:rsidRPr="0005328B">
        <w:t xml:space="preserve">of deliveries nationwide are assisted by a skilled birth </w:t>
      </w:r>
      <w:proofErr w:type="gramStart"/>
      <w:r w:rsidRPr="0005328B">
        <w:t>attendant,</w:t>
      </w:r>
      <w:proofErr w:type="gramEnd"/>
      <w:r w:rsidRPr="0005328B">
        <w:t xml:space="preserve"> however this represents 95</w:t>
      </w:r>
      <w:r w:rsidR="00FB714A">
        <w:t>%</w:t>
      </w:r>
      <w:r w:rsidR="00356D8A">
        <w:t> </w:t>
      </w:r>
      <w:r w:rsidRPr="0005328B">
        <w:t>in Port Vila and only 32</w:t>
      </w:r>
      <w:r w:rsidR="00FB714A">
        <w:t>%</w:t>
      </w:r>
      <w:r w:rsidR="00356D8A">
        <w:t> </w:t>
      </w:r>
      <w:r w:rsidRPr="0005328B">
        <w:t xml:space="preserve">in remote </w:t>
      </w:r>
      <w:proofErr w:type="spellStart"/>
      <w:r w:rsidRPr="0005328B">
        <w:t>Torba</w:t>
      </w:r>
      <w:proofErr w:type="spellEnd"/>
      <w:r w:rsidRPr="0005328B">
        <w:t xml:space="preserve"> Province</w:t>
      </w:r>
      <w:r w:rsidR="00EE07F3">
        <w:t xml:space="preserve">. </w:t>
      </w:r>
      <w:r w:rsidRPr="0005328B">
        <w:t>In 2009, the AusAID</w:t>
      </w:r>
      <w:r w:rsidR="006C5937">
        <w:t>-</w:t>
      </w:r>
      <w:r w:rsidRPr="0005328B">
        <w:t>funded</w:t>
      </w:r>
      <w:r w:rsidR="006C5937">
        <w:t xml:space="preserve"> o</w:t>
      </w:r>
      <w:r w:rsidRPr="0005328B">
        <w:t>bstetrician/</w:t>
      </w:r>
      <w:r w:rsidR="006C5937">
        <w:t>g</w:t>
      </w:r>
      <w:r w:rsidRPr="0005328B">
        <w:t>ynaecologist at Vila Central Hospital attended 1600</w:t>
      </w:r>
      <w:r w:rsidR="00356D8A">
        <w:t> </w:t>
      </w:r>
      <w:r w:rsidRPr="0005328B">
        <w:t>live births with no major adverse outcomes</w:t>
      </w:r>
      <w:r w:rsidR="00EE07F3">
        <w:t xml:space="preserve">. </w:t>
      </w:r>
      <w:r w:rsidRPr="0005328B">
        <w:t xml:space="preserve">A modest travel budget is also provided </w:t>
      </w:r>
      <w:r w:rsidR="00D75BCB">
        <w:t>s</w:t>
      </w:r>
      <w:r w:rsidR="00E04E06">
        <w:t>o</w:t>
      </w:r>
      <w:r w:rsidR="00E04E06" w:rsidRPr="0005328B">
        <w:t xml:space="preserve"> </w:t>
      </w:r>
      <w:r w:rsidRPr="0005328B">
        <w:t xml:space="preserve">the </w:t>
      </w:r>
      <w:r w:rsidR="006B50EE">
        <w:t>o</w:t>
      </w:r>
      <w:r w:rsidRPr="0005328B">
        <w:t>bstetrician/</w:t>
      </w:r>
      <w:r w:rsidR="006B50EE">
        <w:t>g</w:t>
      </w:r>
      <w:r w:rsidRPr="0005328B">
        <w:t xml:space="preserve">ynaecologist </w:t>
      </w:r>
      <w:r w:rsidR="00E04E06">
        <w:t>can attend to</w:t>
      </w:r>
      <w:r w:rsidRPr="0005328B">
        <w:t xml:space="preserve"> emergencies in the </w:t>
      </w:r>
      <w:r w:rsidR="006B50EE">
        <w:t>p</w:t>
      </w:r>
      <w:r w:rsidRPr="0005328B">
        <w:t>rovinces</w:t>
      </w:r>
      <w:r w:rsidR="00EE07F3">
        <w:t xml:space="preserve">. </w:t>
      </w:r>
      <w:r w:rsidRPr="0005328B">
        <w:t xml:space="preserve">It is </w:t>
      </w:r>
      <w:r w:rsidR="006B50EE">
        <w:t>expected</w:t>
      </w:r>
      <w:r w:rsidR="006B50EE" w:rsidRPr="0005328B">
        <w:t xml:space="preserve"> </w:t>
      </w:r>
      <w:r w:rsidRPr="0005328B">
        <w:t xml:space="preserve">that skilled birth attendants will increase in rural areas with </w:t>
      </w:r>
      <w:r w:rsidR="00356D8A">
        <w:t xml:space="preserve">AusAID funding permitting </w:t>
      </w:r>
      <w:r w:rsidRPr="0005328B">
        <w:t xml:space="preserve">the first </w:t>
      </w:r>
      <w:r w:rsidRPr="0005328B">
        <w:lastRenderedPageBreak/>
        <w:t xml:space="preserve">graduation of students from the </w:t>
      </w:r>
      <w:r w:rsidR="00FC0AE5">
        <w:t>Vanuatu College of N</w:t>
      </w:r>
      <w:r w:rsidRPr="0005328B">
        <w:t xml:space="preserve">ursing </w:t>
      </w:r>
      <w:r w:rsidR="00FC0AE5">
        <w:t>Education</w:t>
      </w:r>
      <w:r w:rsidRPr="0005328B">
        <w:t xml:space="preserve"> since 2004</w:t>
      </w:r>
      <w:r w:rsidR="00356D8A">
        <w:t xml:space="preserve">. </w:t>
      </w:r>
      <w:r w:rsidR="00551157">
        <w:br/>
      </w:r>
      <w:r w:rsidR="00356D8A">
        <w:t>The</w:t>
      </w:r>
      <w:r w:rsidR="00551157">
        <w:t> </w:t>
      </w:r>
      <w:r w:rsidR="00356D8A">
        <w:t>students graduated</w:t>
      </w:r>
      <w:r w:rsidRPr="0005328B">
        <w:t xml:space="preserve"> in July </w:t>
      </w:r>
      <w:r w:rsidR="00356D8A">
        <w:t>2009</w:t>
      </w:r>
      <w:r w:rsidRPr="0005328B">
        <w:t>.</w:t>
      </w:r>
    </w:p>
    <w:p w:rsidR="0005328B" w:rsidRPr="0005328B" w:rsidRDefault="0005328B" w:rsidP="009004A2">
      <w:pPr>
        <w:pStyle w:val="BodyText"/>
      </w:pPr>
      <w:r w:rsidRPr="0005328B">
        <w:t xml:space="preserve">In relation to </w:t>
      </w:r>
      <w:r w:rsidRPr="0005328B">
        <w:rPr>
          <w:b/>
        </w:rPr>
        <w:t>immunisation coverage</w:t>
      </w:r>
      <w:r w:rsidRPr="0005328B">
        <w:t xml:space="preserve">, AusAID contributed </w:t>
      </w:r>
      <w:r w:rsidR="00992352">
        <w:t xml:space="preserve">funding </w:t>
      </w:r>
      <w:r w:rsidRPr="0005328B">
        <w:t>to a UNICEF</w:t>
      </w:r>
      <w:r w:rsidR="006B50EE">
        <w:t>-</w:t>
      </w:r>
      <w:r w:rsidRPr="0005328B">
        <w:t>supported initiative in 2009 to achieve 80</w:t>
      </w:r>
      <w:r w:rsidR="00FB714A">
        <w:t>%</w:t>
      </w:r>
      <w:r w:rsidR="00356D8A">
        <w:t> </w:t>
      </w:r>
      <w:r w:rsidRPr="0005328B">
        <w:t>coverage with measles supplementary immunisations</w:t>
      </w:r>
      <w:r w:rsidR="00EE07F3">
        <w:t xml:space="preserve">. </w:t>
      </w:r>
      <w:r w:rsidRPr="0005328B">
        <w:t>Progress on routine coverage is still difficult to estimate</w:t>
      </w:r>
      <w:r w:rsidR="00EE07F3">
        <w:t xml:space="preserve">. </w:t>
      </w:r>
      <w:r w:rsidRPr="0005328B">
        <w:t xml:space="preserve">The AusAID-funded health supply chain and logistics specialist in the Central Medical Store will conduct a stocktake in 2010 to improve drug supply to the </w:t>
      </w:r>
      <w:r w:rsidR="006B50EE">
        <w:t>p</w:t>
      </w:r>
      <w:r w:rsidRPr="0005328B">
        <w:t>rovinces.</w:t>
      </w:r>
    </w:p>
    <w:p w:rsidR="0005328B" w:rsidRPr="0005328B" w:rsidRDefault="0005328B" w:rsidP="009004A2">
      <w:pPr>
        <w:pStyle w:val="BodyText"/>
      </w:pPr>
      <w:r w:rsidRPr="00F84FA2">
        <w:t xml:space="preserve">Although malaria parasite incidence has fallen dramatically in recent years, a slight increase occurred </w:t>
      </w:r>
      <w:r w:rsidR="00E04E06">
        <w:t>to</w:t>
      </w:r>
      <w:r w:rsidRPr="00F84FA2">
        <w:t xml:space="preserve"> 15.6</w:t>
      </w:r>
      <w:r w:rsidR="00356D8A">
        <w:t> per 1</w:t>
      </w:r>
      <w:r w:rsidR="00E04E06">
        <w:t>000 in 2009 from</w:t>
      </w:r>
      <w:r w:rsidRPr="00F84FA2">
        <w:t xml:space="preserve"> </w:t>
      </w:r>
      <w:r w:rsidR="00E04E06" w:rsidRPr="00F84FA2">
        <w:t xml:space="preserve">13.6 in 2008 </w:t>
      </w:r>
      <w:r w:rsidRPr="00F84FA2">
        <w:t>as a result of more rigorous testing and reporting processes</w:t>
      </w:r>
      <w:r w:rsidR="00EE07F3" w:rsidRPr="00F84FA2">
        <w:t xml:space="preserve">. </w:t>
      </w:r>
      <w:r w:rsidRPr="00F84FA2">
        <w:t>Technical and management assistance</w:t>
      </w:r>
      <w:r w:rsidR="00F84FA2">
        <w:t>,</w:t>
      </w:r>
      <w:r w:rsidRPr="00F84FA2">
        <w:t xml:space="preserve"> together with flexible funding from AusAID throug</w:t>
      </w:r>
      <w:r w:rsidRPr="0005328B">
        <w:t>h the Pacific Malaria Initiative Support Centre</w:t>
      </w:r>
      <w:r w:rsidR="00F84FA2">
        <w:t>,</w:t>
      </w:r>
      <w:r w:rsidRPr="0005328B">
        <w:t xml:space="preserve"> enabled progress towards elimination to b</w:t>
      </w:r>
      <w:r w:rsidR="00261856">
        <w:t xml:space="preserve">e maintained in the absence of </w:t>
      </w:r>
      <w:r w:rsidRPr="0005328B">
        <w:t xml:space="preserve">Global Fund funding in 2008 </w:t>
      </w:r>
      <w:r>
        <w:t>and</w:t>
      </w:r>
      <w:r w:rsidRPr="0005328B">
        <w:t xml:space="preserve"> 2009.</w:t>
      </w:r>
    </w:p>
    <w:p w:rsidR="0005328B" w:rsidRPr="0005328B" w:rsidRDefault="0005328B" w:rsidP="009004A2">
      <w:pPr>
        <w:pStyle w:val="BodyText"/>
      </w:pPr>
      <w:r w:rsidRPr="0005328B">
        <w:t xml:space="preserve">Long-term technical assistance is being recruited to support </w:t>
      </w:r>
      <w:r w:rsidR="00447A92">
        <w:t>the</w:t>
      </w:r>
      <w:r w:rsidRPr="0005328B">
        <w:t xml:space="preserve"> Ministry </w:t>
      </w:r>
      <w:r w:rsidR="00447A92">
        <w:t>of</w:t>
      </w:r>
      <w:r w:rsidRPr="0005328B">
        <w:t xml:space="preserve"> Health public expenditure management reform agenda</w:t>
      </w:r>
      <w:r w:rsidR="00EE07F3">
        <w:t xml:space="preserve">. </w:t>
      </w:r>
      <w:r w:rsidR="00447A92">
        <w:t>A</w:t>
      </w:r>
      <w:r w:rsidRPr="0005328B">
        <w:t xml:space="preserve">long with policy </w:t>
      </w:r>
      <w:r w:rsidR="00F84FA2">
        <w:t>discussions</w:t>
      </w:r>
      <w:r w:rsidRPr="0005328B">
        <w:t xml:space="preserve">, </w:t>
      </w:r>
      <w:r w:rsidR="00447A92">
        <w:t xml:space="preserve">this </w:t>
      </w:r>
      <w:r w:rsidRPr="0005328B">
        <w:t xml:space="preserve">will continue to </w:t>
      </w:r>
      <w:r w:rsidR="00356D8A">
        <w:t>strengthen the</w:t>
      </w:r>
      <w:r w:rsidRPr="0005328B">
        <w:t xml:space="preserve"> links </w:t>
      </w:r>
      <w:r w:rsidR="00356D8A">
        <w:t xml:space="preserve">established </w:t>
      </w:r>
      <w:r w:rsidRPr="0005328B">
        <w:t xml:space="preserve">with the AusAID Governance for Growth Program and the Ministry of Finance and Economic Management, to ensure funds are directed to frontline service delivery. </w:t>
      </w:r>
    </w:p>
    <w:p w:rsidR="0005328B" w:rsidRPr="009004A2" w:rsidRDefault="0005328B" w:rsidP="009004A2">
      <w:pPr>
        <w:pStyle w:val="Heading3"/>
      </w:pPr>
      <w:bookmarkStart w:id="11" w:name="_Toc360711485"/>
      <w:r w:rsidRPr="009004A2">
        <w:t>Priorities</w:t>
      </w:r>
      <w:r w:rsidR="00C43D78" w:rsidRPr="009004A2">
        <w:t xml:space="preserve"> for</w:t>
      </w:r>
      <w:r w:rsidRPr="009004A2">
        <w:t xml:space="preserve"> 2010</w:t>
      </w:r>
      <w:r w:rsidR="006B50EE" w:rsidRPr="009004A2">
        <w:t>–</w:t>
      </w:r>
      <w:r w:rsidRPr="009004A2">
        <w:t>11</w:t>
      </w:r>
      <w:bookmarkEnd w:id="11"/>
    </w:p>
    <w:p w:rsidR="0005328B" w:rsidRPr="0005328B" w:rsidRDefault="0005328B" w:rsidP="005D23C9">
      <w:pPr>
        <w:pStyle w:val="ListBullet"/>
        <w:spacing w:before="160"/>
      </w:pPr>
      <w:r w:rsidRPr="0005328B">
        <w:t xml:space="preserve">Transition AusAID support to </w:t>
      </w:r>
      <w:r w:rsidR="00111FCA">
        <w:t xml:space="preserve">a </w:t>
      </w:r>
      <w:r w:rsidR="004F796F">
        <w:t>four</w:t>
      </w:r>
      <w:r w:rsidR="006B50EE">
        <w:t>-</w:t>
      </w:r>
      <w:r w:rsidR="004F796F">
        <w:t>year</w:t>
      </w:r>
      <w:r w:rsidR="006B50EE">
        <w:t>,</w:t>
      </w:r>
      <w:r w:rsidR="004F796F">
        <w:t xml:space="preserve"> $17.1</w:t>
      </w:r>
      <w:r w:rsidR="006B50EE">
        <w:t> </w:t>
      </w:r>
      <w:r w:rsidR="004F796F">
        <w:t>million</w:t>
      </w:r>
      <w:r w:rsidR="004F796F" w:rsidRPr="00782EE4">
        <w:t xml:space="preserve"> commitment </w:t>
      </w:r>
      <w:r w:rsidR="004F796F">
        <w:t xml:space="preserve">to </w:t>
      </w:r>
      <w:r w:rsidR="00352C93">
        <w:t xml:space="preserve">finalise </w:t>
      </w:r>
      <w:r w:rsidR="005F094E">
        <w:br/>
      </w:r>
      <w:r w:rsidR="00352C93">
        <w:t>and implement</w:t>
      </w:r>
      <w:r w:rsidR="004F796F">
        <w:t xml:space="preserve"> Vanuatu’s </w:t>
      </w:r>
      <w:r w:rsidR="004F796F" w:rsidRPr="004F796F">
        <w:rPr>
          <w:i/>
        </w:rPr>
        <w:t>Health Sector Strategy 2010</w:t>
      </w:r>
      <w:r w:rsidR="006B50EE">
        <w:rPr>
          <w:i/>
        </w:rPr>
        <w:t>–</w:t>
      </w:r>
      <w:r w:rsidR="004F796F" w:rsidRPr="004F796F">
        <w:rPr>
          <w:i/>
        </w:rPr>
        <w:t>2016</w:t>
      </w:r>
      <w:r w:rsidR="004F796F" w:rsidRPr="00782EE4">
        <w:t xml:space="preserve">, in partnership with </w:t>
      </w:r>
      <w:r w:rsidR="005F094E">
        <w:br/>
      </w:r>
      <w:r w:rsidR="004F796F" w:rsidRPr="00782EE4">
        <w:t>other donors</w:t>
      </w:r>
      <w:r w:rsidR="006B50EE">
        <w:t>.</w:t>
      </w:r>
    </w:p>
    <w:p w:rsidR="0005328B" w:rsidRPr="0005328B" w:rsidRDefault="0005328B" w:rsidP="00EE4AFE">
      <w:pPr>
        <w:pStyle w:val="ListBullet"/>
      </w:pPr>
      <w:r w:rsidRPr="0005328B">
        <w:t xml:space="preserve">Improve the </w:t>
      </w:r>
      <w:r w:rsidR="00DB2637">
        <w:t>h</w:t>
      </w:r>
      <w:r w:rsidRPr="0005328B">
        <w:t xml:space="preserve">ealth </w:t>
      </w:r>
      <w:r w:rsidR="00DB2637">
        <w:t>i</w:t>
      </w:r>
      <w:r w:rsidRPr="0005328B">
        <w:t xml:space="preserve">nformation </w:t>
      </w:r>
      <w:r w:rsidR="00DB2637">
        <w:t>s</w:t>
      </w:r>
      <w:r w:rsidRPr="0005328B">
        <w:t>ystem to strengthen management and budgeting</w:t>
      </w:r>
      <w:r w:rsidR="00CC784D">
        <w:t xml:space="preserve"> </w:t>
      </w:r>
      <w:r w:rsidR="005F094E">
        <w:br/>
      </w:r>
      <w:r w:rsidR="00CC784D" w:rsidRPr="00D30682">
        <w:t>and track MDG performance</w:t>
      </w:r>
      <w:r w:rsidR="006B50EE">
        <w:t>.</w:t>
      </w:r>
    </w:p>
    <w:p w:rsidR="0005328B" w:rsidRPr="0005328B" w:rsidRDefault="0005328B" w:rsidP="00EE4AFE">
      <w:pPr>
        <w:pStyle w:val="ListBullet"/>
      </w:pPr>
      <w:r w:rsidRPr="0005328B">
        <w:t>Strengthen operational planning and budgeting systems</w:t>
      </w:r>
      <w:r w:rsidR="00CC784D">
        <w:t xml:space="preserve"> in the Ministry of Health</w:t>
      </w:r>
      <w:r w:rsidRPr="0005328B">
        <w:t xml:space="preserve">, </w:t>
      </w:r>
      <w:r w:rsidR="00551157">
        <w:br/>
      </w:r>
      <w:r w:rsidRPr="0005328B">
        <w:t>to target resources to frontline provincial services</w:t>
      </w:r>
      <w:r w:rsidR="006B50EE">
        <w:t>.</w:t>
      </w:r>
    </w:p>
    <w:p w:rsidR="0005328B" w:rsidRPr="0005328B" w:rsidRDefault="0005328B" w:rsidP="00EE4AFE">
      <w:pPr>
        <w:pStyle w:val="ListBullet"/>
      </w:pPr>
      <w:r w:rsidRPr="0005328B">
        <w:t xml:space="preserve">Improve human resource management and planning to address shortages of clinical </w:t>
      </w:r>
      <w:r w:rsidR="005F094E">
        <w:br/>
      </w:r>
      <w:r w:rsidRPr="0005328B">
        <w:t>and support staff.</w:t>
      </w:r>
    </w:p>
    <w:p w:rsidR="0005328B" w:rsidRPr="004316EE" w:rsidRDefault="001C27CC" w:rsidP="0005328B">
      <w:pPr>
        <w:pStyle w:val="Caption"/>
      </w:pPr>
      <w:r w:rsidRPr="004316EE">
        <w:t>Table 3</w:t>
      </w:r>
      <w:r w:rsidR="0005328B" w:rsidRPr="004316EE">
        <w:t>: Estimated expenditure on Priority Outcome 2</w:t>
      </w:r>
      <w:r w:rsidR="00356D8A" w:rsidRPr="004316EE">
        <w:t>: I</w:t>
      </w:r>
      <w:r w:rsidR="0005328B" w:rsidRPr="004316EE">
        <w:t xml:space="preserve">mproved </w:t>
      </w:r>
      <w:r w:rsidR="00356D8A" w:rsidRPr="004316EE">
        <w:t>H</w:t>
      </w:r>
      <w:r w:rsidR="0005328B" w:rsidRPr="004316EE">
        <w:t>ealth</w:t>
      </w:r>
    </w:p>
    <w:tbl>
      <w:tblPr>
        <w:tblW w:w="7938" w:type="dxa"/>
        <w:tblInd w:w="57" w:type="dxa"/>
        <w:tblBorders>
          <w:top w:val="single" w:sz="12" w:space="0" w:color="auto"/>
          <w:bottom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135"/>
        <w:gridCol w:w="1191"/>
        <w:gridCol w:w="1247"/>
        <w:gridCol w:w="1559"/>
        <w:gridCol w:w="1247"/>
        <w:gridCol w:w="1559"/>
      </w:tblGrid>
      <w:tr w:rsidR="0005328B" w:rsidRPr="00ED2327" w:rsidTr="00ED2327">
        <w:trPr>
          <w:tblHeader/>
        </w:trPr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05328B" w:rsidRPr="00A51011" w:rsidRDefault="00CC784D" w:rsidP="00ED2327">
            <w:pPr>
              <w:pStyle w:val="TableDataColumnHeading"/>
              <w:jc w:val="left"/>
            </w:pPr>
            <w:r w:rsidRPr="00A51011">
              <w:t>Year</w:t>
            </w:r>
          </w:p>
        </w:tc>
        <w:tc>
          <w:tcPr>
            <w:tcW w:w="1191" w:type="dxa"/>
            <w:tcBorders>
              <w:bottom w:val="single" w:sz="2" w:space="0" w:color="auto"/>
            </w:tcBorders>
            <w:shd w:val="clear" w:color="auto" w:fill="auto"/>
          </w:tcPr>
          <w:p w:rsidR="0005328B" w:rsidRPr="00A51011" w:rsidRDefault="0005328B" w:rsidP="00A51011">
            <w:pPr>
              <w:pStyle w:val="TableDataColumnHeading"/>
            </w:pPr>
            <w:r w:rsidRPr="00A51011">
              <w:t xml:space="preserve">Australian </w:t>
            </w:r>
            <w:r w:rsidR="006B50EE" w:rsidRPr="00A51011">
              <w:t>c</w:t>
            </w:r>
            <w:r w:rsidRPr="00A51011">
              <w:t xml:space="preserve">ommitment </w:t>
            </w:r>
            <w:r w:rsidR="00D75BCB">
              <w:t>(</w:t>
            </w:r>
            <w:r w:rsidRPr="00A51011">
              <w:t>A$ million</w:t>
            </w:r>
            <w:r w:rsidR="00D75BCB">
              <w:t>)</w:t>
            </w:r>
          </w:p>
        </w:tc>
        <w:tc>
          <w:tcPr>
            <w:tcW w:w="1247" w:type="dxa"/>
            <w:tcBorders>
              <w:bottom w:val="single" w:sz="2" w:space="0" w:color="auto"/>
            </w:tcBorders>
            <w:shd w:val="clear" w:color="auto" w:fill="auto"/>
          </w:tcPr>
          <w:p w:rsidR="0005328B" w:rsidRPr="00A51011" w:rsidRDefault="0005328B" w:rsidP="00A51011">
            <w:pPr>
              <w:pStyle w:val="TableDataColumnHeading"/>
            </w:pPr>
            <w:r w:rsidRPr="00A51011">
              <w:t>% of bilateral program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05328B" w:rsidRPr="00A51011" w:rsidRDefault="0005328B" w:rsidP="00A51011">
            <w:pPr>
              <w:pStyle w:val="TableDataColumnHeading"/>
            </w:pPr>
            <w:r w:rsidRPr="00A51011">
              <w:t xml:space="preserve">Partner </w:t>
            </w:r>
            <w:r w:rsidR="00356D8A" w:rsidRPr="00A51011">
              <w:t>g</w:t>
            </w:r>
            <w:r w:rsidRPr="00A51011">
              <w:t xml:space="preserve">overnment </w:t>
            </w:r>
            <w:r w:rsidR="006B50EE" w:rsidRPr="00A51011">
              <w:t>c</w:t>
            </w:r>
            <w:r w:rsidRPr="00A51011">
              <w:t xml:space="preserve">ommitment </w:t>
            </w:r>
            <w:r w:rsidR="001C27CC" w:rsidRPr="00A51011">
              <w:t>(millions of vatu)</w:t>
            </w:r>
          </w:p>
        </w:tc>
        <w:tc>
          <w:tcPr>
            <w:tcW w:w="1247" w:type="dxa"/>
            <w:tcBorders>
              <w:bottom w:val="single" w:sz="2" w:space="0" w:color="auto"/>
            </w:tcBorders>
            <w:shd w:val="clear" w:color="auto" w:fill="auto"/>
          </w:tcPr>
          <w:p w:rsidR="0005328B" w:rsidRPr="00A51011" w:rsidRDefault="0005328B" w:rsidP="00A51011">
            <w:pPr>
              <w:pStyle w:val="TableDataColumnHeading"/>
            </w:pPr>
            <w:r w:rsidRPr="00A51011">
              <w:t>% of national budget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05328B" w:rsidRPr="00A51011" w:rsidRDefault="0005328B" w:rsidP="00A51011">
            <w:pPr>
              <w:pStyle w:val="TableDataColumnHeading"/>
            </w:pPr>
            <w:r w:rsidRPr="00A51011">
              <w:t>Other donor contributions (</w:t>
            </w:r>
            <w:r w:rsidR="0030533F" w:rsidRPr="00A51011">
              <w:t>millions of vatu</w:t>
            </w:r>
            <w:r w:rsidRPr="00A51011">
              <w:t>)</w:t>
            </w:r>
          </w:p>
        </w:tc>
      </w:tr>
      <w:tr w:rsidR="0005328B" w:rsidRPr="00ED2327" w:rsidTr="00ED2327"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5328B" w:rsidRPr="0005328B" w:rsidRDefault="00CC784D" w:rsidP="00ED2327">
            <w:pPr>
              <w:pStyle w:val="TableDataEntries"/>
              <w:jc w:val="left"/>
            </w:pPr>
            <w:r>
              <w:t>2009</w:t>
            </w:r>
            <w:r w:rsidR="006B50EE">
              <w:t>–</w:t>
            </w:r>
            <w:r>
              <w:t>10</w:t>
            </w:r>
          </w:p>
        </w:tc>
        <w:tc>
          <w:tcPr>
            <w:tcW w:w="119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5328B" w:rsidRPr="0005328B" w:rsidRDefault="001C27CC" w:rsidP="00A51011">
            <w:pPr>
              <w:pStyle w:val="TableDataEntries"/>
            </w:pPr>
            <w:r>
              <w:t>4.2</w:t>
            </w:r>
          </w:p>
        </w:tc>
        <w:tc>
          <w:tcPr>
            <w:tcW w:w="124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5328B" w:rsidRPr="0005328B" w:rsidRDefault="0005328B" w:rsidP="00A51011">
            <w:pPr>
              <w:pStyle w:val="TableDataEntries"/>
            </w:pPr>
            <w:r w:rsidRPr="0005328B">
              <w:t>9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5328B" w:rsidRDefault="0005328B" w:rsidP="00A51011">
            <w:pPr>
              <w:pStyle w:val="TableDataEntries"/>
            </w:pPr>
            <w:r w:rsidRPr="0005328B">
              <w:t>1</w:t>
            </w:r>
            <w:r w:rsidR="00BB6931">
              <w:t>,</w:t>
            </w:r>
            <w:r w:rsidR="001C27CC">
              <w:t>450</w:t>
            </w:r>
          </w:p>
          <w:p w:rsidR="0030533F" w:rsidRPr="0005328B" w:rsidRDefault="0030533F" w:rsidP="00A51011">
            <w:pPr>
              <w:pStyle w:val="TableDataEntries"/>
            </w:pPr>
            <w:r>
              <w:t>(2009)</w:t>
            </w:r>
          </w:p>
        </w:tc>
        <w:tc>
          <w:tcPr>
            <w:tcW w:w="124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5328B" w:rsidRPr="0005328B" w:rsidRDefault="0030533F" w:rsidP="00A51011">
            <w:pPr>
              <w:pStyle w:val="TableDataEntries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5328B" w:rsidRPr="00352C93" w:rsidRDefault="00CB122B" w:rsidP="00A51011">
            <w:pPr>
              <w:pStyle w:val="TableDataEntries"/>
            </w:pPr>
            <w:proofErr w:type="spellStart"/>
            <w:r w:rsidRPr="00352C93">
              <w:t>na</w:t>
            </w:r>
            <w:proofErr w:type="spellEnd"/>
          </w:p>
        </w:tc>
      </w:tr>
      <w:tr w:rsidR="00CC784D" w:rsidRPr="00ED2327" w:rsidTr="00ED2327"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C784D" w:rsidRPr="0005328B" w:rsidRDefault="00CC784D" w:rsidP="00ED2327">
            <w:pPr>
              <w:pStyle w:val="TableDataEntries"/>
              <w:jc w:val="left"/>
            </w:pPr>
            <w:r>
              <w:t>2010</w:t>
            </w:r>
            <w:r w:rsidR="006B50EE">
              <w:t>–</w:t>
            </w:r>
            <w:r>
              <w:t>11</w:t>
            </w:r>
          </w:p>
        </w:tc>
        <w:tc>
          <w:tcPr>
            <w:tcW w:w="119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C784D" w:rsidRPr="0005328B" w:rsidRDefault="001C27CC" w:rsidP="00A51011">
            <w:pPr>
              <w:pStyle w:val="TableDataEntries"/>
            </w:pPr>
            <w:r>
              <w:t>3.6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C784D" w:rsidRPr="0005328B" w:rsidRDefault="00CC784D" w:rsidP="00A51011">
            <w:pPr>
              <w:pStyle w:val="TableDataEntries"/>
            </w:pPr>
            <w:r>
              <w:t>7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C784D" w:rsidRDefault="0030533F" w:rsidP="00A51011">
            <w:pPr>
              <w:pStyle w:val="TableDataEntries"/>
            </w:pPr>
            <w:r>
              <w:t>1</w:t>
            </w:r>
            <w:r w:rsidR="00BB6931">
              <w:t>,</w:t>
            </w:r>
            <w:r>
              <w:t>736</w:t>
            </w:r>
          </w:p>
          <w:p w:rsidR="0030533F" w:rsidRPr="0005328B" w:rsidRDefault="0030533F" w:rsidP="00A51011">
            <w:pPr>
              <w:pStyle w:val="TableDataEntries"/>
            </w:pPr>
            <w:r>
              <w:t>(2010)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C784D" w:rsidRPr="0005328B" w:rsidRDefault="0030533F" w:rsidP="00A51011">
            <w:pPr>
              <w:pStyle w:val="TableDataEntries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C784D" w:rsidRPr="00352C93" w:rsidRDefault="0030533F" w:rsidP="00A51011">
            <w:pPr>
              <w:pStyle w:val="TableDataEntries"/>
            </w:pPr>
            <w:r w:rsidRPr="00352C93">
              <w:t>240</w:t>
            </w:r>
          </w:p>
        </w:tc>
      </w:tr>
    </w:tbl>
    <w:p w:rsidR="004F796F" w:rsidRDefault="004F796F" w:rsidP="0005328B">
      <w:pPr>
        <w:pStyle w:val="BodyText"/>
        <w:rPr>
          <w:lang w:eastAsia="en-US"/>
        </w:rPr>
      </w:pPr>
    </w:p>
    <w:p w:rsidR="00CC784D" w:rsidRDefault="004F796F" w:rsidP="004316EE">
      <w:pPr>
        <w:pStyle w:val="Heading2"/>
        <w:numPr>
          <w:ilvl w:val="0"/>
          <w:numId w:val="0"/>
        </w:numPr>
        <w:spacing w:before="240"/>
      </w:pPr>
      <w:r>
        <w:rPr>
          <w:lang w:eastAsia="en-US"/>
        </w:rPr>
        <w:br w:type="page"/>
      </w:r>
      <w:bookmarkStart w:id="12" w:name="_Toc360711486"/>
      <w:r w:rsidR="00CC784D">
        <w:lastRenderedPageBreak/>
        <w:t>Priority Outcome 3: Infrastructure</w:t>
      </w:r>
      <w:bookmarkEnd w:id="12"/>
    </w:p>
    <w:p w:rsidR="00CC784D" w:rsidRPr="004316EE" w:rsidRDefault="00CC784D" w:rsidP="00CC784D">
      <w:pPr>
        <w:pStyle w:val="Heading3"/>
        <w:spacing w:before="120"/>
      </w:pPr>
      <w:bookmarkStart w:id="13" w:name="_Toc360711487"/>
      <w:r w:rsidRPr="004316EE">
        <w:t>Rating</w:t>
      </w:r>
      <w:bookmarkEnd w:id="13"/>
    </w:p>
    <w:p w:rsidR="00CC784D" w:rsidRPr="00CC784D" w:rsidRDefault="00473CE5" w:rsidP="004316EE">
      <w:pPr>
        <w:pStyle w:val="BodyText"/>
        <w:spacing w:after="120"/>
      </w:pPr>
      <w:r>
        <w:rPr>
          <w:noProof/>
          <w:color w:val="99CC00"/>
          <w:lang w:val="en-US" w:eastAsia="en-US"/>
        </w:rPr>
        <mc:AlternateContent>
          <mc:Choice Requires="wps">
            <w:drawing>
              <wp:inline distT="0" distB="0" distL="0" distR="0">
                <wp:extent cx="123190" cy="118110"/>
                <wp:effectExtent l="0" t="0" r="0" b="0"/>
                <wp:docPr id="11" name="Rectangle 11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181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Green" style="width:9.7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CdiAIAAAoFAAAOAAAAZHJzL2Uyb0RvYy54bWysVFFv0zAQfkfiP1h+7xKHdGuipdO20glp&#10;wMTgB7i201g4trHdphviv3N22tLBC0L0IfXZd+fvu+/Ol1e7XqGtcF4a3WBylmMkNDNc6nWDv3xe&#10;TmYY+UA1p8po0eAn4fHV/PWry8HWojCdUVw4BEm0rwfb4C4EW2eZZ53oqT8zVmg4bI3raQDTrTPu&#10;6ADZe5UVeX6eDcZx6wwT3sPuYjzE85S/bQULH9vWi4BUgwFbSF+Xvqv4zeaXtF47ajvJ9jDoP6Do&#10;qdRw6THVggaKNk7+kaqXzBlv2nDGTJ+ZtpVMJA7AhuS/sXnsqBWJCxTH22OZ/P9Lyz5sHxySHLQj&#10;GGnag0afoGpUr5VAcY8Lz6Bgd04IHcs1WF9D1KN9cJGwt/eGffVIm9sOgsS1c2boBOUAkkT/7EVA&#10;NDyEotXw3nC4jG6CSZXbta6PCaEmaJcEejoKJHYBMdgkxRtSgYwMjgiZEZIEzGh9CLbOhzthehQX&#10;DXbAJCWn23sfIhhaH1wSeKMkX0qlkuHWq1vl0JZCr1TFIp8esvtTN6WjszYxbMw47gBGuCOeRbRJ&#10;++8VKcr8pqgmy/PZxaRcltNJdZHPJjmpbqrzvKzKxfJHBEjKupOcC30vtTj0ISn/Tuf9RIwdlDoR&#10;DcBgWkwT9xfo/SnJPP2SSCDkKcleBhhLJfsGz45OtI66vtUcaNM6UKnGdfYSfqoy1ODwn6qSuiAK&#10;PzbQyvAnaAJnQCTQEx4QWHTGPWM0wDA22H/bUCcwUu80NFJFyjJObzLK6UUBhjs9WZ2eUM0gVYMD&#10;RuPyNowTv7FOrju4iaTCaHMNzdfK1BixMUdU+5aFgUsM9o9DnOhTO3n9esLmPwEAAP//AwBQSwME&#10;FAAGAAgAAAAhAEzSgE3YAAAAAwEAAA8AAABkcnMvZG93bnJldi54bWxMj81OwzAQhO9IvIO1SNyo&#10;U1SVEuJUVVG5tynluo23SVR7HcXOD2+PywUuO1rNaubbbD1ZIwbqfONYwXyWgCAunW64UnAsdk8r&#10;ED4gazSOScE3eVjn93cZptqNvKfhECoRQ9inqKAOoU2l9GVNFv3MtcTRu7jOYohrV0nd4RjDrZHP&#10;SbKUFhuODTW2tK2pvB56q+C0022x35r+tHn5GC+f5fti+CqUenyYNm8gAk3h7xhu+BEd8sh0dj1r&#10;L4yC+Ej4nTfvdQHiHHW1BJln8j97/gMAAP//AwBQSwECLQAUAAYACAAAACEAtoM4kv4AAADhAQAA&#10;EwAAAAAAAAAAAAAAAAAAAAAAW0NvbnRlbnRfVHlwZXNdLnhtbFBLAQItABQABgAIAAAAIQA4/SH/&#10;1gAAAJQBAAALAAAAAAAAAAAAAAAAAC8BAABfcmVscy8ucmVsc1BLAQItABQABgAIAAAAIQAKlHCd&#10;iAIAAAoFAAAOAAAAAAAAAAAAAAAAAC4CAABkcnMvZTJvRG9jLnhtbFBLAQItABQABgAIAAAAIQBM&#10;0oBN2AAAAAMBAAAPAAAAAAAAAAAAAAAAAOIEAABkcnMvZG93bnJldi54bWxQSwUGAAAAAAQABADz&#10;AAAA5wUAAAAA&#10;" fillcolor="#92d050" stroked="f">
                <w10:anchorlock/>
              </v:rect>
            </w:pict>
          </mc:Fallback>
        </mc:AlternateContent>
      </w:r>
      <w:r w:rsidR="00CC784D" w:rsidRPr="00CC784D">
        <w:rPr>
          <w:rFonts w:eastAsia="Arial Unicode MS" w:hAnsi="Arial Unicode MS"/>
        </w:rPr>
        <w:t> </w:t>
      </w:r>
      <w:r w:rsidR="00CC784D" w:rsidRPr="00CC784D">
        <w:t>The objective will be fully achieved within the timeframe of the strategy.</w:t>
      </w:r>
    </w:p>
    <w:tbl>
      <w:tblPr>
        <w:tblW w:w="7938" w:type="dxa"/>
        <w:tblInd w:w="57" w:type="dxa"/>
        <w:tblBorders>
          <w:top w:val="single" w:sz="12" w:space="0" w:color="auto"/>
          <w:bottom w:val="single" w:sz="12" w:space="0" w:color="auto"/>
        </w:tblBorders>
        <w:shd w:val="clear" w:color="auto" w:fill="F5F1CC"/>
        <w:tblLook w:val="01E0" w:firstRow="1" w:lastRow="1" w:firstColumn="1" w:lastColumn="1" w:noHBand="0" w:noVBand="0"/>
      </w:tblPr>
      <w:tblGrid>
        <w:gridCol w:w="7938"/>
      </w:tblGrid>
      <w:tr w:rsidR="00CC784D" w:rsidRPr="00CC784D" w:rsidTr="006F590C">
        <w:tc>
          <w:tcPr>
            <w:tcW w:w="7938" w:type="dxa"/>
            <w:shd w:val="clear" w:color="auto" w:fill="F5F1CC"/>
          </w:tcPr>
          <w:p w:rsidR="006B50EE" w:rsidRDefault="00CC784D" w:rsidP="00AD5CC1">
            <w:pPr>
              <w:pStyle w:val="H4A"/>
            </w:pPr>
            <w:r w:rsidRPr="00CC784D">
              <w:t xml:space="preserve">Joint </w:t>
            </w:r>
            <w:r w:rsidR="00551157">
              <w:t>c</w:t>
            </w:r>
            <w:r w:rsidRPr="00CC784D">
              <w:t>ommitments</w:t>
            </w:r>
          </w:p>
          <w:p w:rsidR="00CC784D" w:rsidRPr="00CC784D" w:rsidRDefault="00CC784D" w:rsidP="00EE4AFE">
            <w:pPr>
              <w:pStyle w:val="BoxText"/>
            </w:pPr>
            <w:r w:rsidRPr="00CC784D">
              <w:t xml:space="preserve">The </w:t>
            </w:r>
            <w:r w:rsidR="00551157">
              <w:t>p</w:t>
            </w:r>
            <w:r w:rsidRPr="00CC784D">
              <w:t xml:space="preserve">artnership will develop essential infrastructure to support economic growth and service delivery, through: </w:t>
            </w:r>
          </w:p>
          <w:p w:rsidR="00CC784D" w:rsidRPr="009E6EBE" w:rsidRDefault="00551157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CC784D" w:rsidRPr="009E6EBE">
              <w:rPr>
                <w:lang w:val="en-US"/>
              </w:rPr>
              <w:t>ehabilitation and improved maintenance of high priority rural roads drawing on the private sector and local communities as key providers of road maintenance services</w:t>
            </w:r>
          </w:p>
          <w:p w:rsidR="00CC784D" w:rsidRPr="009E6EBE" w:rsidRDefault="00551157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CC784D" w:rsidRPr="009E6EBE">
              <w:rPr>
                <w:lang w:val="en-US"/>
              </w:rPr>
              <w:t>xpanded access, and reduced costs of telecommunications and power services through greater competition and strengthened regulation</w:t>
            </w:r>
          </w:p>
          <w:p w:rsidR="00CC784D" w:rsidRPr="009E6EBE" w:rsidRDefault="00551157" w:rsidP="00EE4AFE">
            <w:pPr>
              <w:pStyle w:val="BoxListBullet"/>
              <w:rPr>
                <w:lang w:val="en-US"/>
              </w:rPr>
            </w:pPr>
            <w:proofErr w:type="gramStart"/>
            <w:r>
              <w:rPr>
                <w:lang w:val="en-US"/>
              </w:rPr>
              <w:t>p</w:t>
            </w:r>
            <w:r w:rsidR="00CC784D" w:rsidRPr="009E6EBE">
              <w:rPr>
                <w:lang w:val="en-US"/>
              </w:rPr>
              <w:t>rogress</w:t>
            </w:r>
            <w:proofErr w:type="gramEnd"/>
            <w:r w:rsidR="00CC784D" w:rsidRPr="009E6EBE">
              <w:rPr>
                <w:lang w:val="en-US"/>
              </w:rPr>
              <w:t xml:space="preserve"> on reforms to improve maritime and aviation transport, including operational improvements to key wharf facilities and Air Vanuatu.</w:t>
            </w:r>
          </w:p>
          <w:p w:rsidR="00CC784D" w:rsidRPr="00CC784D" w:rsidRDefault="00CC784D" w:rsidP="00AD5CC1">
            <w:pPr>
              <w:pStyle w:val="H4A"/>
            </w:pPr>
            <w:r w:rsidRPr="00CC784D">
              <w:t xml:space="preserve">Target </w:t>
            </w:r>
            <w:r w:rsidR="00551157">
              <w:t>r</w:t>
            </w:r>
            <w:r w:rsidRPr="00CC784D">
              <w:t>esults</w:t>
            </w:r>
          </w:p>
          <w:p w:rsidR="00CC784D" w:rsidRPr="009E6EBE" w:rsidRDefault="00551157" w:rsidP="004316EE">
            <w:pPr>
              <w:pStyle w:val="BoxListBullet"/>
              <w:spacing w:before="60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CC784D" w:rsidRPr="009E6EBE">
              <w:rPr>
                <w:lang w:val="en-US"/>
              </w:rPr>
              <w:t xml:space="preserve">ational roads better maintained and in good condition, including rehabilitation of national roads in </w:t>
            </w:r>
            <w:proofErr w:type="spellStart"/>
            <w:r w:rsidR="00CC784D" w:rsidRPr="009E6EBE">
              <w:rPr>
                <w:lang w:val="en-US"/>
              </w:rPr>
              <w:t>Tanna</w:t>
            </w:r>
            <w:proofErr w:type="spellEnd"/>
            <w:r w:rsidR="00CC784D" w:rsidRPr="009E6EBE">
              <w:rPr>
                <w:lang w:val="en-US"/>
              </w:rPr>
              <w:t xml:space="preserve">, </w:t>
            </w:r>
            <w:proofErr w:type="spellStart"/>
            <w:r w:rsidR="00CC784D" w:rsidRPr="009E6EBE">
              <w:rPr>
                <w:lang w:val="en-US"/>
              </w:rPr>
              <w:t>Malekula</w:t>
            </w:r>
            <w:proofErr w:type="spellEnd"/>
            <w:r w:rsidR="00CC784D" w:rsidRPr="009E6EBE">
              <w:rPr>
                <w:lang w:val="en-US"/>
              </w:rPr>
              <w:t xml:space="preserve"> and </w:t>
            </w:r>
            <w:proofErr w:type="spellStart"/>
            <w:r w:rsidR="00CC784D" w:rsidRPr="009E6EBE">
              <w:rPr>
                <w:lang w:val="en-US"/>
              </w:rPr>
              <w:t>Ambae</w:t>
            </w:r>
            <w:proofErr w:type="spellEnd"/>
            <w:r w:rsidR="00CC784D" w:rsidRPr="009E6EBE">
              <w:rPr>
                <w:lang w:val="en-US"/>
              </w:rPr>
              <w:t xml:space="preserve"> by 2012</w:t>
            </w:r>
          </w:p>
          <w:p w:rsidR="00CC784D" w:rsidRPr="009E6EBE" w:rsidRDefault="00551157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CC784D" w:rsidRPr="009E6EBE">
              <w:rPr>
                <w:lang w:val="en-US"/>
              </w:rPr>
              <w:t xml:space="preserve">xpanded local employment and private sector development through road maintenance activities  </w:t>
            </w:r>
          </w:p>
          <w:p w:rsidR="00CC784D" w:rsidRPr="009E6EBE" w:rsidRDefault="00551157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CC784D" w:rsidRPr="009E6EBE">
              <w:rPr>
                <w:lang w:val="en-US"/>
              </w:rPr>
              <w:t>urther improvements in telecommunications and power services:</w:t>
            </w:r>
          </w:p>
          <w:p w:rsidR="00CC784D" w:rsidRPr="00CC784D" w:rsidRDefault="00CC784D" w:rsidP="00EE4AFE">
            <w:pPr>
              <w:pStyle w:val="BoxListBullet2"/>
            </w:pPr>
            <w:r w:rsidRPr="00CC784D">
              <w:t>90</w:t>
            </w:r>
            <w:r w:rsidR="008B67DF">
              <w:t xml:space="preserve">% </w:t>
            </w:r>
            <w:r w:rsidRPr="00CC784D">
              <w:t>mobile phone population coverage by 2015</w:t>
            </w:r>
          </w:p>
          <w:p w:rsidR="00CC784D" w:rsidRPr="00CC784D" w:rsidRDefault="00CC784D" w:rsidP="00EE4AFE">
            <w:pPr>
              <w:pStyle w:val="BoxListBullet2"/>
            </w:pPr>
            <w:r w:rsidRPr="00CC784D">
              <w:t xml:space="preserve">expanded coverage and reduced cost of </w:t>
            </w:r>
            <w:r w:rsidR="00551157">
              <w:t>I</w:t>
            </w:r>
            <w:r w:rsidRPr="00CC784D">
              <w:t>nternet services</w:t>
            </w:r>
          </w:p>
          <w:p w:rsidR="00CC784D" w:rsidRPr="00CC784D" w:rsidRDefault="00CC784D" w:rsidP="00EE4AFE">
            <w:pPr>
              <w:pStyle w:val="BoxListBullet2"/>
            </w:pPr>
            <w:r w:rsidRPr="00CC784D">
              <w:t>improved score on World Bank Institute Regulatory Quality indicator</w:t>
            </w:r>
          </w:p>
          <w:p w:rsidR="00CC784D" w:rsidRPr="00CC784D" w:rsidRDefault="00CC784D" w:rsidP="00EE4AFE">
            <w:pPr>
              <w:pStyle w:val="BoxListBullet2"/>
            </w:pPr>
            <w:r w:rsidRPr="00CC784D">
              <w:t>25</w:t>
            </w:r>
            <w:r w:rsidR="00FB714A">
              <w:t>%</w:t>
            </w:r>
            <w:r w:rsidRPr="00CC784D">
              <w:t xml:space="preserve"> expansion in access to electricity in rural areas by 2015.</w:t>
            </w:r>
          </w:p>
        </w:tc>
      </w:tr>
    </w:tbl>
    <w:p w:rsidR="00CC784D" w:rsidRPr="00CC784D" w:rsidRDefault="00CC784D" w:rsidP="004316EE">
      <w:pPr>
        <w:pStyle w:val="BodyText"/>
      </w:pPr>
      <w:r w:rsidRPr="00CC784D">
        <w:t xml:space="preserve">Infrastructure </w:t>
      </w:r>
      <w:r w:rsidR="00442000">
        <w:t>is delivered</w:t>
      </w:r>
      <w:r w:rsidRPr="00CC784D">
        <w:t xml:space="preserve"> through the </w:t>
      </w:r>
      <w:r w:rsidR="00DA264A">
        <w:t xml:space="preserve">AusAID-funded </w:t>
      </w:r>
      <w:r w:rsidRPr="00CC784D">
        <w:t>Governance for Growth</w:t>
      </w:r>
      <w:r w:rsidR="00001336">
        <w:t xml:space="preserve"> </w:t>
      </w:r>
      <w:r w:rsidRPr="00CC784D">
        <w:t>program with the Ministry of Infrastructure and Public Utilities as</w:t>
      </w:r>
      <w:r w:rsidR="00356D8A">
        <w:t xml:space="preserve"> the</w:t>
      </w:r>
      <w:r w:rsidRPr="00CC784D">
        <w:t xml:space="preserve"> lead agency</w:t>
      </w:r>
      <w:r w:rsidR="00EE07F3">
        <w:t xml:space="preserve">. </w:t>
      </w:r>
    </w:p>
    <w:p w:rsidR="00CC784D" w:rsidRPr="004316EE" w:rsidRDefault="00CC784D" w:rsidP="004316EE">
      <w:pPr>
        <w:pStyle w:val="Heading3"/>
      </w:pPr>
      <w:bookmarkStart w:id="14" w:name="_Toc360711488"/>
      <w:r w:rsidRPr="004316EE">
        <w:t xml:space="preserve">Assessment of </w:t>
      </w:r>
      <w:r w:rsidR="00F84FA2" w:rsidRPr="004316EE">
        <w:t xml:space="preserve">results </w:t>
      </w:r>
      <w:r w:rsidRPr="004316EE">
        <w:t xml:space="preserve">and </w:t>
      </w:r>
      <w:r w:rsidR="00F84FA2" w:rsidRPr="004316EE">
        <w:t>p</w:t>
      </w:r>
      <w:r w:rsidRPr="004316EE">
        <w:t>erformance</w:t>
      </w:r>
      <w:bookmarkEnd w:id="14"/>
    </w:p>
    <w:p w:rsidR="00CC784D" w:rsidRPr="00DA264A" w:rsidRDefault="00CC784D" w:rsidP="004316EE">
      <w:pPr>
        <w:pStyle w:val="BodyText"/>
      </w:pPr>
      <w:r w:rsidRPr="00DA264A">
        <w:t>Good early progress has been achieved</w:t>
      </w:r>
      <w:r w:rsidRPr="00CC784D">
        <w:t xml:space="preserve"> on Phase 1 of the </w:t>
      </w:r>
      <w:r w:rsidRPr="00DA264A">
        <w:t xml:space="preserve">Vanuatu Transport Sector Support Program (VTSSP) to improve </w:t>
      </w:r>
      <w:r w:rsidRPr="00DA264A">
        <w:rPr>
          <w:b/>
        </w:rPr>
        <w:t>road infrastructure</w:t>
      </w:r>
      <w:r w:rsidRPr="00DA264A">
        <w:t xml:space="preserve"> on the islands of </w:t>
      </w:r>
      <w:proofErr w:type="spellStart"/>
      <w:r w:rsidRPr="00DA264A">
        <w:t>Ambae</w:t>
      </w:r>
      <w:proofErr w:type="spellEnd"/>
      <w:r w:rsidRPr="00DA264A">
        <w:t xml:space="preserve">, </w:t>
      </w:r>
      <w:proofErr w:type="spellStart"/>
      <w:r w:rsidRPr="00DA264A">
        <w:t>Malekula</w:t>
      </w:r>
      <w:proofErr w:type="spellEnd"/>
      <w:r w:rsidRPr="00DA264A">
        <w:t xml:space="preserve"> and </w:t>
      </w:r>
      <w:proofErr w:type="spellStart"/>
      <w:r w:rsidRPr="00DA264A">
        <w:t>Tanna</w:t>
      </w:r>
      <w:proofErr w:type="spellEnd"/>
      <w:r w:rsidR="00EE07F3" w:rsidRPr="00DA264A">
        <w:t xml:space="preserve">. </w:t>
      </w:r>
      <w:r w:rsidRPr="00DA264A">
        <w:t>VTSSP</w:t>
      </w:r>
      <w:r w:rsidR="00DA264A" w:rsidRPr="00DA264A">
        <w:t>, which</w:t>
      </w:r>
      <w:r w:rsidRPr="00DA264A">
        <w:t xml:space="preserve"> commenced in January 2010</w:t>
      </w:r>
      <w:r w:rsidR="00DA264A" w:rsidRPr="00DA264A">
        <w:t>, supported</w:t>
      </w:r>
      <w:r w:rsidRPr="00DA264A">
        <w:t xml:space="preserve"> the Public Works Department to complete road condition surveys and engineering designs</w:t>
      </w:r>
      <w:r w:rsidR="00EE07F3" w:rsidRPr="00DA264A">
        <w:t xml:space="preserve">. </w:t>
      </w:r>
    </w:p>
    <w:p w:rsidR="00CC784D" w:rsidRPr="009E6EBE" w:rsidRDefault="00CC784D" w:rsidP="004316EE">
      <w:pPr>
        <w:pStyle w:val="BodyText"/>
      </w:pPr>
      <w:r w:rsidRPr="009E6EBE">
        <w:t>Training for island</w:t>
      </w:r>
      <w:r w:rsidR="00F84FA2" w:rsidRPr="009E6EBE">
        <w:t>-</w:t>
      </w:r>
      <w:r w:rsidRPr="009E6EBE">
        <w:t>based contractors has started</w:t>
      </w:r>
      <w:r w:rsidR="00EE07F3" w:rsidRPr="009E6EBE">
        <w:t xml:space="preserve">. </w:t>
      </w:r>
      <w:r w:rsidRPr="009E6EBE">
        <w:t xml:space="preserve">Demonstration road sites on </w:t>
      </w:r>
      <w:proofErr w:type="spellStart"/>
      <w:r w:rsidRPr="009E6EBE">
        <w:t>Malekula</w:t>
      </w:r>
      <w:proofErr w:type="spellEnd"/>
      <w:r w:rsidRPr="009E6EBE">
        <w:t xml:space="preserve"> and </w:t>
      </w:r>
      <w:proofErr w:type="spellStart"/>
      <w:r w:rsidRPr="009E6EBE">
        <w:t>Tanna</w:t>
      </w:r>
      <w:proofErr w:type="spellEnd"/>
      <w:r w:rsidRPr="009E6EBE">
        <w:t xml:space="preserve"> are underway to raise awareness among potential contractors and the general public of the opportunities provided by VTSSP</w:t>
      </w:r>
      <w:r w:rsidR="00EE07F3" w:rsidRPr="009E6EBE">
        <w:t xml:space="preserve">. </w:t>
      </w:r>
      <w:r w:rsidRPr="009E6EBE">
        <w:t xml:space="preserve">The private sector has responded enthusiastically, with </w:t>
      </w:r>
      <w:r w:rsidR="00511D54" w:rsidRPr="009E6EBE">
        <w:t xml:space="preserve">more than </w:t>
      </w:r>
      <w:r w:rsidRPr="009E6EBE">
        <w:t>500</w:t>
      </w:r>
      <w:r w:rsidR="00356D8A">
        <w:t> </w:t>
      </w:r>
      <w:r w:rsidRPr="009E6EBE">
        <w:t>applications for participation in the program as contractors</w:t>
      </w:r>
      <w:r w:rsidR="00EE07F3" w:rsidRPr="009E6EBE">
        <w:t xml:space="preserve">. </w:t>
      </w:r>
      <w:r w:rsidR="00511D54" w:rsidRPr="009E6EBE">
        <w:t>More than 50</w:t>
      </w:r>
      <w:r w:rsidR="00356D8A">
        <w:t> </w:t>
      </w:r>
      <w:r w:rsidRPr="009E6EBE">
        <w:t>individual contracting opportunities have been identified for the private sector</w:t>
      </w:r>
      <w:r w:rsidR="00511D54" w:rsidRPr="009E6EBE">
        <w:t>,</w:t>
      </w:r>
      <w:r w:rsidRPr="009E6EBE">
        <w:t xml:space="preserve"> including community groups, which will provide a much-needed cash injection to rural areas.</w:t>
      </w:r>
    </w:p>
    <w:p w:rsidR="00CC784D" w:rsidRPr="00CC784D" w:rsidRDefault="00CC784D" w:rsidP="004316EE">
      <w:pPr>
        <w:pStyle w:val="BodyText"/>
      </w:pPr>
      <w:r w:rsidRPr="00CC784D">
        <w:t xml:space="preserve">Vanuatu’s policy to increase competition has continued to deliver substantial price reductions and further increases in access to </w:t>
      </w:r>
      <w:r w:rsidRPr="009E6EBE">
        <w:rPr>
          <w:b/>
        </w:rPr>
        <w:t>telecommunications</w:t>
      </w:r>
      <w:r w:rsidRPr="009E6EBE">
        <w:t>,</w:t>
      </w:r>
      <w:r w:rsidRPr="00CC784D">
        <w:t xml:space="preserve"> with mobile coverage reaching 85</w:t>
      </w:r>
      <w:r w:rsidR="00FB714A">
        <w:t>%</w:t>
      </w:r>
      <w:r w:rsidR="00356D8A">
        <w:t> </w:t>
      </w:r>
      <w:r w:rsidRPr="00CC784D">
        <w:t>of the population (from 20</w:t>
      </w:r>
      <w:r w:rsidR="00FB714A">
        <w:t>%</w:t>
      </w:r>
      <w:r w:rsidRPr="00CC784D">
        <w:t xml:space="preserve"> in 2007)</w:t>
      </w:r>
      <w:r w:rsidR="00EE07F3">
        <w:t xml:space="preserve">. </w:t>
      </w:r>
      <w:r w:rsidRPr="00CC784D">
        <w:t>The AusAID</w:t>
      </w:r>
      <w:r w:rsidR="00511D54">
        <w:t>-</w:t>
      </w:r>
      <w:r w:rsidRPr="00CC784D">
        <w:t>funded Telecom Regulator has played a critical role in ensuring that access targets are met and that operators comply with their license requirements</w:t>
      </w:r>
      <w:r w:rsidR="00EE07F3">
        <w:t xml:space="preserve">. </w:t>
      </w:r>
    </w:p>
    <w:p w:rsidR="00CC784D" w:rsidRPr="009E6EBE" w:rsidRDefault="00CC784D" w:rsidP="004316EE">
      <w:pPr>
        <w:pStyle w:val="BodyText"/>
      </w:pPr>
      <w:r w:rsidRPr="00CC784D">
        <w:t>A new</w:t>
      </w:r>
      <w:r w:rsidRPr="009E6EBE">
        <w:t xml:space="preserve"> </w:t>
      </w:r>
      <w:r w:rsidRPr="00551157">
        <w:rPr>
          <w:i/>
        </w:rPr>
        <w:t xml:space="preserve">Telecommunications </w:t>
      </w:r>
      <w:r w:rsidR="007F0DD6" w:rsidRPr="00551157">
        <w:rPr>
          <w:i/>
        </w:rPr>
        <w:t xml:space="preserve">and </w:t>
      </w:r>
      <w:proofErr w:type="spellStart"/>
      <w:r w:rsidR="007F0DD6" w:rsidRPr="00551157">
        <w:rPr>
          <w:i/>
        </w:rPr>
        <w:t>Radiocommunications</w:t>
      </w:r>
      <w:proofErr w:type="spellEnd"/>
      <w:r w:rsidR="007F0DD6" w:rsidRPr="00551157">
        <w:rPr>
          <w:i/>
        </w:rPr>
        <w:t xml:space="preserve"> Regulation </w:t>
      </w:r>
      <w:r w:rsidRPr="00551157">
        <w:rPr>
          <w:i/>
        </w:rPr>
        <w:t>Act</w:t>
      </w:r>
      <w:r w:rsidRPr="00551157">
        <w:t xml:space="preserve"> was passe</w:t>
      </w:r>
      <w:r w:rsidRPr="009E6EBE">
        <w:t xml:space="preserve">d in </w:t>
      </w:r>
      <w:r w:rsidR="00356D8A">
        <w:t>November </w:t>
      </w:r>
      <w:r w:rsidRPr="009E6EBE">
        <w:t>2009, ensuring that the regulatory regime has strong legislative backing</w:t>
      </w:r>
      <w:r w:rsidR="00EE07F3" w:rsidRPr="009E6EBE">
        <w:t xml:space="preserve">. </w:t>
      </w:r>
      <w:r w:rsidR="00551157">
        <w:br/>
      </w:r>
      <w:r w:rsidRPr="009E6EBE">
        <w:t>AusAID has provided $4.1</w:t>
      </w:r>
      <w:r w:rsidR="00FB714A" w:rsidRPr="009E6EBE">
        <w:t> </w:t>
      </w:r>
      <w:r w:rsidRPr="009E6EBE">
        <w:t>million to finance a long-term World</w:t>
      </w:r>
      <w:r w:rsidR="00511D54" w:rsidRPr="009E6EBE">
        <w:t> </w:t>
      </w:r>
      <w:r w:rsidRPr="009E6EBE">
        <w:t xml:space="preserve">Bank program of capacity </w:t>
      </w:r>
      <w:r w:rsidRPr="009E6EBE">
        <w:lastRenderedPageBreak/>
        <w:t xml:space="preserve">support for the Telecom Regulator and the </w:t>
      </w:r>
      <w:r w:rsidR="00F84FA2" w:rsidRPr="00CC784D">
        <w:t>Ministry of Infrastructure and Public Utilities</w:t>
      </w:r>
      <w:r w:rsidR="00F84FA2" w:rsidRPr="009E6EBE">
        <w:t xml:space="preserve">. </w:t>
      </w:r>
      <w:r w:rsidRPr="00CC784D">
        <w:t xml:space="preserve">Internet </w:t>
      </w:r>
      <w:r w:rsidR="001606F2">
        <w:t>services are also set to expand</w:t>
      </w:r>
      <w:r w:rsidRPr="00CC784D">
        <w:t xml:space="preserve"> with six new licenses issued and a new low</w:t>
      </w:r>
      <w:r w:rsidR="00511D54">
        <w:t>-</w:t>
      </w:r>
      <w:r w:rsidRPr="00CC784D">
        <w:t>cost mobile broadband service in Port</w:t>
      </w:r>
      <w:r w:rsidR="00356D8A">
        <w:t> </w:t>
      </w:r>
      <w:r w:rsidRPr="00CC784D">
        <w:t>Vila</w:t>
      </w:r>
      <w:r w:rsidR="00EE07F3">
        <w:t xml:space="preserve">. </w:t>
      </w:r>
      <w:r w:rsidRPr="00CC784D">
        <w:t>A 2009</w:t>
      </w:r>
      <w:r w:rsidR="00356D8A">
        <w:t> </w:t>
      </w:r>
      <w:r w:rsidRPr="00CC784D">
        <w:t xml:space="preserve">study found that </w:t>
      </w:r>
      <w:r w:rsidRPr="009E6EBE">
        <w:t>access and use of telecommunications is helping Vanuatu households to expand economic opportunities</w:t>
      </w:r>
      <w:r w:rsidR="00551157">
        <w:t xml:space="preserve"> and</w:t>
      </w:r>
      <w:r w:rsidRPr="009E6EBE">
        <w:t xml:space="preserve"> reduce household costs</w:t>
      </w:r>
      <w:r w:rsidR="00551157">
        <w:t>. It</w:t>
      </w:r>
      <w:r w:rsidRPr="009E6EBE">
        <w:t xml:space="preserve"> has</w:t>
      </w:r>
      <w:r w:rsidR="00551157">
        <w:t xml:space="preserve"> also</w:t>
      </w:r>
      <w:r w:rsidRPr="009E6EBE">
        <w:t xml:space="preserve"> contributed an estimated </w:t>
      </w:r>
      <w:r w:rsidR="001606F2">
        <w:t>1</w:t>
      </w:r>
      <w:r w:rsidR="00FB714A">
        <w:t>%</w:t>
      </w:r>
      <w:r w:rsidR="00BB6931">
        <w:t> </w:t>
      </w:r>
      <w:r w:rsidRPr="00CC784D">
        <w:t xml:space="preserve">to </w:t>
      </w:r>
      <w:r w:rsidR="00BB6931">
        <w:t xml:space="preserve">gross domestic product </w:t>
      </w:r>
      <w:r w:rsidRPr="00CC784D">
        <w:t>growth.</w:t>
      </w:r>
    </w:p>
    <w:p w:rsidR="00CC784D" w:rsidRPr="00CC784D" w:rsidRDefault="00CC784D" w:rsidP="004316EE">
      <w:pPr>
        <w:pStyle w:val="BodyText"/>
      </w:pPr>
      <w:r w:rsidRPr="00CC784D">
        <w:t xml:space="preserve">Australia and Vanuatu are co-funding the Utilities Regulatory Authority to ensure that </w:t>
      </w:r>
      <w:r w:rsidR="00F84FA2">
        <w:br/>
      </w:r>
      <w:r w:rsidRPr="007F0DD6">
        <w:rPr>
          <w:b/>
        </w:rPr>
        <w:t>power and water services</w:t>
      </w:r>
      <w:r w:rsidRPr="00CC784D">
        <w:t xml:space="preserve"> are affordable and accessible</w:t>
      </w:r>
      <w:r w:rsidR="00EE07F3">
        <w:t xml:space="preserve">. </w:t>
      </w:r>
      <w:r w:rsidRPr="00CC784D">
        <w:t xml:space="preserve">The </w:t>
      </w:r>
      <w:r w:rsidR="00F84FA2">
        <w:t>authority’s</w:t>
      </w:r>
      <w:r w:rsidR="00F84FA2" w:rsidRPr="00CC784D">
        <w:t xml:space="preserve"> </w:t>
      </w:r>
      <w:r w:rsidRPr="00CC784D">
        <w:t>core costs are funded by Vanuatu</w:t>
      </w:r>
      <w:r w:rsidR="00F84FA2">
        <w:t xml:space="preserve"> and</w:t>
      </w:r>
      <w:r w:rsidRPr="00CC784D">
        <w:t xml:space="preserve"> supplemented by a World Bank Trust Fund financed by AusAID</w:t>
      </w:r>
      <w:r w:rsidR="00EE07F3">
        <w:t xml:space="preserve">. </w:t>
      </w:r>
      <w:r w:rsidR="00F84FA2">
        <w:t>It</w:t>
      </w:r>
      <w:r w:rsidR="00BB6931">
        <w:t> </w:t>
      </w:r>
      <w:r w:rsidRPr="00CC784D">
        <w:t>recently issued a new tariff decision which will cut the cost of power by around 7</w:t>
      </w:r>
      <w:r w:rsidR="00FB714A">
        <w:t>%</w:t>
      </w:r>
      <w:r w:rsidRPr="00CC784D">
        <w:t xml:space="preserve"> overall, including a 50</w:t>
      </w:r>
      <w:r w:rsidR="00FB714A">
        <w:t>%</w:t>
      </w:r>
      <w:r w:rsidRPr="00CC784D">
        <w:t xml:space="preserve"> cut for low-volume consumers which will provide significant savings to</w:t>
      </w:r>
      <w:r w:rsidR="00F84FA2">
        <w:br/>
      </w:r>
      <w:proofErr w:type="spellStart"/>
      <w:r w:rsidRPr="00CC784D">
        <w:t>ni</w:t>
      </w:r>
      <w:proofErr w:type="spellEnd"/>
      <w:r w:rsidRPr="00CC784D">
        <w:t>-Vanuatu</w:t>
      </w:r>
      <w:r w:rsidR="00F84FA2">
        <w:t> </w:t>
      </w:r>
      <w:r w:rsidRPr="00CC784D">
        <w:t>families</w:t>
      </w:r>
      <w:r w:rsidR="00EE07F3">
        <w:t xml:space="preserve">. </w:t>
      </w:r>
    </w:p>
    <w:p w:rsidR="00CC784D" w:rsidRPr="00CC784D" w:rsidRDefault="00CC784D" w:rsidP="004316EE">
      <w:pPr>
        <w:pStyle w:val="BodyText"/>
      </w:pPr>
      <w:r w:rsidRPr="009E6EBE">
        <w:t>AusAID provided $1.9</w:t>
      </w:r>
      <w:r w:rsidR="001A42F6" w:rsidRPr="009E6EBE">
        <w:t> </w:t>
      </w:r>
      <w:r w:rsidRPr="009E6EBE">
        <w:t xml:space="preserve">million to the Ministry of Finance and Economic Management (MFEM) to finance </w:t>
      </w:r>
      <w:r w:rsidRPr="00CC784D">
        <w:t>an engineering design and funding proposal for a new US$65</w:t>
      </w:r>
      <w:r w:rsidR="001A42F6">
        <w:t> </w:t>
      </w:r>
      <w:r w:rsidRPr="00CC784D">
        <w:t xml:space="preserve">million </w:t>
      </w:r>
      <w:r w:rsidRPr="007F0DD6">
        <w:rPr>
          <w:b/>
        </w:rPr>
        <w:t>international wharf</w:t>
      </w:r>
      <w:r w:rsidRPr="00CC784D">
        <w:t xml:space="preserve"> in Port</w:t>
      </w:r>
      <w:r w:rsidR="001A42F6">
        <w:t> </w:t>
      </w:r>
      <w:r w:rsidRPr="00CC784D">
        <w:t>Vila</w:t>
      </w:r>
      <w:r w:rsidR="00EE07F3">
        <w:t xml:space="preserve">. </w:t>
      </w:r>
      <w:r w:rsidRPr="00CC784D">
        <w:t>The poor performance of Port Vila wharf is a major impediment to economic growth</w:t>
      </w:r>
      <w:r w:rsidR="00EE07F3">
        <w:t xml:space="preserve">. </w:t>
      </w:r>
      <w:r w:rsidRPr="00CC784D">
        <w:t>Australia and Vanuatu are also co-funding a new General</w:t>
      </w:r>
      <w:r w:rsidR="00BB6931">
        <w:t> </w:t>
      </w:r>
      <w:r w:rsidRPr="00CC784D">
        <w:t>Manager at the existing wharf facility, who has already contributed to significant improvements in operational performance.</w:t>
      </w:r>
    </w:p>
    <w:p w:rsidR="00CC784D" w:rsidRPr="00CC784D" w:rsidRDefault="00CC784D" w:rsidP="004316EE">
      <w:pPr>
        <w:pStyle w:val="BodyText"/>
      </w:pPr>
      <w:r w:rsidRPr="00CC784D">
        <w:t xml:space="preserve">AusAID advisers assisted the </w:t>
      </w:r>
      <w:r w:rsidRPr="009E6EBE">
        <w:t>Air</w:t>
      </w:r>
      <w:r w:rsidR="00F84FA2" w:rsidRPr="009E6EBE">
        <w:t xml:space="preserve"> </w:t>
      </w:r>
      <w:r w:rsidRPr="009E6EBE">
        <w:t>Vanuatu</w:t>
      </w:r>
      <w:r w:rsidRPr="00CC784D">
        <w:t xml:space="preserve"> Board of Directors to review the financial performance of the airline’s business operations and identify options for reforms</w:t>
      </w:r>
      <w:r w:rsidR="00EE07F3">
        <w:t xml:space="preserve">. </w:t>
      </w:r>
      <w:r w:rsidRPr="00CC784D">
        <w:t>The ongoing operation of Air Vanuatu is a key factor in the economically vital tourism sector.</w:t>
      </w:r>
    </w:p>
    <w:p w:rsidR="00CC784D" w:rsidRPr="004316EE" w:rsidRDefault="00CC784D" w:rsidP="004316EE">
      <w:pPr>
        <w:pStyle w:val="Heading3"/>
      </w:pPr>
      <w:bookmarkStart w:id="15" w:name="_Toc360711489"/>
      <w:r w:rsidRPr="004316EE">
        <w:t>Priorities</w:t>
      </w:r>
      <w:r w:rsidR="00C43D78" w:rsidRPr="004316EE">
        <w:t xml:space="preserve"> for</w:t>
      </w:r>
      <w:r w:rsidRPr="004316EE">
        <w:t xml:space="preserve"> 2010</w:t>
      </w:r>
      <w:r w:rsidR="001A42F6" w:rsidRPr="004316EE">
        <w:t>–</w:t>
      </w:r>
      <w:r w:rsidRPr="004316EE">
        <w:t>11</w:t>
      </w:r>
      <w:bookmarkEnd w:id="15"/>
    </w:p>
    <w:p w:rsidR="00CC784D" w:rsidRPr="00E8739B" w:rsidRDefault="00CC784D" w:rsidP="00782384">
      <w:pPr>
        <w:pStyle w:val="ListBullet"/>
        <w:spacing w:before="160"/>
        <w:rPr>
          <w:i/>
        </w:rPr>
      </w:pPr>
      <w:r w:rsidRPr="00CC784D">
        <w:t xml:space="preserve">Support for Port Vila wharf development and reform, potentially through an incentives-based </w:t>
      </w:r>
      <w:r w:rsidRPr="00E8739B">
        <w:t>program</w:t>
      </w:r>
      <w:r w:rsidR="00F84FA2">
        <w:t xml:space="preserve"> which will include strengthening</w:t>
      </w:r>
      <w:r w:rsidR="00E8739B" w:rsidRPr="00E8739B">
        <w:t xml:space="preserve"> the stevedoring concession and </w:t>
      </w:r>
      <w:r w:rsidR="00F84FA2">
        <w:t>establishing</w:t>
      </w:r>
      <w:r w:rsidR="00E8739B" w:rsidRPr="00E8739B">
        <w:t xml:space="preserve"> an independent ports regulator</w:t>
      </w:r>
      <w:r w:rsidR="001A42F6">
        <w:t>.</w:t>
      </w:r>
    </w:p>
    <w:p w:rsidR="004F796F" w:rsidRDefault="00CC784D" w:rsidP="00EE4AFE">
      <w:pPr>
        <w:pStyle w:val="ListBullet"/>
      </w:pPr>
      <w:r w:rsidRPr="00CC784D">
        <w:t xml:space="preserve">Support </w:t>
      </w:r>
      <w:r w:rsidR="00F84FA2" w:rsidRPr="00CC784D">
        <w:rPr>
          <w:lang w:val="en-US"/>
        </w:rPr>
        <w:t xml:space="preserve">Public Works Department </w:t>
      </w:r>
      <w:r w:rsidRPr="00CC784D">
        <w:t>in manag</w:t>
      </w:r>
      <w:r w:rsidR="00F84FA2">
        <w:t>ing the</w:t>
      </w:r>
      <w:r w:rsidRPr="00CC784D">
        <w:t xml:space="preserve"> challenges </w:t>
      </w:r>
      <w:r w:rsidR="00F84FA2">
        <w:t>of implementing</w:t>
      </w:r>
      <w:r w:rsidRPr="00CC784D">
        <w:t xml:space="preserve"> Phase</w:t>
      </w:r>
      <w:r w:rsidR="007169CB">
        <w:t> </w:t>
      </w:r>
      <w:r w:rsidRPr="00CC784D">
        <w:t>1 of the VTSSP</w:t>
      </w:r>
      <w:r w:rsidR="001A42F6">
        <w:t>.</w:t>
      </w:r>
      <w:r w:rsidR="00A0417A">
        <w:t xml:space="preserve"> </w:t>
      </w:r>
    </w:p>
    <w:p w:rsidR="00CC784D" w:rsidRPr="004F796F" w:rsidRDefault="004F796F" w:rsidP="00EE4AFE">
      <w:pPr>
        <w:pStyle w:val="ListBullet"/>
      </w:pPr>
      <w:r>
        <w:t>Develop priorities for Phase</w:t>
      </w:r>
      <w:r w:rsidR="007169CB">
        <w:t> </w:t>
      </w:r>
      <w:r>
        <w:t xml:space="preserve">II of VTSSP, including potential </w:t>
      </w:r>
      <w:r w:rsidR="00A0417A" w:rsidRPr="004F796F">
        <w:t xml:space="preserve">support </w:t>
      </w:r>
      <w:r>
        <w:t>for roads on</w:t>
      </w:r>
      <w:r w:rsidR="00A0417A" w:rsidRPr="004F796F">
        <w:t xml:space="preserve"> the island of Pentecost</w:t>
      </w:r>
      <w:r>
        <w:t>, the development of Santo wharf, and the upgrad</w:t>
      </w:r>
      <w:r w:rsidR="00EF07A1">
        <w:t>e</w:t>
      </w:r>
      <w:r>
        <w:t xml:space="preserve"> of </w:t>
      </w:r>
      <w:r w:rsidRPr="004F796F">
        <w:t>rural airstrips across Vanuatu</w:t>
      </w:r>
      <w:r w:rsidR="001A42F6">
        <w:t>.</w:t>
      </w:r>
    </w:p>
    <w:p w:rsidR="00CC784D" w:rsidRPr="00CC784D" w:rsidRDefault="00CC784D" w:rsidP="00EE4AFE">
      <w:pPr>
        <w:pStyle w:val="ListBullet"/>
      </w:pPr>
      <w:r w:rsidRPr="00CC784D">
        <w:t xml:space="preserve">Support </w:t>
      </w:r>
      <w:r w:rsidR="00F84FA2" w:rsidRPr="00CC784D">
        <w:rPr>
          <w:lang w:val="en-US"/>
        </w:rPr>
        <w:t xml:space="preserve">Public Works Department </w:t>
      </w:r>
      <w:r w:rsidRPr="00CC784D">
        <w:t>to integrate climate change adaptation measures into road interventions</w:t>
      </w:r>
      <w:r w:rsidR="001A42F6">
        <w:t>.</w:t>
      </w:r>
      <w:r w:rsidRPr="00CC784D">
        <w:t xml:space="preserve"> </w:t>
      </w:r>
    </w:p>
    <w:p w:rsidR="00CC784D" w:rsidRDefault="00CC784D" w:rsidP="00EE4AFE">
      <w:pPr>
        <w:pStyle w:val="ListBullet"/>
      </w:pPr>
      <w:r w:rsidRPr="00CC784D">
        <w:t>Support Air Vanuatu’s business reform agenda</w:t>
      </w:r>
      <w:r w:rsidR="001A42F6">
        <w:t>.</w:t>
      </w:r>
    </w:p>
    <w:p w:rsidR="00CC784D" w:rsidRPr="00CC784D" w:rsidRDefault="00CC784D" w:rsidP="00EE4AFE">
      <w:pPr>
        <w:pStyle w:val="ListBullet"/>
      </w:pPr>
      <w:r w:rsidRPr="00CC784D">
        <w:t>Finalise the U</w:t>
      </w:r>
      <w:r w:rsidR="00814127">
        <w:t xml:space="preserve">niversal </w:t>
      </w:r>
      <w:r w:rsidRPr="00CC784D">
        <w:t>A</w:t>
      </w:r>
      <w:r w:rsidR="00814127">
        <w:t xml:space="preserve">ccess </w:t>
      </w:r>
      <w:r w:rsidRPr="00CC784D">
        <w:t>P</w:t>
      </w:r>
      <w:r w:rsidR="00814127">
        <w:t>olicy Fund</w:t>
      </w:r>
      <w:r w:rsidRPr="00CC784D">
        <w:t xml:space="preserve"> tender to extend the mobile network to remote</w:t>
      </w:r>
      <w:r w:rsidR="00BB6931">
        <w:t> </w:t>
      </w:r>
      <w:r w:rsidRPr="00CC784D">
        <w:t>areas</w:t>
      </w:r>
      <w:r w:rsidR="001A42F6">
        <w:t>.</w:t>
      </w:r>
    </w:p>
    <w:p w:rsidR="00CC784D" w:rsidRPr="00CC784D" w:rsidRDefault="00CC784D" w:rsidP="00EE4AFE">
      <w:pPr>
        <w:pStyle w:val="ListBullet"/>
      </w:pPr>
      <w:r w:rsidRPr="00CC784D">
        <w:t>Expand access to electricity in rural areas.</w:t>
      </w:r>
    </w:p>
    <w:p w:rsidR="00CC784D" w:rsidRPr="004316EE" w:rsidRDefault="001C27CC" w:rsidP="001C27CC">
      <w:pPr>
        <w:pStyle w:val="Caption"/>
      </w:pPr>
      <w:r w:rsidRPr="004316EE">
        <w:t>Table 4: Estimated expenditure on Priority Outcome 3</w:t>
      </w:r>
      <w:r w:rsidR="00001336" w:rsidRPr="004316EE">
        <w:t>—i</w:t>
      </w:r>
      <w:r w:rsidRPr="004316EE">
        <w:t xml:space="preserve">mproved </w:t>
      </w:r>
      <w:r w:rsidR="00001336" w:rsidRPr="004316EE">
        <w:t>i</w:t>
      </w:r>
      <w:r w:rsidRPr="004316EE">
        <w:t>nfrastructure</w:t>
      </w:r>
    </w:p>
    <w:tbl>
      <w:tblPr>
        <w:tblW w:w="7938" w:type="dxa"/>
        <w:tblInd w:w="57" w:type="dxa"/>
        <w:tblBorders>
          <w:top w:val="single" w:sz="12" w:space="0" w:color="auto"/>
          <w:bottom w:val="single" w:sz="1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91"/>
        <w:gridCol w:w="1247"/>
        <w:gridCol w:w="1559"/>
        <w:gridCol w:w="1247"/>
        <w:gridCol w:w="1559"/>
      </w:tblGrid>
      <w:tr w:rsidR="00B83DA2" w:rsidRPr="00CC784D" w:rsidTr="00AD5CC1">
        <w:trPr>
          <w:tblHeader/>
        </w:trPr>
        <w:tc>
          <w:tcPr>
            <w:tcW w:w="1135" w:type="dxa"/>
            <w:tcBorders>
              <w:bottom w:val="single" w:sz="2" w:space="0" w:color="auto"/>
            </w:tcBorders>
          </w:tcPr>
          <w:p w:rsidR="00B83DA2" w:rsidRPr="00CC784D" w:rsidRDefault="00B83DA2" w:rsidP="00C17C76">
            <w:pPr>
              <w:pStyle w:val="TableDataColumnHeading"/>
              <w:keepNext/>
              <w:jc w:val="left"/>
            </w:pPr>
            <w:r>
              <w:t>Year</w:t>
            </w:r>
          </w:p>
        </w:tc>
        <w:tc>
          <w:tcPr>
            <w:tcW w:w="1191" w:type="dxa"/>
            <w:tcBorders>
              <w:bottom w:val="single" w:sz="2" w:space="0" w:color="auto"/>
            </w:tcBorders>
          </w:tcPr>
          <w:p w:rsidR="00B83DA2" w:rsidRPr="00CC784D" w:rsidRDefault="00B83DA2" w:rsidP="00C17C76">
            <w:pPr>
              <w:pStyle w:val="TableDataColumnHeading"/>
              <w:keepNext/>
            </w:pPr>
            <w:r w:rsidRPr="00CC784D">
              <w:t xml:space="preserve">Estimated Australian </w:t>
            </w:r>
            <w:r>
              <w:t>c</w:t>
            </w:r>
            <w:r w:rsidRPr="00CC784D">
              <w:t>ommitment</w:t>
            </w:r>
            <w:r>
              <w:br/>
            </w:r>
            <w:r w:rsidR="00D75BCB">
              <w:t>(</w:t>
            </w:r>
            <w:r w:rsidRPr="00CC784D">
              <w:t>A$ million</w:t>
            </w:r>
            <w:r w:rsidR="00D75BCB">
              <w:t>)</w:t>
            </w:r>
          </w:p>
        </w:tc>
        <w:tc>
          <w:tcPr>
            <w:tcW w:w="1247" w:type="dxa"/>
            <w:tcBorders>
              <w:bottom w:val="single" w:sz="2" w:space="0" w:color="auto"/>
            </w:tcBorders>
          </w:tcPr>
          <w:p w:rsidR="00B83DA2" w:rsidRPr="00CC784D" w:rsidRDefault="00B83DA2" w:rsidP="00C17C76">
            <w:pPr>
              <w:pStyle w:val="TableDataColumnHeading"/>
              <w:keepNext/>
            </w:pPr>
            <w:r w:rsidRPr="00CC784D">
              <w:t>% of bilateral program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83DA2" w:rsidRPr="00CC784D" w:rsidRDefault="00B83DA2" w:rsidP="00C17C76">
            <w:pPr>
              <w:pStyle w:val="TableDataColumnHeading"/>
              <w:keepNext/>
            </w:pPr>
            <w:r w:rsidRPr="00CC784D">
              <w:t xml:space="preserve">Partner </w:t>
            </w:r>
            <w:r>
              <w:t>g</w:t>
            </w:r>
            <w:r w:rsidRPr="00CC784D">
              <w:t xml:space="preserve">overnment </w:t>
            </w:r>
            <w:r>
              <w:t>c</w:t>
            </w:r>
            <w:r w:rsidRPr="00CC784D">
              <w:t>ommitment</w:t>
            </w:r>
            <w:r>
              <w:br/>
            </w:r>
            <w:r w:rsidRPr="00CC784D">
              <w:t>(</w:t>
            </w:r>
            <w:r>
              <w:t>millions of vatu</w:t>
            </w:r>
            <w:r w:rsidRPr="00CC784D">
              <w:t>)</w:t>
            </w:r>
          </w:p>
        </w:tc>
        <w:tc>
          <w:tcPr>
            <w:tcW w:w="1247" w:type="dxa"/>
            <w:tcBorders>
              <w:bottom w:val="single" w:sz="2" w:space="0" w:color="auto"/>
            </w:tcBorders>
          </w:tcPr>
          <w:p w:rsidR="00B83DA2" w:rsidRPr="00CC784D" w:rsidRDefault="00B83DA2" w:rsidP="00C17C76">
            <w:pPr>
              <w:pStyle w:val="TableDataColumnHeading"/>
              <w:keepNext/>
            </w:pPr>
            <w:r w:rsidRPr="00CC784D">
              <w:t>% of national budget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83DA2" w:rsidRPr="00A51011" w:rsidRDefault="00B83DA2" w:rsidP="00B83DA2">
            <w:pPr>
              <w:pStyle w:val="TableDataColumnHeading"/>
              <w:keepNext/>
              <w:jc w:val="center"/>
            </w:pPr>
            <w:r w:rsidRPr="00A51011">
              <w:t>Other donor contributions (</w:t>
            </w:r>
            <w:r>
              <w:t>currency</w:t>
            </w:r>
            <w:r w:rsidRPr="00A51011">
              <w:t>)</w:t>
            </w:r>
          </w:p>
        </w:tc>
      </w:tr>
      <w:tr w:rsidR="00B83DA2" w:rsidRPr="00CC784D" w:rsidTr="00DE5E08">
        <w:tc>
          <w:tcPr>
            <w:tcW w:w="1135" w:type="dxa"/>
            <w:tcBorders>
              <w:top w:val="single" w:sz="2" w:space="0" w:color="auto"/>
              <w:bottom w:val="nil"/>
            </w:tcBorders>
          </w:tcPr>
          <w:p w:rsidR="00B83DA2" w:rsidRPr="00CC784D" w:rsidRDefault="00B83DA2" w:rsidP="00A51011">
            <w:pPr>
              <w:pStyle w:val="TableDataEntries"/>
              <w:jc w:val="left"/>
            </w:pPr>
            <w:r>
              <w:t>2009–10</w:t>
            </w:r>
          </w:p>
        </w:tc>
        <w:tc>
          <w:tcPr>
            <w:tcW w:w="1191" w:type="dxa"/>
            <w:tcBorders>
              <w:top w:val="single" w:sz="2" w:space="0" w:color="auto"/>
              <w:bottom w:val="nil"/>
            </w:tcBorders>
          </w:tcPr>
          <w:p w:rsidR="00B83DA2" w:rsidRPr="00CC784D" w:rsidRDefault="00B83DA2" w:rsidP="00A51011">
            <w:pPr>
              <w:pStyle w:val="TableDataEntries"/>
            </w:pPr>
            <w:r w:rsidRPr="00CC784D">
              <w:t>13.2</w:t>
            </w:r>
          </w:p>
          <w:p w:rsidR="00B83DA2" w:rsidRPr="00CC784D" w:rsidRDefault="00B83DA2" w:rsidP="00A51011">
            <w:pPr>
              <w:pStyle w:val="TableDataEntries"/>
            </w:pPr>
          </w:p>
        </w:tc>
        <w:tc>
          <w:tcPr>
            <w:tcW w:w="1247" w:type="dxa"/>
            <w:tcBorders>
              <w:top w:val="single" w:sz="2" w:space="0" w:color="auto"/>
              <w:bottom w:val="nil"/>
            </w:tcBorders>
          </w:tcPr>
          <w:p w:rsidR="00B83DA2" w:rsidRPr="00CC784D" w:rsidRDefault="00B83DA2" w:rsidP="00A51011">
            <w:pPr>
              <w:pStyle w:val="TableDataEntries"/>
            </w:pPr>
            <w:r>
              <w:t>29</w:t>
            </w:r>
          </w:p>
          <w:p w:rsidR="00B83DA2" w:rsidRPr="00CC784D" w:rsidRDefault="00B83DA2" w:rsidP="00A51011">
            <w:pPr>
              <w:pStyle w:val="TableDataEntries"/>
            </w:pPr>
          </w:p>
          <w:p w:rsidR="00B83DA2" w:rsidRPr="00CC784D" w:rsidRDefault="00B83DA2" w:rsidP="00A51011">
            <w:pPr>
              <w:pStyle w:val="TableDataEntries"/>
            </w:pP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</w:tcPr>
          <w:p w:rsidR="00B83DA2" w:rsidRDefault="00B83DA2" w:rsidP="00A51011">
            <w:pPr>
              <w:pStyle w:val="TableDataEntries"/>
            </w:pPr>
            <w:r w:rsidRPr="00CC784D">
              <w:t>1</w:t>
            </w:r>
            <w:r>
              <w:t>,</w:t>
            </w:r>
            <w:r w:rsidRPr="00CC784D">
              <w:t>4</w:t>
            </w:r>
            <w:r>
              <w:t xml:space="preserve">00 </w:t>
            </w:r>
          </w:p>
          <w:p w:rsidR="00B83DA2" w:rsidRPr="00CC784D" w:rsidRDefault="00B83DA2" w:rsidP="00A51011">
            <w:pPr>
              <w:pStyle w:val="TableDataEntries"/>
            </w:pPr>
            <w:r w:rsidRPr="00CC784D">
              <w:t>(2009)</w:t>
            </w:r>
          </w:p>
          <w:p w:rsidR="00B83DA2" w:rsidRPr="00CC784D" w:rsidRDefault="00B83DA2" w:rsidP="00A51011">
            <w:pPr>
              <w:pStyle w:val="TableDataEntries"/>
            </w:pPr>
          </w:p>
          <w:p w:rsidR="00B83DA2" w:rsidRPr="00CC784D" w:rsidRDefault="00B83DA2" w:rsidP="00A51011">
            <w:pPr>
              <w:pStyle w:val="TableDataEntries"/>
            </w:pPr>
          </w:p>
        </w:tc>
        <w:tc>
          <w:tcPr>
            <w:tcW w:w="1247" w:type="dxa"/>
            <w:tcBorders>
              <w:top w:val="single" w:sz="2" w:space="0" w:color="auto"/>
              <w:bottom w:val="nil"/>
            </w:tcBorders>
          </w:tcPr>
          <w:p w:rsidR="00B83DA2" w:rsidRPr="00CC784D" w:rsidRDefault="00B83DA2" w:rsidP="00A51011">
            <w:pPr>
              <w:pStyle w:val="TableDataEntries"/>
            </w:pPr>
            <w:r>
              <w:t>9.9</w:t>
            </w:r>
          </w:p>
          <w:p w:rsidR="00B83DA2" w:rsidRPr="00CC784D" w:rsidRDefault="00B83DA2" w:rsidP="00A51011">
            <w:pPr>
              <w:pStyle w:val="TableDataEntries"/>
            </w:pPr>
          </w:p>
          <w:p w:rsidR="00B83DA2" w:rsidRPr="00CC784D" w:rsidRDefault="00B83DA2" w:rsidP="00A51011">
            <w:pPr>
              <w:pStyle w:val="TableDataEntries"/>
            </w:pP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</w:tcPr>
          <w:p w:rsidR="00B83DA2" w:rsidRPr="007169CB" w:rsidRDefault="00B83DA2" w:rsidP="00A51011">
            <w:pPr>
              <w:pStyle w:val="TableTextEntries"/>
            </w:pPr>
            <w:r w:rsidRPr="007169CB">
              <w:t>N</w:t>
            </w:r>
            <w:r>
              <w:t>ew Zealand</w:t>
            </w:r>
            <w:r w:rsidRPr="007169CB">
              <w:t xml:space="preserve"> contribution to M</w:t>
            </w:r>
            <w:r>
              <w:t>illennium Challenge Account</w:t>
            </w:r>
            <w:r w:rsidRPr="007169CB">
              <w:t xml:space="preserve"> </w:t>
            </w:r>
            <w:r w:rsidRPr="007169CB">
              <w:lastRenderedPageBreak/>
              <w:t>VT413</w:t>
            </w:r>
            <w:r>
              <w:t> </w:t>
            </w:r>
            <w:r w:rsidRPr="007169CB">
              <w:t>million</w:t>
            </w:r>
          </w:p>
          <w:p w:rsidR="00B83DA2" w:rsidRPr="00CC784D" w:rsidRDefault="00B83DA2" w:rsidP="00A51011">
            <w:pPr>
              <w:pStyle w:val="TableTextEntries"/>
            </w:pPr>
            <w:r w:rsidRPr="007169CB">
              <w:t>J</w:t>
            </w:r>
            <w:r>
              <w:t>apan</w:t>
            </w:r>
            <w:r>
              <w:br/>
            </w:r>
            <w:r w:rsidRPr="007169CB">
              <w:t>US$</w:t>
            </w:r>
            <w:r w:rsidR="00D75BCB">
              <w:t>1</w:t>
            </w:r>
            <w:r w:rsidRPr="007169CB">
              <w:t>7</w:t>
            </w:r>
            <w:r>
              <w:t xml:space="preserve"> </w:t>
            </w:r>
            <w:r w:rsidRPr="007169CB">
              <w:t>m</w:t>
            </w:r>
            <w:r>
              <w:t>illion</w:t>
            </w:r>
            <w:r w:rsidRPr="007169CB">
              <w:t xml:space="preserve"> (main wharf)</w:t>
            </w:r>
          </w:p>
        </w:tc>
      </w:tr>
      <w:tr w:rsidR="00B83DA2" w:rsidRPr="00CC784D" w:rsidTr="00DE5E08">
        <w:tc>
          <w:tcPr>
            <w:tcW w:w="1135" w:type="dxa"/>
            <w:tcBorders>
              <w:top w:val="nil"/>
              <w:bottom w:val="single" w:sz="12" w:space="0" w:color="auto"/>
            </w:tcBorders>
          </w:tcPr>
          <w:p w:rsidR="00B83DA2" w:rsidRPr="00CC784D" w:rsidRDefault="00B83DA2" w:rsidP="00A51011">
            <w:pPr>
              <w:pStyle w:val="TableDataEntries"/>
              <w:jc w:val="left"/>
            </w:pPr>
            <w:r>
              <w:lastRenderedPageBreak/>
              <w:t>2010–11</w:t>
            </w:r>
          </w:p>
        </w:tc>
        <w:tc>
          <w:tcPr>
            <w:tcW w:w="1191" w:type="dxa"/>
            <w:tcBorders>
              <w:top w:val="nil"/>
              <w:bottom w:val="single" w:sz="12" w:space="0" w:color="auto"/>
            </w:tcBorders>
          </w:tcPr>
          <w:p w:rsidR="00B83DA2" w:rsidRPr="00CC784D" w:rsidRDefault="00B83DA2" w:rsidP="00A51011">
            <w:pPr>
              <w:pStyle w:val="TableDataEntries"/>
            </w:pPr>
            <w:r>
              <w:t>10.2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</w:tcPr>
          <w:p w:rsidR="00B83DA2" w:rsidRPr="00CC784D" w:rsidRDefault="00B83DA2" w:rsidP="00A51011">
            <w:pPr>
              <w:pStyle w:val="TableDataEntries"/>
            </w:pPr>
            <w:r>
              <w:t>22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B83DA2" w:rsidRDefault="00B83DA2" w:rsidP="00A51011">
            <w:pPr>
              <w:pStyle w:val="TableDataEntries"/>
            </w:pPr>
            <w:r>
              <w:t xml:space="preserve">1,407 </w:t>
            </w:r>
          </w:p>
          <w:p w:rsidR="00B83DA2" w:rsidRPr="00CC784D" w:rsidRDefault="00B83DA2" w:rsidP="00A51011">
            <w:pPr>
              <w:pStyle w:val="TableDataEntries"/>
            </w:pPr>
            <w:r>
              <w:t>(2010)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</w:tcPr>
          <w:p w:rsidR="00B83DA2" w:rsidRPr="00CC784D" w:rsidRDefault="00B83DA2" w:rsidP="00A51011">
            <w:pPr>
              <w:pStyle w:val="TableDataEntries"/>
            </w:pPr>
            <w:r>
              <w:t>9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B83DA2" w:rsidRPr="00EF07A1" w:rsidRDefault="00B83DA2" w:rsidP="00A51011">
            <w:pPr>
              <w:pStyle w:val="TableTextEntries"/>
            </w:pPr>
            <w:r w:rsidRPr="00EF07A1">
              <w:t>VT2,535</w:t>
            </w:r>
            <w:r>
              <w:t xml:space="preserve"> million</w:t>
            </w:r>
          </w:p>
        </w:tc>
      </w:tr>
    </w:tbl>
    <w:p w:rsidR="00797032" w:rsidRDefault="00A62042" w:rsidP="00A63C82">
      <w:pPr>
        <w:pStyle w:val="Heading2"/>
        <w:numPr>
          <w:ilvl w:val="0"/>
          <w:numId w:val="0"/>
        </w:numPr>
        <w:spacing w:before="240"/>
      </w:pPr>
      <w:r>
        <w:br w:type="page"/>
      </w:r>
      <w:bookmarkStart w:id="16" w:name="_Toc360711490"/>
      <w:r w:rsidR="00797032">
        <w:lastRenderedPageBreak/>
        <w:t xml:space="preserve">Priority Outcome 4: Economic </w:t>
      </w:r>
      <w:r w:rsidR="00BB6931">
        <w:t>G</w:t>
      </w:r>
      <w:r w:rsidR="00797032">
        <w:t>overnance</w:t>
      </w:r>
      <w:bookmarkEnd w:id="16"/>
    </w:p>
    <w:p w:rsidR="00797032" w:rsidRPr="00A63C82" w:rsidRDefault="00797032" w:rsidP="00A63C82">
      <w:pPr>
        <w:pStyle w:val="Heading3"/>
        <w:spacing w:before="120"/>
      </w:pPr>
      <w:bookmarkStart w:id="17" w:name="_Toc360711491"/>
      <w:r w:rsidRPr="00A63C82">
        <w:t>Rating</w:t>
      </w:r>
      <w:bookmarkEnd w:id="17"/>
    </w:p>
    <w:p w:rsidR="001A42F6" w:rsidRPr="00A63C82" w:rsidRDefault="00473CE5" w:rsidP="00A63C82">
      <w:pPr>
        <w:pStyle w:val="BodyText"/>
        <w:spacing w:after="120"/>
      </w:pPr>
      <w:r>
        <w:rPr>
          <w:noProof/>
          <w:color w:val="99CC00"/>
          <w:lang w:val="en-US" w:eastAsia="en-US"/>
        </w:rPr>
        <mc:AlternateContent>
          <mc:Choice Requires="wps">
            <w:drawing>
              <wp:inline distT="0" distB="0" distL="0" distR="0">
                <wp:extent cx="128905" cy="123825"/>
                <wp:effectExtent l="0" t="0" r="4445" b="9525"/>
                <wp:docPr id="10" name="Rectangle 12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3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alt="Green" style="width:10.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GhigIAAAoFAAAOAAAAZHJzL2Uyb0RvYy54bWysVG1v0zAQ/o7Ef7D8vcsL6dZES6dtpRPS&#10;gInBD3Btp7Fw7HB2m26I/87ZaUsHXxCiH1xffHe+57nnfHm16zTZSnDKmppmZykl0nArlFnX9Mvn&#10;5WRGifPMCKatkTV9ko5ezV+/uhz6Sua2tVpIIJjEuGroa9p631dJ4ngrO+bObC8NHjYWOubRhHUi&#10;gA2YvdNJnqbnyWBB9GC5dA6/LsZDOo/5m0Zy/7FpnPRE1xRr83GFuK7CmswvWbUG1reK78tg/1BF&#10;x5TBS4+pFswzsgH1R6pOcbDONv6M2y6xTaO4jBgQTZb+huaxZb2MWJAc1x9pcv8vLf+wfQCiBPYO&#10;6TGswx59QtaYWWtJspwSIR1Hwu5AShPoGnpXYdRj/wABsOvvLf/qiLG3LQbJawA7tJIJLDIL/smL&#10;gGA4DCWr4b0VeBnbeBuZ2zXQhYTICdnFBj0dGyR3nnD8mOWzMp1SwvEoy9/M8mm8gVWH4B6cv5O2&#10;I2FTU0AkMTnb3jsfimHVwSUWb7USS6V1NGC9utVAtgy1UuaLdBrlgSHu1E2b4GxsCBszjl+wRrwj&#10;nIVqY++/l1lepDd5OVmezy4mxbKYTsqLdDZJs/KmPE+Lslgsf4QCs6JqlRDS3CsjDzrMir/r834i&#10;RgVFJZIBEUyRnYjrtHp3CjKNvz2FL0B2yuNYatXVdHZ0YlXo61sjEDarPFN63Ccvy48sIweH/8hK&#10;VEFo/CiglRVPKAKw2CTUHT4guGktPFMy4DDW1H3bMJCU6HcGhVRmRRGmNxrF9CJHA05PVqcnzHBM&#10;VVNPybi99ePEb3pQ6xZvyiIxxl6j+BoVhRGEOVa1lywOXESwfxzCRJ/a0evXEzb/CQAA//8DAFBL&#10;AwQUAAYACAAAACEAvFd28NkAAAADAQAADwAAAGRycy9kb3ducmV2LnhtbEyPzU7DMBCE70h9B2sr&#10;caMOBQqEOFVVVO5tSrm68TaJsNdR7Pzw9ixc4DLSakYz32bryVkxYBcaTwpuFwkIpNKbhioFx2J3&#10;8wQiRE1GW0+o4AsDrPPZVaZT40fa43CIleASCqlWUMfYplKGskanw8K3SOxdfOd05LOrpOn0yOXO&#10;ymWSrKTTDfFCrVvc1lh+Hnqn4LQzbbHf2v60eXwbL+/l6/3wUSh1PZ82LyAiTvEvDD/4jA45M519&#10;TyYIq4Afib/K3jK5A3HmzPMDyDyT/9nzbwAAAP//AwBQSwECLQAUAAYACAAAACEAtoM4kv4AAADh&#10;AQAAEwAAAAAAAAAAAAAAAAAAAAAAW0NvbnRlbnRfVHlwZXNdLnhtbFBLAQItABQABgAIAAAAIQA4&#10;/SH/1gAAAJQBAAALAAAAAAAAAAAAAAAAAC8BAABfcmVscy8ucmVsc1BLAQItABQABgAIAAAAIQDV&#10;8JGhigIAAAoFAAAOAAAAAAAAAAAAAAAAAC4CAABkcnMvZTJvRG9jLnhtbFBLAQItABQABgAIAAAA&#10;IQC8V3bw2QAAAAMBAAAPAAAAAAAAAAAAAAAAAOQEAABkcnMvZG93bnJldi54bWxQSwUGAAAAAAQA&#10;BADzAAAA6gUAAAAA&#10;" fillcolor="#92d050" stroked="f">
                <w10:anchorlock/>
              </v:rect>
            </w:pict>
          </mc:Fallback>
        </mc:AlternateContent>
      </w:r>
      <w:r w:rsidR="00797032" w:rsidRPr="00797032">
        <w:rPr>
          <w:rFonts w:eastAsia="Arial Unicode MS" w:hAnsi="Arial Unicode MS"/>
        </w:rPr>
        <w:t> </w:t>
      </w:r>
      <w:r w:rsidR="00797032" w:rsidRPr="00A63C82">
        <w:t>The objective will be fully achieved within the timeframe of the strategy.</w:t>
      </w:r>
    </w:p>
    <w:tbl>
      <w:tblPr>
        <w:tblW w:w="7938" w:type="dxa"/>
        <w:tblInd w:w="57" w:type="dxa"/>
        <w:tblBorders>
          <w:top w:val="single" w:sz="12" w:space="0" w:color="auto"/>
          <w:bottom w:val="single" w:sz="12" w:space="0" w:color="auto"/>
        </w:tblBorders>
        <w:shd w:val="clear" w:color="auto" w:fill="F5F1CC"/>
        <w:tblLook w:val="01E0" w:firstRow="1" w:lastRow="1" w:firstColumn="1" w:lastColumn="1" w:noHBand="0" w:noVBand="0"/>
      </w:tblPr>
      <w:tblGrid>
        <w:gridCol w:w="7938"/>
      </w:tblGrid>
      <w:tr w:rsidR="00797032" w:rsidRPr="00797032" w:rsidTr="003C1A66">
        <w:trPr>
          <w:trHeight w:val="6479"/>
        </w:trPr>
        <w:tc>
          <w:tcPr>
            <w:tcW w:w="7938" w:type="dxa"/>
            <w:shd w:val="clear" w:color="auto" w:fill="F5F1CC"/>
          </w:tcPr>
          <w:p w:rsidR="00AD5CC1" w:rsidRPr="00AD5CC1" w:rsidRDefault="00797032" w:rsidP="00AD5CC1">
            <w:pPr>
              <w:pStyle w:val="H4A"/>
            </w:pPr>
            <w:r w:rsidRPr="00AD5CC1">
              <w:t xml:space="preserve">Joint </w:t>
            </w:r>
            <w:r w:rsidR="003C1765" w:rsidRPr="00AD5CC1">
              <w:t>c</w:t>
            </w:r>
            <w:r w:rsidRPr="00AD5CC1">
              <w:t>ommitments</w:t>
            </w:r>
          </w:p>
          <w:p w:rsidR="00B8453B" w:rsidRPr="00797032" w:rsidRDefault="00B8453B" w:rsidP="00EE4AFE">
            <w:pPr>
              <w:pStyle w:val="BoxText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4008B3">
              <w:rPr>
                <w:lang w:val="en-US"/>
              </w:rPr>
              <w:t>p</w:t>
            </w:r>
            <w:r>
              <w:rPr>
                <w:lang w:val="en-US"/>
              </w:rPr>
              <w:t>artnership will progress reform on economic governance issues, through:</w:t>
            </w:r>
          </w:p>
          <w:p w:rsidR="00797032" w:rsidRPr="00797032" w:rsidRDefault="004008B3" w:rsidP="00EE4AFE">
            <w:pPr>
              <w:pStyle w:val="BoxListBullet"/>
              <w:rPr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797032" w:rsidRPr="00747BE2">
              <w:rPr>
                <w:b/>
                <w:lang w:val="en-US"/>
              </w:rPr>
              <w:t>trengthened budget processes</w:t>
            </w:r>
            <w:r w:rsidR="00797032" w:rsidRPr="00797032">
              <w:rPr>
                <w:lang w:val="en-US"/>
              </w:rPr>
              <w:t xml:space="preserve"> to better reflect national priorities for service delivery and </w:t>
            </w:r>
            <w:r w:rsidR="005F094E">
              <w:rPr>
                <w:lang w:val="en-US"/>
              </w:rPr>
              <w:br/>
            </w:r>
            <w:r w:rsidR="00797032" w:rsidRPr="00797032">
              <w:rPr>
                <w:lang w:val="en-US"/>
              </w:rPr>
              <w:t>public investment</w:t>
            </w:r>
          </w:p>
          <w:p w:rsidR="00797032" w:rsidRPr="00797032" w:rsidRDefault="004008B3" w:rsidP="00EE4AFE">
            <w:pPr>
              <w:pStyle w:val="BoxListBullet"/>
              <w:rPr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="00797032" w:rsidRPr="00747BE2">
              <w:rPr>
                <w:b/>
                <w:lang w:val="en-US"/>
              </w:rPr>
              <w:t>mproved public financial management systems</w:t>
            </w:r>
            <w:r w:rsidR="00797032" w:rsidRPr="00797032">
              <w:rPr>
                <w:lang w:val="en-US"/>
              </w:rPr>
              <w:t xml:space="preserve"> including strengthening the budget process to combine donor and government resources and improved financial management in line ministries to ensure more resources for to deliver services</w:t>
            </w:r>
          </w:p>
          <w:p w:rsidR="00797032" w:rsidRPr="00797032" w:rsidRDefault="004008B3" w:rsidP="00EE4AFE">
            <w:pPr>
              <w:pStyle w:val="BoxListBullet"/>
              <w:rPr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797032" w:rsidRPr="00747BE2">
              <w:rPr>
                <w:b/>
                <w:lang w:val="en-US"/>
              </w:rPr>
              <w:t>tronger transparency and accountability</w:t>
            </w:r>
            <w:r w:rsidR="00797032" w:rsidRPr="00797032">
              <w:rPr>
                <w:lang w:val="en-US"/>
              </w:rPr>
              <w:t xml:space="preserve"> to Parliament and the people for the results of </w:t>
            </w:r>
            <w:r w:rsidR="005F094E">
              <w:rPr>
                <w:lang w:val="en-US"/>
              </w:rPr>
              <w:br/>
            </w:r>
            <w:r w:rsidR="00797032" w:rsidRPr="00797032">
              <w:rPr>
                <w:lang w:val="en-US"/>
              </w:rPr>
              <w:t>public expenditure</w:t>
            </w:r>
          </w:p>
          <w:p w:rsidR="00797032" w:rsidRPr="00797032" w:rsidRDefault="004008B3" w:rsidP="00EE4AFE">
            <w:pPr>
              <w:pStyle w:val="BoxListBullet"/>
              <w:rPr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="00797032" w:rsidRPr="00747BE2">
              <w:rPr>
                <w:b/>
                <w:lang w:val="en-US"/>
              </w:rPr>
              <w:t>mproved management of Government Business Enterprises</w:t>
            </w:r>
            <w:r w:rsidR="00797032" w:rsidRPr="00797032">
              <w:rPr>
                <w:lang w:val="en-US"/>
              </w:rPr>
              <w:t>, to improve effectiveness of their operations and manage fiscal risks</w:t>
            </w:r>
          </w:p>
          <w:p w:rsidR="00797032" w:rsidRPr="00797032" w:rsidRDefault="004008B3" w:rsidP="00EE4AFE">
            <w:pPr>
              <w:pStyle w:val="BoxListBullet"/>
              <w:rPr>
                <w:lang w:val="en-US"/>
              </w:rPr>
            </w:pPr>
            <w:proofErr w:type="gramStart"/>
            <w:r>
              <w:rPr>
                <w:b/>
                <w:lang w:val="en-US"/>
              </w:rPr>
              <w:t>e</w:t>
            </w:r>
            <w:r w:rsidR="00797032" w:rsidRPr="00747BE2">
              <w:rPr>
                <w:b/>
                <w:lang w:val="en-US"/>
              </w:rPr>
              <w:t>nhanced</w:t>
            </w:r>
            <w:proofErr w:type="gramEnd"/>
            <w:r w:rsidR="00797032" w:rsidRPr="00747BE2">
              <w:rPr>
                <w:b/>
                <w:lang w:val="en-US"/>
              </w:rPr>
              <w:t xml:space="preserve"> collection and management of statistics</w:t>
            </w:r>
            <w:r w:rsidR="00797032" w:rsidRPr="00797032">
              <w:rPr>
                <w:lang w:val="en-US"/>
              </w:rPr>
              <w:t xml:space="preserve"> to track progress against </w:t>
            </w:r>
            <w:r w:rsidR="00D95D8F">
              <w:rPr>
                <w:lang w:val="en-US"/>
              </w:rPr>
              <w:br/>
              <w:t xml:space="preserve">the </w:t>
            </w:r>
            <w:r w:rsidR="00797032" w:rsidRPr="00797032">
              <w:rPr>
                <w:lang w:val="en-US"/>
              </w:rPr>
              <w:t>MDGs.</w:t>
            </w:r>
          </w:p>
          <w:p w:rsidR="00797032" w:rsidRPr="00797032" w:rsidRDefault="00797032" w:rsidP="00EE4AFE">
            <w:pPr>
              <w:pStyle w:val="BoxText"/>
              <w:rPr>
                <w:lang w:val="en-US"/>
              </w:rPr>
            </w:pPr>
            <w:r w:rsidRPr="00797032">
              <w:rPr>
                <w:lang w:val="en-US"/>
              </w:rPr>
              <w:t>Subject to performance against these objectives Australia will provide additional funding on an incentive basis, to be agreed annually with the Vanuatu</w:t>
            </w:r>
            <w:r w:rsidR="007169CB">
              <w:rPr>
                <w:lang w:val="en-US"/>
              </w:rPr>
              <w:t xml:space="preserve"> G</w:t>
            </w:r>
            <w:r w:rsidRPr="00797032">
              <w:rPr>
                <w:lang w:val="en-US"/>
              </w:rPr>
              <w:t>overnment.</w:t>
            </w:r>
          </w:p>
          <w:p w:rsidR="00797032" w:rsidRPr="00B8453B" w:rsidRDefault="00797032" w:rsidP="00AD5CC1">
            <w:pPr>
              <w:pStyle w:val="H4A"/>
            </w:pPr>
            <w:r w:rsidRPr="00B8453B">
              <w:t xml:space="preserve">Target </w:t>
            </w:r>
            <w:r w:rsidR="00001336" w:rsidRPr="00B8453B">
              <w:t>r</w:t>
            </w:r>
            <w:r w:rsidR="001A42F6" w:rsidRPr="00B8453B">
              <w:t>e</w:t>
            </w:r>
            <w:r w:rsidRPr="00B8453B">
              <w:t>sults</w:t>
            </w:r>
          </w:p>
          <w:p w:rsidR="00797032" w:rsidRPr="00797032" w:rsidRDefault="004008B3" w:rsidP="00A63C82">
            <w:pPr>
              <w:pStyle w:val="BoxListBullet"/>
              <w:spacing w:before="6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797032" w:rsidRPr="00797032">
              <w:rPr>
                <w:lang w:val="en-US"/>
              </w:rPr>
              <w:t>mproved P</w:t>
            </w:r>
            <w:r w:rsidR="001A42F6">
              <w:rPr>
                <w:lang w:val="en-US"/>
              </w:rPr>
              <w:t>EFA</w:t>
            </w:r>
            <w:r w:rsidR="00797032" w:rsidRPr="00797032">
              <w:rPr>
                <w:lang w:val="en-US"/>
              </w:rPr>
              <w:t xml:space="preserve"> scores on:</w:t>
            </w:r>
          </w:p>
          <w:p w:rsidR="00797032" w:rsidRPr="00797032" w:rsidRDefault="00797032" w:rsidP="00EE4AFE">
            <w:pPr>
              <w:pStyle w:val="BoxListBullet2"/>
              <w:rPr>
                <w:lang w:val="en-US"/>
              </w:rPr>
            </w:pPr>
            <w:r w:rsidRPr="00797032">
              <w:rPr>
                <w:lang w:val="en-US"/>
              </w:rPr>
              <w:t>Government of Vanuatu resources received by service delivery units</w:t>
            </w:r>
          </w:p>
          <w:p w:rsidR="00797032" w:rsidRPr="00797032" w:rsidRDefault="00EF07A1" w:rsidP="00EE4AFE">
            <w:pPr>
              <w:pStyle w:val="BoxListBullet2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97032" w:rsidRPr="00797032">
              <w:rPr>
                <w:lang w:val="en-US"/>
              </w:rPr>
              <w:t>roportion of aid provided by donors managed through Vanuatu systems</w:t>
            </w:r>
          </w:p>
          <w:p w:rsidR="00797032" w:rsidRPr="00797032" w:rsidRDefault="00EF07A1" w:rsidP="00EE4AFE">
            <w:pPr>
              <w:pStyle w:val="BoxListBullet2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797032" w:rsidRPr="00797032">
              <w:rPr>
                <w:lang w:val="en-US"/>
              </w:rPr>
              <w:t>omprehensiveness and transparency of public financial management</w:t>
            </w:r>
            <w:r w:rsidR="007169CB">
              <w:rPr>
                <w:lang w:val="en-US"/>
              </w:rPr>
              <w:t>,</w:t>
            </w:r>
            <w:r w:rsidR="00797032" w:rsidRPr="00797032">
              <w:rPr>
                <w:lang w:val="en-US"/>
              </w:rPr>
              <w:t xml:space="preserve"> including oversight </w:t>
            </w:r>
            <w:r w:rsidR="005F094E">
              <w:rPr>
                <w:lang w:val="en-US"/>
              </w:rPr>
              <w:br/>
            </w:r>
            <w:r w:rsidR="00797032" w:rsidRPr="00797032">
              <w:rPr>
                <w:lang w:val="en-US"/>
              </w:rPr>
              <w:t>of fiscal risk from G</w:t>
            </w:r>
            <w:r w:rsidR="00D95D8F">
              <w:rPr>
                <w:lang w:val="en-US"/>
              </w:rPr>
              <w:t>overnment Business Enterprises</w:t>
            </w:r>
          </w:p>
          <w:p w:rsidR="00797032" w:rsidRPr="00797032" w:rsidRDefault="00EF07A1" w:rsidP="00EE4AFE">
            <w:pPr>
              <w:pStyle w:val="BoxListBullet2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797032" w:rsidRPr="00797032">
              <w:rPr>
                <w:lang w:val="en-US"/>
              </w:rPr>
              <w:t>xternal scrutiny and audit</w:t>
            </w:r>
          </w:p>
          <w:p w:rsidR="00797032" w:rsidRPr="00797032" w:rsidRDefault="004008B3" w:rsidP="00EE4AFE">
            <w:pPr>
              <w:pStyle w:val="BoxListBullet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797032" w:rsidRPr="00797032">
              <w:rPr>
                <w:lang w:val="en-US"/>
              </w:rPr>
              <w:t>iscal risks strategy in place for the 2010</w:t>
            </w:r>
            <w:r w:rsidR="00D32C8B">
              <w:rPr>
                <w:lang w:val="en-US"/>
              </w:rPr>
              <w:t> B</w:t>
            </w:r>
            <w:r w:rsidR="00797032" w:rsidRPr="00797032">
              <w:rPr>
                <w:lang w:val="en-US"/>
              </w:rPr>
              <w:t>udget and updated annually</w:t>
            </w:r>
          </w:p>
          <w:p w:rsidR="00797032" w:rsidRPr="00797032" w:rsidRDefault="00797032" w:rsidP="00EE4AFE">
            <w:pPr>
              <w:pStyle w:val="BoxListBullet"/>
              <w:rPr>
                <w:lang w:val="en-US"/>
              </w:rPr>
            </w:pPr>
            <w:r w:rsidRPr="00797032">
              <w:rPr>
                <w:lang w:val="en-US"/>
              </w:rPr>
              <w:t>Vanuatu’s Population Census, Household Income and Expenditure Survey and national accounts completed as scheduled and published</w:t>
            </w:r>
            <w:r w:rsidR="00EF07A1">
              <w:rPr>
                <w:lang w:val="en-US"/>
              </w:rPr>
              <w:t>.</w:t>
            </w:r>
          </w:p>
        </w:tc>
      </w:tr>
    </w:tbl>
    <w:p w:rsidR="00797032" w:rsidRPr="00797032" w:rsidRDefault="00797032" w:rsidP="00A63C82">
      <w:pPr>
        <w:pStyle w:val="BodyText"/>
      </w:pPr>
      <w:r w:rsidRPr="00797032">
        <w:t xml:space="preserve">The economic governance component of the </w:t>
      </w:r>
      <w:r w:rsidR="00EF07A1">
        <w:t>p</w:t>
      </w:r>
      <w:r w:rsidRPr="00797032">
        <w:t xml:space="preserve">artnership is implemented through the </w:t>
      </w:r>
      <w:r w:rsidR="00001336" w:rsidRPr="00CC784D">
        <w:t>Governance for Growth</w:t>
      </w:r>
      <w:r w:rsidR="00001336">
        <w:t xml:space="preserve"> </w:t>
      </w:r>
      <w:r w:rsidRPr="00797032">
        <w:t xml:space="preserve">program, with </w:t>
      </w:r>
      <w:r w:rsidR="00814127">
        <w:t>M</w:t>
      </w:r>
      <w:r w:rsidRPr="00797032">
        <w:t>FEM as</w:t>
      </w:r>
      <w:r w:rsidR="007169CB">
        <w:t xml:space="preserve"> the</w:t>
      </w:r>
      <w:r w:rsidRPr="00797032">
        <w:t xml:space="preserve"> lead agency</w:t>
      </w:r>
      <w:r w:rsidR="00EE07F3">
        <w:t xml:space="preserve">. </w:t>
      </w:r>
    </w:p>
    <w:p w:rsidR="00797032" w:rsidRPr="00A63C82" w:rsidRDefault="00797032" w:rsidP="00A63C82">
      <w:pPr>
        <w:pStyle w:val="Heading3"/>
      </w:pPr>
      <w:bookmarkStart w:id="18" w:name="_Toc360711492"/>
      <w:r w:rsidRPr="00A63C82">
        <w:t xml:space="preserve">Assessment of </w:t>
      </w:r>
      <w:r w:rsidR="001A42F6" w:rsidRPr="00A63C82">
        <w:t>r</w:t>
      </w:r>
      <w:r w:rsidRPr="00A63C82">
        <w:t xml:space="preserve">esults and </w:t>
      </w:r>
      <w:r w:rsidR="001A42F6" w:rsidRPr="00A63C82">
        <w:t>p</w:t>
      </w:r>
      <w:r w:rsidRPr="00A63C82">
        <w:t>erformance</w:t>
      </w:r>
      <w:bookmarkEnd w:id="18"/>
    </w:p>
    <w:p w:rsidR="00797032" w:rsidRPr="00797032" w:rsidRDefault="00797032" w:rsidP="00A63C82">
      <w:pPr>
        <w:pStyle w:val="BodyText"/>
      </w:pPr>
      <w:r w:rsidRPr="00797032">
        <w:t>Vanuatu has continued its strong track record in economi</w:t>
      </w:r>
      <w:r w:rsidR="00082F75">
        <w:t>c governance</w:t>
      </w:r>
      <w:r w:rsidR="00EE07F3">
        <w:t xml:space="preserve">. </w:t>
      </w:r>
      <w:r w:rsidRPr="00797032">
        <w:t xml:space="preserve">The </w:t>
      </w:r>
      <w:r w:rsidR="00082F75">
        <w:t>E</w:t>
      </w:r>
      <w:r w:rsidR="007169CB">
        <w:t>uropean</w:t>
      </w:r>
      <w:r w:rsidR="00106CDF">
        <w:t> </w:t>
      </w:r>
      <w:r w:rsidR="000F5A74">
        <w:t>Union</w:t>
      </w:r>
      <w:r w:rsidR="00616254">
        <w:t xml:space="preserve"> (EU)</w:t>
      </w:r>
      <w:r w:rsidR="00082F75">
        <w:t xml:space="preserve">-funded </w:t>
      </w:r>
      <w:r w:rsidRPr="00797032">
        <w:t>P</w:t>
      </w:r>
      <w:r w:rsidR="00082F75">
        <w:t>EFA assessment</w:t>
      </w:r>
      <w:r w:rsidRPr="00797032">
        <w:t xml:space="preserve"> noted that Vanuatu is maintaining its strengths in </w:t>
      </w:r>
      <w:r w:rsidRPr="008B47D9">
        <w:rPr>
          <w:b/>
        </w:rPr>
        <w:t>budget</w:t>
      </w:r>
      <w:r w:rsidR="00106CDF">
        <w:rPr>
          <w:b/>
        </w:rPr>
        <w:t> </w:t>
      </w:r>
      <w:r w:rsidRPr="008B47D9">
        <w:rPr>
          <w:b/>
        </w:rPr>
        <w:t xml:space="preserve">processes and reporting systems </w:t>
      </w:r>
      <w:r w:rsidRPr="00797032">
        <w:t>and is progressing in other areas</w:t>
      </w:r>
      <w:r w:rsidR="00EE07F3">
        <w:t xml:space="preserve">. </w:t>
      </w:r>
      <w:r w:rsidRPr="00797032">
        <w:t xml:space="preserve">Vanuatu </w:t>
      </w:r>
      <w:r w:rsidR="00106CDF">
        <w:br/>
      </w:r>
      <w:r w:rsidRPr="00797032">
        <w:t>has improved on 15 of the 31</w:t>
      </w:r>
      <w:r w:rsidR="00106CDF">
        <w:t> </w:t>
      </w:r>
      <w:r w:rsidRPr="00797032">
        <w:t>PEFA indicators, although it slipped backwards against two. The</w:t>
      </w:r>
      <w:r w:rsidR="000F5A74">
        <w:t> </w:t>
      </w:r>
      <w:r w:rsidRPr="00797032">
        <w:t>I</w:t>
      </w:r>
      <w:r w:rsidR="00082F75">
        <w:t xml:space="preserve">nternational </w:t>
      </w:r>
      <w:r w:rsidRPr="00797032">
        <w:t>M</w:t>
      </w:r>
      <w:r w:rsidR="00082F75">
        <w:t xml:space="preserve">onetary </w:t>
      </w:r>
      <w:r w:rsidRPr="00797032">
        <w:t>F</w:t>
      </w:r>
      <w:r w:rsidR="00082F75">
        <w:t>und Article</w:t>
      </w:r>
      <w:r w:rsidR="00106CDF">
        <w:t> </w:t>
      </w:r>
      <w:r w:rsidR="00082F75">
        <w:t>IV consultations</w:t>
      </w:r>
      <w:r w:rsidRPr="00797032">
        <w:t xml:space="preserve"> commended Vanuatu’s strong economic performance and progress on structural reforms, but noted that further reform is</w:t>
      </w:r>
      <w:r w:rsidR="00106CDF">
        <w:t> </w:t>
      </w:r>
      <w:r w:rsidRPr="00797032">
        <w:t>needed.</w:t>
      </w:r>
    </w:p>
    <w:p w:rsidR="00797032" w:rsidRPr="00797032" w:rsidRDefault="00797032" w:rsidP="00A63C82">
      <w:pPr>
        <w:pStyle w:val="BodyText"/>
      </w:pPr>
      <w:bookmarkStart w:id="19" w:name="OLE_LINK1"/>
      <w:bookmarkStart w:id="20" w:name="OLE_LINK2"/>
      <w:r w:rsidRPr="00797032">
        <w:t>The poor flow of funding to service providers, such as schools and health centres</w:t>
      </w:r>
      <w:r w:rsidR="00082F75">
        <w:t>,</w:t>
      </w:r>
      <w:r w:rsidRPr="00797032">
        <w:t xml:space="preserve"> is a bottleneck to service delivery</w:t>
      </w:r>
      <w:r w:rsidR="00EE07F3">
        <w:t xml:space="preserve">. </w:t>
      </w:r>
      <w:r w:rsidRPr="00797032">
        <w:t xml:space="preserve">With AusAID support, MFEM is opening </w:t>
      </w:r>
      <w:r w:rsidRPr="008B47D9">
        <w:rPr>
          <w:b/>
        </w:rPr>
        <w:t>provincial Financial Service Bureaus</w:t>
      </w:r>
      <w:r w:rsidR="00734825">
        <w:t>, starting off in Santo in 2009,</w:t>
      </w:r>
      <w:r w:rsidRPr="00797032">
        <w:t xml:space="preserve"> to improve the flow of finances </w:t>
      </w:r>
      <w:r w:rsidRPr="00797032">
        <w:lastRenderedPageBreak/>
        <w:t>by making Department of Finance syste</w:t>
      </w:r>
      <w:r w:rsidR="00C43D78">
        <w:t>ms available in the provinces</w:t>
      </w:r>
      <w:r w:rsidR="00EE07F3">
        <w:t xml:space="preserve">. </w:t>
      </w:r>
      <w:r w:rsidRPr="00797032">
        <w:t xml:space="preserve">A review of operations </w:t>
      </w:r>
      <w:r w:rsidR="00734825">
        <w:t xml:space="preserve">in Santo </w:t>
      </w:r>
      <w:r w:rsidRPr="00797032">
        <w:t>found that the office is well</w:t>
      </w:r>
      <w:r w:rsidR="00C20A78">
        <w:t xml:space="preserve"> </w:t>
      </w:r>
      <w:r w:rsidRPr="00797032">
        <w:t>accepted and</w:t>
      </w:r>
      <w:r w:rsidR="00E9733C">
        <w:t xml:space="preserve"> </w:t>
      </w:r>
      <w:r w:rsidR="00734825">
        <w:t xml:space="preserve">a </w:t>
      </w:r>
      <w:r w:rsidRPr="00797032">
        <w:t>valuable resource</w:t>
      </w:r>
      <w:r w:rsidR="00EE07F3">
        <w:t xml:space="preserve">. </w:t>
      </w:r>
    </w:p>
    <w:bookmarkEnd w:id="19"/>
    <w:bookmarkEnd w:id="20"/>
    <w:p w:rsidR="00797032" w:rsidRPr="00797032" w:rsidRDefault="00797032" w:rsidP="00A63C82">
      <w:pPr>
        <w:pStyle w:val="BodyText"/>
      </w:pPr>
      <w:r w:rsidRPr="00797032">
        <w:t xml:space="preserve">In 2009 the </w:t>
      </w:r>
      <w:r w:rsidR="00C20A78">
        <w:t>G</w:t>
      </w:r>
      <w:r w:rsidRPr="00797032">
        <w:t>overnment</w:t>
      </w:r>
      <w:r w:rsidR="00C20A78">
        <w:t xml:space="preserve"> of Vanuatu</w:t>
      </w:r>
      <w:r w:rsidRPr="00797032">
        <w:t xml:space="preserve"> took the landmark decision to phase out primary school fees under its Universal Primary Education policy</w:t>
      </w:r>
      <w:r w:rsidR="00EE07F3">
        <w:t xml:space="preserve">. </w:t>
      </w:r>
      <w:r w:rsidRPr="00797032">
        <w:t>With AusAID support, a centrally-controlled system of bank accounts has been established across more than 400</w:t>
      </w:r>
      <w:r w:rsidR="006C426E">
        <w:t> </w:t>
      </w:r>
      <w:r w:rsidRPr="00797032">
        <w:t xml:space="preserve">government primary schools, allowing resources </w:t>
      </w:r>
      <w:r w:rsidR="000F5A74">
        <w:t xml:space="preserve">(replacing fees) </w:t>
      </w:r>
      <w:r w:rsidRPr="00797032">
        <w:t>to be channelled directly to schools</w:t>
      </w:r>
      <w:r w:rsidR="00EE07F3">
        <w:t xml:space="preserve">. </w:t>
      </w:r>
    </w:p>
    <w:p w:rsidR="00797032" w:rsidRPr="00797032" w:rsidRDefault="00797032" w:rsidP="00A63C82">
      <w:pPr>
        <w:pStyle w:val="BodyText"/>
      </w:pPr>
      <w:r w:rsidRPr="00797032">
        <w:t>In 2009</w:t>
      </w:r>
      <w:r w:rsidR="00106CDF">
        <w:t>,</w:t>
      </w:r>
      <w:r w:rsidRPr="00797032">
        <w:t xml:space="preserve"> Vanuatu, with AusAID support, produced </w:t>
      </w:r>
      <w:r w:rsidR="000F5A74">
        <w:t>its</w:t>
      </w:r>
      <w:r w:rsidR="000F5A74" w:rsidRPr="00797032">
        <w:t xml:space="preserve"> </w:t>
      </w:r>
      <w:r w:rsidRPr="00797032">
        <w:t>first integrated national budget</w:t>
      </w:r>
      <w:r w:rsidR="00EE07F3">
        <w:t xml:space="preserve">. </w:t>
      </w:r>
      <w:r w:rsidRPr="00797032">
        <w:t>This is a major step forward, bringing donor funds ‘on-budget’, improving the alignment of government and donor resources, and allowing the government to consider the total resource envelope available to meet its priorities</w:t>
      </w:r>
      <w:r w:rsidR="00EE07F3">
        <w:t xml:space="preserve">. </w:t>
      </w:r>
    </w:p>
    <w:p w:rsidR="006C426E" w:rsidRDefault="0087645F" w:rsidP="00A63C82">
      <w:pPr>
        <w:pStyle w:val="BodyText"/>
      </w:pPr>
      <w:r>
        <w:t>T</w:t>
      </w:r>
      <w:r w:rsidR="00797032" w:rsidRPr="00797032">
        <w:t xml:space="preserve">he </w:t>
      </w:r>
      <w:r w:rsidR="00797032" w:rsidRPr="008B47D9">
        <w:rPr>
          <w:i/>
        </w:rPr>
        <w:t xml:space="preserve">Public Finance and Economic Management </w:t>
      </w:r>
      <w:r w:rsidR="008B47D9" w:rsidRPr="008B47D9">
        <w:rPr>
          <w:i/>
        </w:rPr>
        <w:t xml:space="preserve">(Amendment) </w:t>
      </w:r>
      <w:r w:rsidR="00797032" w:rsidRPr="008B47D9">
        <w:rPr>
          <w:i/>
        </w:rPr>
        <w:t>Act</w:t>
      </w:r>
      <w:r w:rsidR="00797032" w:rsidRPr="00797032">
        <w:t xml:space="preserve"> </w:t>
      </w:r>
      <w:r w:rsidR="008B47D9">
        <w:t xml:space="preserve">of 2009 </w:t>
      </w:r>
      <w:r w:rsidR="00797032" w:rsidRPr="00797032">
        <w:t xml:space="preserve">and </w:t>
      </w:r>
      <w:r w:rsidR="000F5A74">
        <w:t>f</w:t>
      </w:r>
      <w:r w:rsidR="00797032" w:rsidRPr="00797032">
        <w:t xml:space="preserve">inancial </w:t>
      </w:r>
      <w:r w:rsidR="000F5A74">
        <w:t>r</w:t>
      </w:r>
      <w:r w:rsidR="00797032" w:rsidRPr="00797032">
        <w:t xml:space="preserve">egulations were amended to </w:t>
      </w:r>
      <w:r w:rsidRPr="008B47D9">
        <w:rPr>
          <w:b/>
        </w:rPr>
        <w:t>strengthen transparency and accountability</w:t>
      </w:r>
      <w:r w:rsidR="00EE07F3">
        <w:t xml:space="preserve">. </w:t>
      </w:r>
      <w:r w:rsidR="00106CDF">
        <w:br/>
      </w:r>
      <w:r w:rsidR="00797032" w:rsidRPr="00797032">
        <w:t xml:space="preserve">These amendments, developed with AusAID advice, helped tighten up controls in three </w:t>
      </w:r>
      <w:r w:rsidR="00106CDF">
        <w:br/>
      </w:r>
      <w:r w:rsidR="00797032" w:rsidRPr="00797032">
        <w:t>critical</w:t>
      </w:r>
      <w:r w:rsidR="00106CDF">
        <w:t> </w:t>
      </w:r>
      <w:r w:rsidR="00797032" w:rsidRPr="00797032">
        <w:t xml:space="preserve">areas: </w:t>
      </w:r>
    </w:p>
    <w:p w:rsidR="006C426E" w:rsidRDefault="00797032" w:rsidP="00A63C82">
      <w:pPr>
        <w:pStyle w:val="ListNumber"/>
      </w:pPr>
      <w:r w:rsidRPr="00797032">
        <w:t>removal of the Minister of Finance’s discretion to spend public money without an</w:t>
      </w:r>
      <w:r w:rsidR="00106CDF">
        <w:t> </w:t>
      </w:r>
      <w:r w:rsidRPr="00797032">
        <w:t>appropriation</w:t>
      </w:r>
    </w:p>
    <w:p w:rsidR="006C426E" w:rsidRDefault="00797032" w:rsidP="00A63C82">
      <w:pPr>
        <w:pStyle w:val="ListNumber"/>
      </w:pPr>
      <w:r w:rsidRPr="00797032">
        <w:t xml:space="preserve">removal of </w:t>
      </w:r>
      <w:r w:rsidR="00C20A78">
        <w:t>m</w:t>
      </w:r>
      <w:r w:rsidRPr="00797032">
        <w:t>inisters’ ability to transfer funds from the ministry to their own ministerial</w:t>
      </w:r>
      <w:r w:rsidR="000F5A74">
        <w:t> </w:t>
      </w:r>
      <w:r w:rsidRPr="00797032">
        <w:t>offices</w:t>
      </w:r>
    </w:p>
    <w:p w:rsidR="00797032" w:rsidRPr="00797032" w:rsidRDefault="00797032" w:rsidP="00A63C82">
      <w:pPr>
        <w:pStyle w:val="ListNumber"/>
      </w:pPr>
      <w:proofErr w:type="gramStart"/>
      <w:r w:rsidRPr="00797032">
        <w:t>implementation</w:t>
      </w:r>
      <w:proofErr w:type="gramEnd"/>
      <w:r w:rsidRPr="00797032">
        <w:t xml:space="preserve"> of a formal, orderly mid-year review of estimates to replace the continuous stream of ad</w:t>
      </w:r>
      <w:r w:rsidR="00C20A78">
        <w:t xml:space="preserve"> </w:t>
      </w:r>
      <w:r w:rsidRPr="00797032">
        <w:t>hoc requests for budget transfers and ‘supplementary appropriations’</w:t>
      </w:r>
      <w:r w:rsidR="00EE07F3">
        <w:t xml:space="preserve">. </w:t>
      </w:r>
    </w:p>
    <w:p w:rsidR="00797032" w:rsidRPr="00797032" w:rsidRDefault="00797032" w:rsidP="00A63C82">
      <w:pPr>
        <w:pStyle w:val="BodyText"/>
      </w:pPr>
      <w:r w:rsidRPr="00797032">
        <w:t xml:space="preserve">The </w:t>
      </w:r>
      <w:r w:rsidR="00C42FA3">
        <w:t>Vanuatu G</w:t>
      </w:r>
      <w:r w:rsidRPr="00797032">
        <w:t>overnment’s ex</w:t>
      </w:r>
      <w:r w:rsidR="00C43D78">
        <w:t xml:space="preserve">posure to debts incurred by </w:t>
      </w:r>
      <w:r w:rsidR="0087645F" w:rsidRPr="008B47D9">
        <w:t>Government Business Enterprises</w:t>
      </w:r>
      <w:r w:rsidR="0087645F">
        <w:t xml:space="preserve">, especially </w:t>
      </w:r>
      <w:r w:rsidRPr="00797032">
        <w:t>Air Vanuatu and the Vanuatu Commodities Marketing Board</w:t>
      </w:r>
      <w:r w:rsidR="00050F0C">
        <w:t xml:space="preserve"> </w:t>
      </w:r>
      <w:r w:rsidRPr="00797032">
        <w:t>represent</w:t>
      </w:r>
      <w:r w:rsidR="00082F75">
        <w:t xml:space="preserve">s </w:t>
      </w:r>
      <w:r w:rsidRPr="00797032">
        <w:t xml:space="preserve">major areas of </w:t>
      </w:r>
      <w:r w:rsidR="00082F75">
        <w:t xml:space="preserve">fiscal </w:t>
      </w:r>
      <w:r w:rsidRPr="00797032">
        <w:t>risk</w:t>
      </w:r>
      <w:r w:rsidR="00EE07F3">
        <w:t xml:space="preserve">. </w:t>
      </w:r>
      <w:r w:rsidRPr="00797032">
        <w:t xml:space="preserve">A planned part-sale of government shares in </w:t>
      </w:r>
      <w:r w:rsidRPr="009E6EBE">
        <w:t>Air Vanuatu</w:t>
      </w:r>
      <w:r w:rsidRPr="00797032">
        <w:t xml:space="preserve"> did not </w:t>
      </w:r>
      <w:r w:rsidR="00082F75">
        <w:t>proceed</w:t>
      </w:r>
      <w:r w:rsidRPr="00797032">
        <w:t xml:space="preserve"> when a potential </w:t>
      </w:r>
      <w:r w:rsidR="000603C8">
        <w:t>buyer could not be found</w:t>
      </w:r>
      <w:r w:rsidR="00EE07F3">
        <w:t xml:space="preserve">. </w:t>
      </w:r>
      <w:r w:rsidRPr="00797032">
        <w:t>Subsequently, AusAID has supported the development of options for reforming Air</w:t>
      </w:r>
      <w:r w:rsidR="00C23D6D">
        <w:t> </w:t>
      </w:r>
      <w:r w:rsidRPr="00797032">
        <w:t xml:space="preserve">Vanuatu as a fully government-owned entity for consideration by the </w:t>
      </w:r>
      <w:r w:rsidR="00C43D78">
        <w:t>b</w:t>
      </w:r>
      <w:r w:rsidRPr="00797032">
        <w:t xml:space="preserve">oard and </w:t>
      </w:r>
      <w:r w:rsidR="00C43D78">
        <w:t>s</w:t>
      </w:r>
      <w:r w:rsidRPr="00797032">
        <w:t>hareholders</w:t>
      </w:r>
      <w:r w:rsidR="00EE07F3">
        <w:t xml:space="preserve">. </w:t>
      </w:r>
      <w:r w:rsidRPr="00797032">
        <w:t xml:space="preserve">A draft repeal Act for the </w:t>
      </w:r>
      <w:r w:rsidR="008B47D9">
        <w:t>board</w:t>
      </w:r>
      <w:r w:rsidRPr="00797032">
        <w:t xml:space="preserve"> has been prepared for consideration by Parliament</w:t>
      </w:r>
      <w:r w:rsidR="000F5A74">
        <w:t>. I</w:t>
      </w:r>
      <w:r w:rsidRPr="00797032">
        <w:t xml:space="preserve">f passed, </w:t>
      </w:r>
      <w:r w:rsidR="000F5A74">
        <w:t xml:space="preserve">this </w:t>
      </w:r>
      <w:r w:rsidRPr="00797032">
        <w:t xml:space="preserve">will </w:t>
      </w:r>
      <w:r w:rsidR="0087645F">
        <w:t>enable</w:t>
      </w:r>
      <w:r w:rsidRPr="00797032">
        <w:t xml:space="preserve"> assistance </w:t>
      </w:r>
      <w:r w:rsidR="000603C8">
        <w:t>to</w:t>
      </w:r>
      <w:r w:rsidRPr="00797032">
        <w:t xml:space="preserve"> engage a liquidator </w:t>
      </w:r>
      <w:r w:rsidR="0087645F">
        <w:t>and</w:t>
      </w:r>
      <w:r w:rsidRPr="00797032">
        <w:t xml:space="preserve"> consider future institutional arrangements and investment needs for the sector.</w:t>
      </w:r>
    </w:p>
    <w:p w:rsidR="00797032" w:rsidRPr="00797032" w:rsidRDefault="00797032" w:rsidP="00A63C82">
      <w:pPr>
        <w:pStyle w:val="BodyText"/>
      </w:pPr>
      <w:r w:rsidRPr="00797032">
        <w:t xml:space="preserve">In 2010 AusAID </w:t>
      </w:r>
      <w:r w:rsidR="00C20A78">
        <w:t>helped</w:t>
      </w:r>
      <w:r w:rsidR="00C20A78" w:rsidRPr="00797032">
        <w:t xml:space="preserve"> </w:t>
      </w:r>
      <w:r w:rsidRPr="00797032">
        <w:t>Vanuatu complete the 2009 Census</w:t>
      </w:r>
      <w:r w:rsidR="00C20A78">
        <w:t xml:space="preserve">. </w:t>
      </w:r>
      <w:r w:rsidR="008B47D9">
        <w:t xml:space="preserve">From mid-2010, </w:t>
      </w:r>
      <w:r w:rsidR="00C20A78">
        <w:t xml:space="preserve">results </w:t>
      </w:r>
      <w:r w:rsidR="008B47D9">
        <w:t xml:space="preserve">have </w:t>
      </w:r>
      <w:r w:rsidR="00C30487">
        <w:t>become available</w:t>
      </w:r>
      <w:r w:rsidRPr="00797032">
        <w:t xml:space="preserve"> </w:t>
      </w:r>
      <w:r w:rsidR="008B47D9">
        <w:t xml:space="preserve">and </w:t>
      </w:r>
      <w:r w:rsidRPr="00797032">
        <w:t>will provide valuable information on Vanuatu’s progress to achieve the</w:t>
      </w:r>
      <w:r w:rsidR="00050F0C">
        <w:t> </w:t>
      </w:r>
      <w:r w:rsidRPr="00797032">
        <w:t xml:space="preserve">MDGs. </w:t>
      </w:r>
    </w:p>
    <w:p w:rsidR="00797032" w:rsidRPr="00797032" w:rsidRDefault="00C43D78" w:rsidP="00A63C82">
      <w:pPr>
        <w:pStyle w:val="Heading3"/>
      </w:pPr>
      <w:bookmarkStart w:id="21" w:name="_Toc360711493"/>
      <w:r>
        <w:t>Pr</w:t>
      </w:r>
      <w:r w:rsidR="00797032" w:rsidRPr="00797032">
        <w:t>iorities</w:t>
      </w:r>
      <w:r>
        <w:t xml:space="preserve"> for</w:t>
      </w:r>
      <w:r w:rsidR="00797032" w:rsidRPr="00797032">
        <w:t xml:space="preserve"> 2010</w:t>
      </w:r>
      <w:r w:rsidR="00C23D6D">
        <w:t>–</w:t>
      </w:r>
      <w:r w:rsidR="00797032" w:rsidRPr="00797032">
        <w:t>11</w:t>
      </w:r>
      <w:bookmarkEnd w:id="21"/>
    </w:p>
    <w:p w:rsidR="00797032" w:rsidRPr="00797032" w:rsidRDefault="00797032" w:rsidP="00B83DA2">
      <w:pPr>
        <w:pStyle w:val="ListBullet"/>
        <w:spacing w:before="160"/>
      </w:pPr>
      <w:r w:rsidRPr="00797032">
        <w:t>Improved revenue policy analysis</w:t>
      </w:r>
      <w:r w:rsidR="00D75BCB">
        <w:t>,</w:t>
      </w:r>
      <w:r w:rsidRPr="00797032">
        <w:t xml:space="preserve"> revenue forecasting and strengthen</w:t>
      </w:r>
      <w:r w:rsidR="000F5A74">
        <w:t>ed</w:t>
      </w:r>
      <w:r w:rsidRPr="00797032">
        <w:t xml:space="preserve"> forward expenditure estimates in the annual Budget papers</w:t>
      </w:r>
      <w:r w:rsidR="00C23D6D">
        <w:t>.</w:t>
      </w:r>
    </w:p>
    <w:p w:rsidR="00797032" w:rsidRPr="008B67DF" w:rsidRDefault="00797032" w:rsidP="00EE4AFE">
      <w:pPr>
        <w:pStyle w:val="ListBullet"/>
      </w:pPr>
      <w:r w:rsidRPr="008B67DF">
        <w:t xml:space="preserve">Continued roll out of </w:t>
      </w:r>
      <w:r w:rsidR="00D32C8B" w:rsidRPr="008B67DF">
        <w:t xml:space="preserve">Financial Service Bureaus </w:t>
      </w:r>
      <w:r w:rsidR="0087645F" w:rsidRPr="008B67DF">
        <w:t xml:space="preserve">to </w:t>
      </w:r>
      <w:proofErr w:type="spellStart"/>
      <w:r w:rsidR="0087645F" w:rsidRPr="008B67DF">
        <w:t>Malekula</w:t>
      </w:r>
      <w:proofErr w:type="spellEnd"/>
      <w:r w:rsidR="0087645F" w:rsidRPr="008B67DF">
        <w:t xml:space="preserve"> and </w:t>
      </w:r>
      <w:proofErr w:type="spellStart"/>
      <w:r w:rsidR="0087645F" w:rsidRPr="008B67DF">
        <w:t>Tanna</w:t>
      </w:r>
      <w:proofErr w:type="spellEnd"/>
      <w:r w:rsidR="00C23D6D" w:rsidRPr="008B67DF">
        <w:t>.</w:t>
      </w:r>
    </w:p>
    <w:p w:rsidR="00797032" w:rsidRPr="008B67DF" w:rsidRDefault="00797032" w:rsidP="00EE4AFE">
      <w:pPr>
        <w:pStyle w:val="ListBullet"/>
        <w:rPr>
          <w:lang w:val="en-US"/>
        </w:rPr>
      </w:pPr>
      <w:r w:rsidRPr="008B67DF">
        <w:t>Assistance to implement the recommendations of the procurement review</w:t>
      </w:r>
      <w:r w:rsidR="00C23D6D" w:rsidRPr="008B67DF">
        <w:t>.</w:t>
      </w:r>
    </w:p>
    <w:p w:rsidR="00797032" w:rsidRPr="008B67DF" w:rsidRDefault="00797032" w:rsidP="00EE4AFE">
      <w:pPr>
        <w:pStyle w:val="ListBullet"/>
      </w:pPr>
      <w:r w:rsidRPr="008B67DF">
        <w:rPr>
          <w:lang w:val="en-US"/>
        </w:rPr>
        <w:t xml:space="preserve">Strengthened governance regime for </w:t>
      </w:r>
      <w:r w:rsidR="0087645F" w:rsidRPr="008B67DF">
        <w:rPr>
          <w:lang w:val="en-US"/>
        </w:rPr>
        <w:t>G</w:t>
      </w:r>
      <w:r w:rsidR="00050F0C" w:rsidRPr="008B67DF">
        <w:rPr>
          <w:lang w:val="en-US"/>
        </w:rPr>
        <w:t>overnment Business Enterprises</w:t>
      </w:r>
      <w:r w:rsidRPr="008B67DF">
        <w:rPr>
          <w:lang w:val="en-US"/>
        </w:rPr>
        <w:t xml:space="preserve"> to identify, monitor and repor</w:t>
      </w:r>
      <w:r w:rsidR="0087645F" w:rsidRPr="008B67DF">
        <w:rPr>
          <w:lang w:val="en-US"/>
        </w:rPr>
        <w:t>t on government liabilities</w:t>
      </w:r>
      <w:r w:rsidR="00C23D6D" w:rsidRPr="008B67DF">
        <w:rPr>
          <w:lang w:val="en-US"/>
        </w:rPr>
        <w:t>.</w:t>
      </w:r>
    </w:p>
    <w:p w:rsidR="00797032" w:rsidRPr="008B67DF" w:rsidRDefault="00797032" w:rsidP="00EE4AFE">
      <w:pPr>
        <w:pStyle w:val="ListBullet"/>
      </w:pPr>
      <w:r w:rsidRPr="008B67DF">
        <w:t>Ongoing corporate reforms to ensure financial viability of Air Vanuatu</w:t>
      </w:r>
      <w:r w:rsidR="00C23D6D" w:rsidRPr="008B67DF">
        <w:t>.</w:t>
      </w:r>
    </w:p>
    <w:p w:rsidR="00797032" w:rsidRPr="008B67DF" w:rsidRDefault="00797032" w:rsidP="00EE4AFE">
      <w:pPr>
        <w:pStyle w:val="ListBullet"/>
      </w:pPr>
      <w:r w:rsidRPr="008B67DF">
        <w:t xml:space="preserve">Subject to repeal of the </w:t>
      </w:r>
      <w:r w:rsidRPr="00D75BCB">
        <w:rPr>
          <w:i/>
        </w:rPr>
        <w:t>V</w:t>
      </w:r>
      <w:r w:rsidR="00050F0C" w:rsidRPr="00D75BCB">
        <w:rPr>
          <w:i/>
        </w:rPr>
        <w:t xml:space="preserve">anuatu </w:t>
      </w:r>
      <w:r w:rsidRPr="00D75BCB">
        <w:rPr>
          <w:i/>
        </w:rPr>
        <w:t>C</w:t>
      </w:r>
      <w:r w:rsidR="00050F0C" w:rsidRPr="00D75BCB">
        <w:rPr>
          <w:i/>
        </w:rPr>
        <w:t xml:space="preserve">ommodities </w:t>
      </w:r>
      <w:r w:rsidRPr="00D75BCB">
        <w:rPr>
          <w:i/>
        </w:rPr>
        <w:t>M</w:t>
      </w:r>
      <w:r w:rsidR="00050F0C" w:rsidRPr="00D75BCB">
        <w:rPr>
          <w:i/>
        </w:rPr>
        <w:t xml:space="preserve">arketing </w:t>
      </w:r>
      <w:r w:rsidRPr="00D75BCB">
        <w:rPr>
          <w:i/>
        </w:rPr>
        <w:t>B</w:t>
      </w:r>
      <w:r w:rsidR="00050F0C" w:rsidRPr="00D75BCB">
        <w:rPr>
          <w:i/>
        </w:rPr>
        <w:t>oard</w:t>
      </w:r>
      <w:r w:rsidRPr="00D75BCB">
        <w:rPr>
          <w:i/>
        </w:rPr>
        <w:t xml:space="preserve"> </w:t>
      </w:r>
      <w:r w:rsidR="00D75BCB" w:rsidRPr="00D75BCB">
        <w:rPr>
          <w:i/>
        </w:rPr>
        <w:t xml:space="preserve">(Amendment) </w:t>
      </w:r>
      <w:r w:rsidRPr="00D75BCB">
        <w:rPr>
          <w:i/>
        </w:rPr>
        <w:t>Act</w:t>
      </w:r>
      <w:r w:rsidR="00C42FA3">
        <w:rPr>
          <w:i/>
        </w:rPr>
        <w:t xml:space="preserve"> </w:t>
      </w:r>
      <w:r w:rsidR="00C42FA3">
        <w:t>(2005)</w:t>
      </w:r>
      <w:r w:rsidRPr="008B67DF">
        <w:t>, AusAID will finance a liquidator, and an investment program for the copra secto</w:t>
      </w:r>
      <w:r w:rsidR="0087645F" w:rsidRPr="008B67DF">
        <w:t>r</w:t>
      </w:r>
      <w:r w:rsidR="00616254" w:rsidRPr="008B67DF">
        <w:t>,</w:t>
      </w:r>
      <w:r w:rsidR="0087645F" w:rsidRPr="008B67DF">
        <w:t xml:space="preserve"> funded on an incentives basis</w:t>
      </w:r>
      <w:r w:rsidR="00C23D6D" w:rsidRPr="008B67DF">
        <w:t>.</w:t>
      </w:r>
    </w:p>
    <w:p w:rsidR="00C43D78" w:rsidRPr="00782EE4" w:rsidRDefault="00782EE4" w:rsidP="00EE4AFE">
      <w:pPr>
        <w:pStyle w:val="ListBullet"/>
      </w:pPr>
      <w:r w:rsidRPr="00782EE4">
        <w:lastRenderedPageBreak/>
        <w:t xml:space="preserve">Australia has agreed to consider a proposal to contribute to the cost of a new building </w:t>
      </w:r>
      <w:r w:rsidR="005F094E">
        <w:br/>
      </w:r>
      <w:r w:rsidRPr="00782EE4">
        <w:t xml:space="preserve">for </w:t>
      </w:r>
      <w:r w:rsidR="00C43D78" w:rsidRPr="00782EE4">
        <w:t>MF</w:t>
      </w:r>
      <w:r w:rsidR="000603C8" w:rsidRPr="00782EE4">
        <w:t>E</w:t>
      </w:r>
      <w:r w:rsidR="00C43D78" w:rsidRPr="00782EE4">
        <w:t>M.</w:t>
      </w:r>
    </w:p>
    <w:p w:rsidR="00797032" w:rsidRPr="00A63C82" w:rsidRDefault="001C27CC" w:rsidP="001C27CC">
      <w:pPr>
        <w:pStyle w:val="Caption"/>
      </w:pPr>
      <w:r w:rsidRPr="00A63C82">
        <w:t>Table 5: Estimated expenditure on Priority Outcome 4</w:t>
      </w:r>
      <w:r w:rsidR="00050F0C" w:rsidRPr="00A63C82">
        <w:t>: E</w:t>
      </w:r>
      <w:r w:rsidRPr="00A63C82">
        <w:t xml:space="preserve">conomic </w:t>
      </w:r>
      <w:r w:rsidR="00050F0C" w:rsidRPr="00A63C82">
        <w:t>G</w:t>
      </w:r>
      <w:r w:rsidRPr="00A63C82">
        <w:t>overnance</w:t>
      </w:r>
    </w:p>
    <w:tbl>
      <w:tblPr>
        <w:tblW w:w="7938" w:type="dxa"/>
        <w:tblInd w:w="57" w:type="dxa"/>
        <w:tblBorders>
          <w:top w:val="single" w:sz="12" w:space="0" w:color="auto"/>
          <w:bottom w:val="single" w:sz="1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91"/>
        <w:gridCol w:w="1247"/>
        <w:gridCol w:w="1559"/>
        <w:gridCol w:w="1247"/>
        <w:gridCol w:w="1559"/>
      </w:tblGrid>
      <w:tr w:rsidR="001C27CC" w:rsidRPr="00797032" w:rsidTr="00DE5E08">
        <w:tc>
          <w:tcPr>
            <w:tcW w:w="1134" w:type="dxa"/>
            <w:tcBorders>
              <w:bottom w:val="single" w:sz="2" w:space="0" w:color="auto"/>
            </w:tcBorders>
          </w:tcPr>
          <w:p w:rsidR="00797032" w:rsidRPr="00797032" w:rsidRDefault="00C43D78" w:rsidP="00F73218">
            <w:pPr>
              <w:pStyle w:val="TableDataColumnHeading"/>
              <w:jc w:val="left"/>
            </w:pPr>
            <w:r>
              <w:t>Year</w:t>
            </w:r>
          </w:p>
        </w:tc>
        <w:tc>
          <w:tcPr>
            <w:tcW w:w="1191" w:type="dxa"/>
            <w:tcBorders>
              <w:bottom w:val="single" w:sz="2" w:space="0" w:color="auto"/>
            </w:tcBorders>
          </w:tcPr>
          <w:p w:rsidR="00797032" w:rsidRPr="00797032" w:rsidRDefault="00797032" w:rsidP="00F73218">
            <w:pPr>
              <w:pStyle w:val="TableDataColumnHeading"/>
            </w:pPr>
            <w:r w:rsidRPr="00797032">
              <w:t xml:space="preserve">Estimated Australian </w:t>
            </w:r>
            <w:r w:rsidR="008039A7">
              <w:t>c</w:t>
            </w:r>
            <w:r w:rsidRPr="00797032">
              <w:t>ommitment</w:t>
            </w:r>
            <w:r w:rsidR="00F73218">
              <w:br/>
            </w:r>
            <w:r w:rsidRPr="00797032">
              <w:t>A$ million</w:t>
            </w:r>
          </w:p>
        </w:tc>
        <w:tc>
          <w:tcPr>
            <w:tcW w:w="1247" w:type="dxa"/>
            <w:tcBorders>
              <w:bottom w:val="single" w:sz="2" w:space="0" w:color="auto"/>
            </w:tcBorders>
          </w:tcPr>
          <w:p w:rsidR="00797032" w:rsidRPr="00797032" w:rsidRDefault="00797032" w:rsidP="00F73218">
            <w:pPr>
              <w:pStyle w:val="TableDataColumnHeading"/>
            </w:pPr>
            <w:r w:rsidRPr="00797032">
              <w:t>% of bilateral program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797032" w:rsidRPr="00797032" w:rsidRDefault="00797032" w:rsidP="00F73218">
            <w:pPr>
              <w:pStyle w:val="TableDataColumnHeading"/>
            </w:pPr>
            <w:r w:rsidRPr="00797032">
              <w:t xml:space="preserve">Partner </w:t>
            </w:r>
            <w:r w:rsidR="00050F0C">
              <w:t>g</w:t>
            </w:r>
            <w:r w:rsidRPr="00797032">
              <w:t xml:space="preserve">overnment </w:t>
            </w:r>
            <w:r w:rsidR="008039A7">
              <w:t>c</w:t>
            </w:r>
            <w:r w:rsidRPr="00797032">
              <w:t>ommitment</w:t>
            </w:r>
            <w:r w:rsidR="00F73218">
              <w:br/>
            </w:r>
            <w:r w:rsidRPr="00797032">
              <w:t>(</w:t>
            </w:r>
            <w:r w:rsidR="00FF03B7">
              <w:t>m</w:t>
            </w:r>
            <w:r w:rsidR="001C27CC">
              <w:t>illions of vatu</w:t>
            </w:r>
            <w:r w:rsidRPr="00797032">
              <w:t>)</w:t>
            </w:r>
          </w:p>
        </w:tc>
        <w:tc>
          <w:tcPr>
            <w:tcW w:w="1247" w:type="dxa"/>
            <w:tcBorders>
              <w:bottom w:val="single" w:sz="2" w:space="0" w:color="auto"/>
            </w:tcBorders>
          </w:tcPr>
          <w:p w:rsidR="00797032" w:rsidRPr="00797032" w:rsidRDefault="00797032" w:rsidP="00F73218">
            <w:pPr>
              <w:pStyle w:val="TableDataColumnHeading"/>
            </w:pPr>
            <w:r w:rsidRPr="00797032">
              <w:t>% of national budget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797032" w:rsidRPr="00797032" w:rsidRDefault="00797032" w:rsidP="00F73218">
            <w:pPr>
              <w:pStyle w:val="TableDataColumnHeading"/>
            </w:pPr>
            <w:r w:rsidRPr="00797032">
              <w:t>Other donor contributions</w:t>
            </w:r>
            <w:r w:rsidR="00F73218">
              <w:br/>
            </w:r>
            <w:r w:rsidRPr="00797032">
              <w:t>(</w:t>
            </w:r>
            <w:r w:rsidR="001C27CC">
              <w:t>millions of vatu</w:t>
            </w:r>
            <w:r w:rsidRPr="00797032">
              <w:t>)</w:t>
            </w:r>
          </w:p>
        </w:tc>
      </w:tr>
      <w:tr w:rsidR="001C27CC" w:rsidRPr="00797032" w:rsidTr="00DE5E08">
        <w:tc>
          <w:tcPr>
            <w:tcW w:w="1134" w:type="dxa"/>
            <w:tcBorders>
              <w:top w:val="single" w:sz="2" w:space="0" w:color="auto"/>
              <w:bottom w:val="nil"/>
            </w:tcBorders>
          </w:tcPr>
          <w:p w:rsidR="00797032" w:rsidRPr="00797032" w:rsidRDefault="00C43D78" w:rsidP="00F73218">
            <w:pPr>
              <w:pStyle w:val="TableDataEntries"/>
              <w:jc w:val="left"/>
            </w:pPr>
            <w:r>
              <w:t>2009</w:t>
            </w:r>
            <w:r w:rsidR="008039A7">
              <w:t>–</w:t>
            </w:r>
            <w:r>
              <w:t>10</w:t>
            </w:r>
          </w:p>
        </w:tc>
        <w:tc>
          <w:tcPr>
            <w:tcW w:w="1191" w:type="dxa"/>
            <w:tcBorders>
              <w:top w:val="single" w:sz="2" w:space="0" w:color="auto"/>
              <w:bottom w:val="nil"/>
            </w:tcBorders>
          </w:tcPr>
          <w:p w:rsidR="00797032" w:rsidRPr="00797032" w:rsidRDefault="001C27CC" w:rsidP="00F73218">
            <w:pPr>
              <w:pStyle w:val="TableDataEntries"/>
            </w:pPr>
            <w:r>
              <w:t>3.7</w:t>
            </w:r>
          </w:p>
        </w:tc>
        <w:tc>
          <w:tcPr>
            <w:tcW w:w="1247" w:type="dxa"/>
            <w:tcBorders>
              <w:top w:val="single" w:sz="2" w:space="0" w:color="auto"/>
              <w:bottom w:val="nil"/>
            </w:tcBorders>
          </w:tcPr>
          <w:p w:rsidR="00797032" w:rsidRPr="00797032" w:rsidRDefault="00FF03B7" w:rsidP="00F73218">
            <w:pPr>
              <w:pStyle w:val="TableDataEntries"/>
            </w:pPr>
            <w:r>
              <w:t>8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</w:tcPr>
          <w:p w:rsidR="001C27CC" w:rsidRDefault="001C27CC" w:rsidP="00F73218">
            <w:pPr>
              <w:pStyle w:val="TableDataEntries"/>
            </w:pPr>
            <w:r>
              <w:t>2</w:t>
            </w:r>
            <w:r w:rsidR="00050F0C">
              <w:t>,</w:t>
            </w:r>
            <w:r>
              <w:t>9</w:t>
            </w:r>
            <w:r w:rsidR="00FF03B7">
              <w:t>00</w:t>
            </w:r>
            <w:r>
              <w:t xml:space="preserve"> </w:t>
            </w:r>
          </w:p>
          <w:p w:rsidR="00797032" w:rsidRPr="00797032" w:rsidRDefault="00C43D78" w:rsidP="00F73218">
            <w:pPr>
              <w:pStyle w:val="TableDataEntries"/>
            </w:pPr>
            <w:r>
              <w:t>(2009)</w:t>
            </w:r>
          </w:p>
        </w:tc>
        <w:tc>
          <w:tcPr>
            <w:tcW w:w="1247" w:type="dxa"/>
            <w:tcBorders>
              <w:top w:val="single" w:sz="2" w:space="0" w:color="auto"/>
              <w:bottom w:val="nil"/>
            </w:tcBorders>
          </w:tcPr>
          <w:p w:rsidR="00797032" w:rsidRPr="00797032" w:rsidRDefault="00FF03B7" w:rsidP="00F73218">
            <w:pPr>
              <w:pStyle w:val="TableDataEntries"/>
            </w:pPr>
            <w:r>
              <w:t>20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</w:tcPr>
          <w:p w:rsidR="00797032" w:rsidRPr="00797032" w:rsidRDefault="00797032" w:rsidP="00F73218">
            <w:pPr>
              <w:pStyle w:val="TableDataEntries"/>
            </w:pPr>
            <w:r w:rsidRPr="00797032">
              <w:t>97</w:t>
            </w:r>
          </w:p>
          <w:p w:rsidR="00797032" w:rsidRPr="00797032" w:rsidRDefault="00C43D78" w:rsidP="00F73218">
            <w:pPr>
              <w:pStyle w:val="TableDataEntries"/>
            </w:pPr>
            <w:r>
              <w:t>(EU</w:t>
            </w:r>
            <w:r w:rsidR="00616254">
              <w:t>—</w:t>
            </w:r>
            <w:r>
              <w:t>budget support)</w:t>
            </w:r>
          </w:p>
        </w:tc>
      </w:tr>
      <w:tr w:rsidR="00F73218" w:rsidRPr="00797032" w:rsidTr="00DE5E08"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C43D78" w:rsidRPr="00797032" w:rsidRDefault="00C43D78" w:rsidP="00F73218">
            <w:pPr>
              <w:pStyle w:val="TableDataEntries"/>
              <w:jc w:val="left"/>
            </w:pPr>
            <w:r>
              <w:t>2010</w:t>
            </w:r>
            <w:r w:rsidR="008039A7">
              <w:t>–</w:t>
            </w:r>
            <w:r>
              <w:t>11</w:t>
            </w:r>
          </w:p>
        </w:tc>
        <w:tc>
          <w:tcPr>
            <w:tcW w:w="1191" w:type="dxa"/>
            <w:tcBorders>
              <w:top w:val="nil"/>
              <w:bottom w:val="single" w:sz="12" w:space="0" w:color="auto"/>
            </w:tcBorders>
          </w:tcPr>
          <w:p w:rsidR="00C43D78" w:rsidRPr="00797032" w:rsidRDefault="00C43D78" w:rsidP="00F73218">
            <w:pPr>
              <w:pStyle w:val="TableDataEntries"/>
            </w:pPr>
            <w:r>
              <w:t>6.8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</w:tcPr>
          <w:p w:rsidR="00C43D78" w:rsidRPr="00797032" w:rsidRDefault="0063627C" w:rsidP="00F73218">
            <w:pPr>
              <w:pStyle w:val="TableDataEntries"/>
            </w:pPr>
            <w:r>
              <w:t>15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1C27CC" w:rsidRPr="00782EE4" w:rsidRDefault="00FF03B7" w:rsidP="00F73218">
            <w:pPr>
              <w:pStyle w:val="TableDataEntries"/>
            </w:pPr>
            <w:r w:rsidRPr="00782EE4">
              <w:t>4</w:t>
            </w:r>
            <w:r w:rsidR="00050F0C">
              <w:t>,</w:t>
            </w:r>
            <w:r w:rsidRPr="00782EE4">
              <w:t>142</w:t>
            </w:r>
            <w:r w:rsidR="00C43D78" w:rsidRPr="00782EE4">
              <w:t xml:space="preserve"> </w:t>
            </w:r>
          </w:p>
          <w:p w:rsidR="00C43D78" w:rsidRPr="00797032" w:rsidRDefault="001C27CC" w:rsidP="00F73218">
            <w:pPr>
              <w:pStyle w:val="TableDataEntries"/>
            </w:pPr>
            <w:r>
              <w:t>(2010)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</w:tcPr>
          <w:p w:rsidR="00C43D78" w:rsidRPr="00797032" w:rsidRDefault="00FF03B7" w:rsidP="00F73218">
            <w:pPr>
              <w:pStyle w:val="TableDataEntries"/>
            </w:pPr>
            <w:r>
              <w:t>27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C43D78" w:rsidRPr="00797032" w:rsidRDefault="00C43D78" w:rsidP="00F73218">
            <w:pPr>
              <w:pStyle w:val="TableDataEntries"/>
            </w:pPr>
            <w:r w:rsidRPr="00797032">
              <w:t>97</w:t>
            </w:r>
          </w:p>
          <w:p w:rsidR="00C43D78" w:rsidRPr="00797032" w:rsidRDefault="00C43D78" w:rsidP="00F73218">
            <w:pPr>
              <w:pStyle w:val="TableDataEntries"/>
            </w:pPr>
            <w:r w:rsidRPr="00797032">
              <w:t>(EU</w:t>
            </w:r>
            <w:r w:rsidR="00616254">
              <w:t>—</w:t>
            </w:r>
            <w:r w:rsidRPr="00797032">
              <w:t>budget support)</w:t>
            </w:r>
          </w:p>
        </w:tc>
      </w:tr>
    </w:tbl>
    <w:p w:rsidR="00797032" w:rsidRPr="00A63C82" w:rsidRDefault="00797032" w:rsidP="00A63C82">
      <w:pPr>
        <w:pStyle w:val="Heading3"/>
      </w:pPr>
      <w:bookmarkStart w:id="22" w:name="_Toc360711494"/>
      <w:r w:rsidRPr="00A63C82">
        <w:t xml:space="preserve">Other </w:t>
      </w:r>
      <w:r w:rsidR="008440CF" w:rsidRPr="00A63C82">
        <w:t>p</w:t>
      </w:r>
      <w:r w:rsidRPr="00A63C82">
        <w:t xml:space="preserve">riority </w:t>
      </w:r>
      <w:r w:rsidR="008440CF" w:rsidRPr="00A63C82">
        <w:t>a</w:t>
      </w:r>
      <w:r w:rsidRPr="00A63C82">
        <w:t>reas</w:t>
      </w:r>
      <w:bookmarkEnd w:id="22"/>
    </w:p>
    <w:p w:rsidR="00797032" w:rsidRPr="00797032" w:rsidRDefault="0019224A" w:rsidP="00A63C82">
      <w:pPr>
        <w:pStyle w:val="BodyText"/>
      </w:pPr>
      <w:r w:rsidRPr="0019224A">
        <w:t>I</w:t>
      </w:r>
      <w:r w:rsidR="00FC1604" w:rsidRPr="0019224A">
        <w:t>n 2009</w:t>
      </w:r>
      <w:r w:rsidR="00797032" w:rsidRPr="00797032">
        <w:t xml:space="preserve"> the following areas were identified for potential inclusion in the </w:t>
      </w:r>
      <w:r w:rsidR="00C20A78">
        <w:t>p</w:t>
      </w:r>
      <w:r w:rsidR="00797032" w:rsidRPr="00797032">
        <w:t>artnership:</w:t>
      </w:r>
    </w:p>
    <w:p w:rsidR="00797032" w:rsidRPr="009E6EBE" w:rsidRDefault="008440CF" w:rsidP="00EE4AFE">
      <w:pPr>
        <w:pStyle w:val="ListBullet"/>
        <w:rPr>
          <w:lang w:val="en-US"/>
        </w:rPr>
      </w:pPr>
      <w:r w:rsidRPr="009E6EBE">
        <w:rPr>
          <w:lang w:val="en-US"/>
        </w:rPr>
        <w:t xml:space="preserve">support </w:t>
      </w:r>
      <w:r w:rsidR="00797032" w:rsidRPr="009E6EBE">
        <w:rPr>
          <w:lang w:val="en-US"/>
        </w:rPr>
        <w:t xml:space="preserve">to policing and </w:t>
      </w:r>
      <w:r w:rsidR="00D75BCB">
        <w:rPr>
          <w:lang w:val="en-US"/>
        </w:rPr>
        <w:t xml:space="preserve">the </w:t>
      </w:r>
      <w:r w:rsidR="00797032" w:rsidRPr="009E6EBE">
        <w:rPr>
          <w:lang w:val="en-US"/>
        </w:rPr>
        <w:t>law and justice sector</w:t>
      </w:r>
    </w:p>
    <w:p w:rsidR="00797032" w:rsidRPr="009E6EBE" w:rsidRDefault="008440CF" w:rsidP="00EE4AFE">
      <w:pPr>
        <w:pStyle w:val="ListBullet"/>
        <w:rPr>
          <w:lang w:val="en-US"/>
        </w:rPr>
      </w:pPr>
      <w:r w:rsidRPr="009E6EBE">
        <w:rPr>
          <w:lang w:val="en-US"/>
        </w:rPr>
        <w:t>i</w:t>
      </w:r>
      <w:r w:rsidR="00797032" w:rsidRPr="009E6EBE">
        <w:rPr>
          <w:lang w:val="en-US"/>
        </w:rPr>
        <w:t>mproved land administration</w:t>
      </w:r>
    </w:p>
    <w:p w:rsidR="00797032" w:rsidRPr="009E6EBE" w:rsidRDefault="008440CF" w:rsidP="00EE4AFE">
      <w:pPr>
        <w:pStyle w:val="ListBullet"/>
        <w:rPr>
          <w:lang w:val="en-US"/>
        </w:rPr>
      </w:pPr>
      <w:proofErr w:type="gramStart"/>
      <w:r w:rsidRPr="009E6EBE">
        <w:rPr>
          <w:lang w:val="en-US"/>
        </w:rPr>
        <w:t>s</w:t>
      </w:r>
      <w:r w:rsidR="00797032" w:rsidRPr="009E6EBE">
        <w:rPr>
          <w:lang w:val="en-US"/>
        </w:rPr>
        <w:t>upport</w:t>
      </w:r>
      <w:proofErr w:type="gramEnd"/>
      <w:r w:rsidR="00797032" w:rsidRPr="009E6EBE">
        <w:rPr>
          <w:lang w:val="en-US"/>
        </w:rPr>
        <w:t xml:space="preserve"> to agriculture to enable Vanuatu to take advantage of the opportunities arising </w:t>
      </w:r>
      <w:r w:rsidR="00D95D8F">
        <w:rPr>
          <w:lang w:val="en-US"/>
        </w:rPr>
        <w:br/>
      </w:r>
      <w:r w:rsidR="00797032" w:rsidRPr="009E6EBE">
        <w:rPr>
          <w:lang w:val="en-US"/>
        </w:rPr>
        <w:t xml:space="preserve">out of </w:t>
      </w:r>
      <w:r w:rsidR="00D95D8F">
        <w:rPr>
          <w:lang w:val="en-US"/>
        </w:rPr>
        <w:t xml:space="preserve">the </w:t>
      </w:r>
      <w:r w:rsidR="00797032" w:rsidRPr="009E6EBE">
        <w:rPr>
          <w:lang w:val="en-US"/>
        </w:rPr>
        <w:t>P</w:t>
      </w:r>
      <w:r w:rsidR="00EA13B3" w:rsidRPr="009E6EBE">
        <w:rPr>
          <w:lang w:val="en-US"/>
        </w:rPr>
        <w:t>acific Agreement on Closer Economic Relations</w:t>
      </w:r>
      <w:r w:rsidR="00797032" w:rsidRPr="009E6EBE">
        <w:rPr>
          <w:lang w:val="en-US"/>
        </w:rPr>
        <w:t xml:space="preserve"> Plus talks</w:t>
      </w:r>
      <w:r w:rsidRPr="009E6EBE">
        <w:rPr>
          <w:lang w:val="en-US"/>
        </w:rPr>
        <w:t>.</w:t>
      </w:r>
    </w:p>
    <w:p w:rsidR="00FC1604" w:rsidRPr="009E74AA" w:rsidRDefault="00FC1604" w:rsidP="00517E81">
      <w:pPr>
        <w:pStyle w:val="BodyText"/>
      </w:pPr>
      <w:r w:rsidRPr="009E74AA">
        <w:t>During the 2010 Partnership Talks</w:t>
      </w:r>
      <w:r w:rsidR="00D95D8F">
        <w:t>,</w:t>
      </w:r>
      <w:r w:rsidRPr="009E74AA">
        <w:t xml:space="preserve"> Australia agreed to support </w:t>
      </w:r>
      <w:r w:rsidR="00EA13B3">
        <w:t xml:space="preserve">the </w:t>
      </w:r>
      <w:r w:rsidRPr="009E74AA">
        <w:t xml:space="preserve">production of a </w:t>
      </w:r>
      <w:r w:rsidRPr="0023729C">
        <w:rPr>
          <w:b/>
        </w:rPr>
        <w:t>human</w:t>
      </w:r>
      <w:r w:rsidR="007F2C04">
        <w:rPr>
          <w:b/>
        </w:rPr>
        <w:t> </w:t>
      </w:r>
      <w:r w:rsidRPr="0023729C">
        <w:rPr>
          <w:b/>
        </w:rPr>
        <w:t>resource development plan</w:t>
      </w:r>
      <w:r w:rsidR="00566E0D" w:rsidRPr="009E74AA">
        <w:t xml:space="preserve"> </w:t>
      </w:r>
      <w:r w:rsidR="00EA13B3">
        <w:t>for</w:t>
      </w:r>
      <w:r w:rsidR="009E74AA">
        <w:t xml:space="preserve"> the future needs of both the public</w:t>
      </w:r>
      <w:r w:rsidR="00D95D8F">
        <w:t xml:space="preserve"> and private</w:t>
      </w:r>
      <w:r w:rsidR="007F2C04">
        <w:t> </w:t>
      </w:r>
      <w:r w:rsidR="009E74AA">
        <w:t>sector in Vanuatu</w:t>
      </w:r>
      <w:r w:rsidR="00EE07F3">
        <w:t xml:space="preserve">. </w:t>
      </w:r>
      <w:r w:rsidR="009E74AA">
        <w:t>Australia also agreed to look at support</w:t>
      </w:r>
      <w:r w:rsidR="00EA13B3">
        <w:t>ing</w:t>
      </w:r>
      <w:r w:rsidR="009E74AA">
        <w:t xml:space="preserve"> </w:t>
      </w:r>
      <w:r w:rsidR="00566E0D" w:rsidRPr="009E74AA">
        <w:t xml:space="preserve">improved </w:t>
      </w:r>
      <w:r w:rsidR="005F094E">
        <w:br/>
      </w:r>
      <w:r w:rsidR="00566E0D" w:rsidRPr="0023729C">
        <w:rPr>
          <w:b/>
        </w:rPr>
        <w:t>voter</w:t>
      </w:r>
      <w:r w:rsidR="005F094E">
        <w:rPr>
          <w:b/>
        </w:rPr>
        <w:t> </w:t>
      </w:r>
      <w:r w:rsidR="00566E0D" w:rsidRPr="0023729C">
        <w:rPr>
          <w:b/>
        </w:rPr>
        <w:t>awareness</w:t>
      </w:r>
      <w:r w:rsidR="00566E0D" w:rsidRPr="009E74AA">
        <w:t xml:space="preserve"> on the roles and responsibilities of political leaders.</w:t>
      </w:r>
    </w:p>
    <w:p w:rsidR="00AD5CC1" w:rsidRPr="00797032" w:rsidRDefault="00797032" w:rsidP="00AD5CC1">
      <w:pPr>
        <w:pStyle w:val="H4"/>
      </w:pPr>
      <w:r w:rsidRPr="00AD5CC1">
        <w:t>Policing</w:t>
      </w:r>
      <w:r w:rsidR="008039A7" w:rsidRPr="00AD5CC1">
        <w:t xml:space="preserve"> and l</w:t>
      </w:r>
      <w:r w:rsidRPr="00AD5CC1">
        <w:t xml:space="preserve">aw and </w:t>
      </w:r>
      <w:r w:rsidR="008039A7" w:rsidRPr="00AD5CC1">
        <w:t>j</w:t>
      </w:r>
      <w:r w:rsidRPr="00AD5CC1">
        <w:t>ustice</w:t>
      </w:r>
    </w:p>
    <w:p w:rsidR="00797032" w:rsidRPr="00797032" w:rsidRDefault="00797032" w:rsidP="00E13CEB">
      <w:pPr>
        <w:pStyle w:val="BodyText"/>
      </w:pPr>
      <w:r w:rsidRPr="00797032">
        <w:t xml:space="preserve">Current Australian support for </w:t>
      </w:r>
      <w:r w:rsidRPr="0023729C">
        <w:rPr>
          <w:b/>
        </w:rPr>
        <w:t>policing</w:t>
      </w:r>
      <w:r w:rsidRPr="00797032">
        <w:t xml:space="preserve"> and the </w:t>
      </w:r>
      <w:r w:rsidRPr="0023729C">
        <w:rPr>
          <w:b/>
        </w:rPr>
        <w:t>law and justice sector</w:t>
      </w:r>
      <w:r w:rsidRPr="009E6EBE">
        <w:t xml:space="preserve"> </w:t>
      </w:r>
      <w:r w:rsidRPr="00797032">
        <w:t xml:space="preserve">is scheduled to finish </w:t>
      </w:r>
      <w:r w:rsidR="00111FCA">
        <w:t>early in 2011</w:t>
      </w:r>
      <w:r w:rsidR="00EE07F3">
        <w:t xml:space="preserve">. </w:t>
      </w:r>
    </w:p>
    <w:p w:rsidR="00797032" w:rsidRPr="009E6EBE" w:rsidRDefault="00797032" w:rsidP="00E13CEB">
      <w:pPr>
        <w:pStyle w:val="BodyText"/>
      </w:pPr>
      <w:r w:rsidRPr="00797032">
        <w:t xml:space="preserve">The </w:t>
      </w:r>
      <w:r w:rsidRPr="0023729C">
        <w:rPr>
          <w:b/>
        </w:rPr>
        <w:t>Vanuatu Police Force Capacity Building Project</w:t>
      </w:r>
      <w:r w:rsidRPr="00797032">
        <w:t xml:space="preserve">, implemented by the Australian Federal Police, shares its goal with the Vanuatu Police Force </w:t>
      </w:r>
      <w:r w:rsidR="00EA13B3">
        <w:t xml:space="preserve">to </w:t>
      </w:r>
      <w:r w:rsidR="00111FCA">
        <w:t>‘</w:t>
      </w:r>
      <w:r w:rsidRPr="00797032">
        <w:t>provid</w:t>
      </w:r>
      <w:r w:rsidR="00111FCA">
        <w:t>e</w:t>
      </w:r>
      <w:r w:rsidRPr="00797032">
        <w:t xml:space="preserve"> a safer and more secure environment for the community by the prevention and detection of crime through strong police/community relations’</w:t>
      </w:r>
      <w:r w:rsidR="00EE07F3">
        <w:t xml:space="preserve">. </w:t>
      </w:r>
      <w:r w:rsidR="00FC1604" w:rsidRPr="009E74AA">
        <w:t xml:space="preserve">The Government of Vanuatu </w:t>
      </w:r>
      <w:r w:rsidR="00EA13B3">
        <w:t>asked for</w:t>
      </w:r>
      <w:r w:rsidR="00EA13B3" w:rsidRPr="009E74AA">
        <w:t xml:space="preserve"> </w:t>
      </w:r>
      <w:r w:rsidR="00FC1604" w:rsidRPr="009E74AA">
        <w:t>support to improve the capacity of the Vanuatu Police Force in planning, budgeting, financial management and human resource management.</w:t>
      </w:r>
    </w:p>
    <w:p w:rsidR="00797032" w:rsidRPr="00797032" w:rsidRDefault="00797032" w:rsidP="00E13CEB">
      <w:pPr>
        <w:pStyle w:val="BodyText"/>
      </w:pPr>
      <w:r w:rsidRPr="00797032">
        <w:t xml:space="preserve">Australia has supported the development of a </w:t>
      </w:r>
      <w:r w:rsidR="00C11E8E">
        <w:t>l</w:t>
      </w:r>
      <w:r w:rsidRPr="00797032">
        <w:t xml:space="preserve">aw and </w:t>
      </w:r>
      <w:r w:rsidR="00C11E8E">
        <w:t>j</w:t>
      </w:r>
      <w:r w:rsidRPr="00797032">
        <w:t xml:space="preserve">ustice </w:t>
      </w:r>
      <w:r w:rsidR="00C11E8E">
        <w:t>s</w:t>
      </w:r>
      <w:r w:rsidRPr="00797032">
        <w:t xml:space="preserve">ector </w:t>
      </w:r>
      <w:r w:rsidR="00C11E8E">
        <w:t>s</w:t>
      </w:r>
      <w:r w:rsidRPr="00797032">
        <w:t>trategy</w:t>
      </w:r>
      <w:r w:rsidR="00111FCA">
        <w:t>, as well as strengthened administration in the state legal offices,</w:t>
      </w:r>
      <w:r w:rsidRPr="00797032">
        <w:t xml:space="preserve"> through the </w:t>
      </w:r>
      <w:r w:rsidRPr="00C11E8E">
        <w:rPr>
          <w:b/>
        </w:rPr>
        <w:t>Vanuatu Legal Sector Strengthening Project</w:t>
      </w:r>
      <w:r w:rsidRPr="00797032">
        <w:t xml:space="preserve">. </w:t>
      </w:r>
    </w:p>
    <w:p w:rsidR="00797032" w:rsidRPr="009E74AA" w:rsidRDefault="00FC1604" w:rsidP="00E13CEB">
      <w:pPr>
        <w:pStyle w:val="BodyText"/>
      </w:pPr>
      <w:r w:rsidRPr="009E74AA">
        <w:t xml:space="preserve">It was agreed during the 2010 </w:t>
      </w:r>
      <w:r w:rsidR="00797032" w:rsidRPr="009E74AA">
        <w:t>Partnership Talks</w:t>
      </w:r>
      <w:r w:rsidRPr="009E74AA">
        <w:t xml:space="preserve"> that future Australian support</w:t>
      </w:r>
      <w:r w:rsidR="00797032" w:rsidRPr="009E74AA">
        <w:t xml:space="preserve"> </w:t>
      </w:r>
      <w:r w:rsidRPr="009E74AA">
        <w:t xml:space="preserve">to policing and law and justice would be included as a new priority outcome under the </w:t>
      </w:r>
      <w:r w:rsidR="00EA13B3">
        <w:t>p</w:t>
      </w:r>
      <w:r w:rsidRPr="009E74AA">
        <w:t>artnership</w:t>
      </w:r>
      <w:r w:rsidR="00EE07F3">
        <w:t xml:space="preserve">. </w:t>
      </w:r>
      <w:r w:rsidRPr="009E74AA">
        <w:t>A joint working group w</w:t>
      </w:r>
      <w:r w:rsidR="0063627C" w:rsidRPr="009E74AA">
        <w:t>ill</w:t>
      </w:r>
      <w:r w:rsidRPr="009E74AA">
        <w:t xml:space="preserve"> be established to determine </w:t>
      </w:r>
      <w:r w:rsidR="00111FCA">
        <w:t>the specifics of this new priority area</w:t>
      </w:r>
      <w:r w:rsidRPr="009E74AA">
        <w:t>.</w:t>
      </w:r>
    </w:p>
    <w:p w:rsidR="00797032" w:rsidRPr="00797032" w:rsidRDefault="00797032" w:rsidP="00AD5CC1">
      <w:pPr>
        <w:pStyle w:val="H4"/>
      </w:pPr>
      <w:r w:rsidRPr="00797032">
        <w:t xml:space="preserve">Land </w:t>
      </w:r>
      <w:r w:rsidR="0048057B">
        <w:t>a</w:t>
      </w:r>
      <w:r w:rsidRPr="00797032">
        <w:t>dministration</w:t>
      </w:r>
    </w:p>
    <w:p w:rsidR="00797032" w:rsidRPr="00797032" w:rsidRDefault="00797032" w:rsidP="00E13CEB">
      <w:pPr>
        <w:pStyle w:val="BodyText"/>
      </w:pPr>
      <w:r w:rsidRPr="00797032">
        <w:t>Support to Vanuatu’s land reform agenda will be provided through a joint program funded by Australia and New Zealand</w:t>
      </w:r>
      <w:r w:rsidR="00EE07F3">
        <w:t xml:space="preserve">. </w:t>
      </w:r>
      <w:r w:rsidRPr="00797032">
        <w:t xml:space="preserve">The proposed program </w:t>
      </w:r>
      <w:r w:rsidR="00111FCA">
        <w:t>was</w:t>
      </w:r>
      <w:r w:rsidRPr="00797032">
        <w:t xml:space="preserve"> put to tender</w:t>
      </w:r>
      <w:r w:rsidR="00111FCA">
        <w:t xml:space="preserve"> in </w:t>
      </w:r>
      <w:r w:rsidR="00E369D4">
        <w:t xml:space="preserve">late </w:t>
      </w:r>
      <w:r w:rsidR="00111FCA">
        <w:t>2010</w:t>
      </w:r>
      <w:r w:rsidRPr="00797032">
        <w:t>.</w:t>
      </w:r>
    </w:p>
    <w:p w:rsidR="00FC1604" w:rsidRDefault="00797032" w:rsidP="00AD5CC1">
      <w:pPr>
        <w:pStyle w:val="H4"/>
      </w:pPr>
      <w:r w:rsidRPr="00797032">
        <w:lastRenderedPageBreak/>
        <w:t>Agriculture</w:t>
      </w:r>
    </w:p>
    <w:p w:rsidR="00FC1604" w:rsidRDefault="00797032" w:rsidP="00E13CEB">
      <w:pPr>
        <w:pStyle w:val="BodyText"/>
      </w:pPr>
      <w:r w:rsidRPr="00797032">
        <w:t xml:space="preserve">Australian support to the </w:t>
      </w:r>
      <w:r w:rsidRPr="00FC1604">
        <w:t>agriculture</w:t>
      </w:r>
      <w:r w:rsidRPr="00797032">
        <w:t xml:space="preserve"> sector in Vanuatu expanded significantly during </w:t>
      </w:r>
      <w:r w:rsidR="007F2C04">
        <w:br/>
      </w:r>
      <w:r w:rsidRPr="00797032">
        <w:t>2009</w:t>
      </w:r>
      <w:r w:rsidR="0048057B">
        <w:t>–</w:t>
      </w:r>
      <w:r w:rsidRPr="00797032">
        <w:t>10</w:t>
      </w:r>
      <w:r w:rsidR="007F2C04">
        <w:t> </w:t>
      </w:r>
      <w:r w:rsidRPr="00797032">
        <w:t>through regional aid initiatives.</w:t>
      </w:r>
    </w:p>
    <w:p w:rsidR="00FC1604" w:rsidRDefault="00797032" w:rsidP="00E13CEB">
      <w:pPr>
        <w:pStyle w:val="BodyText"/>
      </w:pPr>
      <w:r w:rsidRPr="00797032">
        <w:t>Australia has provide</w:t>
      </w:r>
      <w:r w:rsidR="00566E0D">
        <w:t>d</w:t>
      </w:r>
      <w:r w:rsidRPr="00797032">
        <w:t xml:space="preserve"> a grant of $1.4</w:t>
      </w:r>
      <w:r w:rsidR="0048057B">
        <w:t> </w:t>
      </w:r>
      <w:r w:rsidRPr="00797032">
        <w:t xml:space="preserve">million to </w:t>
      </w:r>
      <w:proofErr w:type="spellStart"/>
      <w:r w:rsidRPr="00797032">
        <w:t>Sarami</w:t>
      </w:r>
      <w:proofErr w:type="spellEnd"/>
      <w:r w:rsidRPr="00797032">
        <w:t xml:space="preserve"> Plantation to support growth and income opportunities in Vanuatu’s c</w:t>
      </w:r>
      <w:r w:rsidR="00AE1885">
        <w:t>attle sector through the AusAID</w:t>
      </w:r>
      <w:r w:rsidR="00EA13B3">
        <w:t>-</w:t>
      </w:r>
      <w:r w:rsidRPr="00797032">
        <w:t xml:space="preserve">funded </w:t>
      </w:r>
      <w:r w:rsidRPr="00FC1604">
        <w:t>Enterprise Challenge Fund</w:t>
      </w:r>
      <w:r w:rsidR="00EE07F3">
        <w:t xml:space="preserve">. </w:t>
      </w:r>
      <w:r w:rsidRPr="00797032">
        <w:t>Up to 1000</w:t>
      </w:r>
      <w:r w:rsidR="00D95D8F">
        <w:t> </w:t>
      </w:r>
      <w:r w:rsidRPr="00797032">
        <w:t>smallholder farmers are expected to benefit from</w:t>
      </w:r>
      <w:r w:rsidR="00AE1885">
        <w:t xml:space="preserve"> a</w:t>
      </w:r>
      <w:r w:rsidRPr="00797032">
        <w:t xml:space="preserve"> higher and more reliable source of income through the project.</w:t>
      </w:r>
    </w:p>
    <w:p w:rsidR="00FC1604" w:rsidRDefault="00797032" w:rsidP="00E13CEB">
      <w:pPr>
        <w:pStyle w:val="BodyText"/>
      </w:pPr>
      <w:r w:rsidRPr="00797032">
        <w:t xml:space="preserve">Australia is providing support to Vanuatu for trade facilitation through the </w:t>
      </w:r>
      <w:r w:rsidRPr="00FC1604">
        <w:t>Pacific Horticultural and Agricultural Market Access</w:t>
      </w:r>
      <w:r w:rsidRPr="00797032">
        <w:t xml:space="preserve"> program</w:t>
      </w:r>
      <w:r w:rsidR="00EE07F3">
        <w:t xml:space="preserve">. </w:t>
      </w:r>
      <w:r w:rsidR="000603C8">
        <w:t>Commencing in late 2010, i</w:t>
      </w:r>
      <w:r w:rsidRPr="00797032">
        <w:t xml:space="preserve">t is anticipated </w:t>
      </w:r>
      <w:r w:rsidR="0048057B">
        <w:t>that th</w:t>
      </w:r>
      <w:r w:rsidR="00616254">
        <w:t>is</w:t>
      </w:r>
      <w:r w:rsidR="0048057B">
        <w:t xml:space="preserve"> program</w:t>
      </w:r>
      <w:r w:rsidR="0048057B" w:rsidRPr="00797032">
        <w:t xml:space="preserve"> </w:t>
      </w:r>
      <w:r w:rsidRPr="00797032">
        <w:t xml:space="preserve">will </w:t>
      </w:r>
      <w:r w:rsidR="00616254">
        <w:t>help</w:t>
      </w:r>
      <w:r w:rsidR="00616254" w:rsidRPr="00797032">
        <w:t xml:space="preserve"> </w:t>
      </w:r>
      <w:r w:rsidRPr="00797032">
        <w:t>Vanuatu resolv</w:t>
      </w:r>
      <w:r w:rsidR="00616254">
        <w:t>e</w:t>
      </w:r>
      <w:r w:rsidRPr="00797032">
        <w:t xml:space="preserve"> impediments to exporting agricultural products more widely in the region.</w:t>
      </w:r>
    </w:p>
    <w:p w:rsidR="00FC1604" w:rsidRDefault="00797032" w:rsidP="00E13CEB">
      <w:pPr>
        <w:pStyle w:val="BodyText"/>
      </w:pPr>
      <w:r w:rsidRPr="00797032">
        <w:t xml:space="preserve">The </w:t>
      </w:r>
      <w:r w:rsidRPr="00C11E8E">
        <w:rPr>
          <w:b/>
        </w:rPr>
        <w:t xml:space="preserve">Australian Centre for </w:t>
      </w:r>
      <w:r w:rsidR="008358B7" w:rsidRPr="00C11E8E">
        <w:rPr>
          <w:b/>
        </w:rPr>
        <w:t xml:space="preserve">International </w:t>
      </w:r>
      <w:r w:rsidRPr="00C11E8E">
        <w:rPr>
          <w:b/>
        </w:rPr>
        <w:t>Agricultural Research</w:t>
      </w:r>
      <w:r w:rsidR="0048057B">
        <w:t xml:space="preserve"> </w:t>
      </w:r>
      <w:r w:rsidRPr="00797032">
        <w:t xml:space="preserve">has </w:t>
      </w:r>
      <w:r w:rsidR="0048057B">
        <w:t>started</w:t>
      </w:r>
      <w:r w:rsidR="0048057B" w:rsidRPr="00797032">
        <w:t xml:space="preserve"> </w:t>
      </w:r>
      <w:r w:rsidRPr="00797032">
        <w:t>a $1.2</w:t>
      </w:r>
      <w:r w:rsidR="0048057B">
        <w:t> </w:t>
      </w:r>
      <w:r w:rsidRPr="00797032">
        <w:t>million project</w:t>
      </w:r>
      <w:r w:rsidR="00616254">
        <w:t xml:space="preserve"> (</w:t>
      </w:r>
      <w:r w:rsidRPr="00797032">
        <w:t>2009</w:t>
      </w:r>
      <w:r w:rsidR="0048057B">
        <w:t>–</w:t>
      </w:r>
      <w:r w:rsidRPr="00797032">
        <w:t>14</w:t>
      </w:r>
      <w:r w:rsidR="00616254">
        <w:t>)</w:t>
      </w:r>
      <w:r w:rsidRPr="00797032">
        <w:t xml:space="preserve"> to improve the development and delivery of seedlings for sandalwood and whitewood in Vanuatu.</w:t>
      </w:r>
    </w:p>
    <w:p w:rsidR="00797032" w:rsidRPr="00797032" w:rsidRDefault="00797032" w:rsidP="00E13CEB">
      <w:pPr>
        <w:pStyle w:val="BodyText"/>
      </w:pPr>
      <w:r w:rsidRPr="00797032">
        <w:t xml:space="preserve">It is expected that additional support to the </w:t>
      </w:r>
      <w:r w:rsidRPr="00C11E8E">
        <w:rPr>
          <w:b/>
        </w:rPr>
        <w:t>copra</w:t>
      </w:r>
      <w:r w:rsidRPr="00797032">
        <w:t xml:space="preserve"> sector will be provided as part of support to repeal the V</w:t>
      </w:r>
      <w:r w:rsidR="00050F0C">
        <w:t xml:space="preserve">anuatu </w:t>
      </w:r>
      <w:r w:rsidRPr="00797032">
        <w:t>C</w:t>
      </w:r>
      <w:r w:rsidR="00050F0C">
        <w:t xml:space="preserve">ommodities </w:t>
      </w:r>
      <w:r w:rsidRPr="00797032">
        <w:t>M</w:t>
      </w:r>
      <w:r w:rsidR="00050F0C">
        <w:t xml:space="preserve">arketing </w:t>
      </w:r>
      <w:r w:rsidR="00AE1885">
        <w:t>B</w:t>
      </w:r>
      <w:r w:rsidR="00050F0C">
        <w:t>oard</w:t>
      </w:r>
      <w:r w:rsidRPr="00797032">
        <w:t xml:space="preserve"> (as discussed under Outcome</w:t>
      </w:r>
      <w:r w:rsidR="007F2C04">
        <w:t> </w:t>
      </w:r>
      <w:r w:rsidRPr="00797032">
        <w:t>4).</w:t>
      </w:r>
    </w:p>
    <w:p w:rsidR="004C7DD7" w:rsidRPr="00797032" w:rsidRDefault="004C7DD7" w:rsidP="00E13CEB">
      <w:pPr>
        <w:pStyle w:val="BodyText"/>
      </w:pPr>
    </w:p>
    <w:sectPr w:rsidR="004C7DD7" w:rsidRPr="00797032" w:rsidSect="009941E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381" w:right="2155" w:bottom="851" w:left="1814" w:header="851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D4" w:rsidRDefault="004134D4">
      <w:r>
        <w:separator/>
      </w:r>
    </w:p>
    <w:p w:rsidR="004134D4" w:rsidRDefault="004134D4"/>
  </w:endnote>
  <w:endnote w:type="continuationSeparator" w:id="0">
    <w:p w:rsidR="004134D4" w:rsidRDefault="004134D4">
      <w:r>
        <w:continuationSeparator/>
      </w:r>
    </w:p>
    <w:p w:rsidR="004134D4" w:rsidRDefault="00413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3F" w:rsidRPr="00AD612A" w:rsidRDefault="00473CE5">
    <w:pPr>
      <w:pStyle w:val="Footer"/>
    </w:pPr>
    <w:r>
      <w:rPr>
        <w:noProof/>
        <w:color w:val="54534A"/>
        <w:lang w:val="en-US" w:eastAsia="en-US"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8821420</wp:posOffset>
          </wp:positionV>
          <wp:extent cx="396240" cy="1508125"/>
          <wp:effectExtent l="0" t="0" r="3810" b="0"/>
          <wp:wrapNone/>
          <wp:docPr id="1" name="Picture 1" descr="AusAID_MDG_2_factsheet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AID_MDG_2_factsheet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B3F" w:rsidRPr="007C1ECE">
      <w:tab/>
    </w:r>
    <w:r w:rsidR="00AD1B3F">
      <w:tab/>
    </w:r>
    <w:r w:rsidR="00AD1B3F">
      <w:tab/>
    </w:r>
    <w:r w:rsidR="00AD1B3F">
      <w:rPr>
        <w:rStyle w:val="PageNumber"/>
      </w:rPr>
      <w:fldChar w:fldCharType="begin"/>
    </w:r>
    <w:r w:rsidR="00AD1B3F">
      <w:rPr>
        <w:rStyle w:val="PageNumber"/>
      </w:rPr>
      <w:instrText xml:space="preserve"> PAGE </w:instrText>
    </w:r>
    <w:r w:rsidR="00AD1B3F">
      <w:rPr>
        <w:rStyle w:val="PageNumber"/>
      </w:rPr>
      <w:fldChar w:fldCharType="separate"/>
    </w:r>
    <w:r w:rsidR="00AD1B3F">
      <w:rPr>
        <w:rStyle w:val="PageNumber"/>
        <w:noProof/>
      </w:rPr>
      <w:t>2</w:t>
    </w:r>
    <w:r w:rsidR="00AD1B3F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3F" w:rsidRPr="004A4B6B" w:rsidRDefault="00AD1B3F" w:rsidP="001260C2">
    <w:pPr>
      <w:pStyle w:val="Footer"/>
    </w:pPr>
    <w:r>
      <w:tab/>
    </w:r>
    <w:r>
      <w:fldChar w:fldCharType="begin"/>
    </w:r>
    <w:r>
      <w:instrText xml:space="preserve"> STYLEREF  Title </w:instrText>
    </w:r>
    <w:r>
      <w:fldChar w:fldCharType="separate"/>
    </w:r>
    <w:r w:rsidR="006E6D0A">
      <w:rPr>
        <w:noProof/>
      </w:rPr>
      <w:t>Australia-Vanuatu Partnership for Development Report</w:t>
    </w:r>
    <w:r>
      <w:fldChar w:fldCharType="end"/>
    </w:r>
    <w:r>
      <w:rPr>
        <w:rStyle w:val="PageNumber"/>
      </w:rPr>
      <w:tab/>
    </w:r>
    <w:r>
      <w:rPr>
        <w:rStyle w:val="PageNumber"/>
      </w:rPr>
      <w:tab/>
    </w:r>
    <w:r w:rsidRPr="004A26C9">
      <w:rPr>
        <w:rStyle w:val="PageNumber"/>
      </w:rPr>
      <w:fldChar w:fldCharType="begin"/>
    </w:r>
    <w:r w:rsidRPr="004A26C9">
      <w:rPr>
        <w:rStyle w:val="PageNumber"/>
      </w:rPr>
      <w:instrText xml:space="preserve"> PAGE </w:instrText>
    </w:r>
    <w:r w:rsidRPr="004A26C9">
      <w:rPr>
        <w:rStyle w:val="PageNumber"/>
      </w:rPr>
      <w:fldChar w:fldCharType="separate"/>
    </w:r>
    <w:r w:rsidR="006E6D0A">
      <w:rPr>
        <w:rStyle w:val="PageNumber"/>
        <w:noProof/>
      </w:rPr>
      <w:t>2</w:t>
    </w:r>
    <w:r w:rsidRPr="004A26C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3F" w:rsidRDefault="00AD1B3F">
    <w:pPr>
      <w:pStyle w:val="Footer"/>
    </w:pP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6D0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D4" w:rsidRDefault="004134D4" w:rsidP="00D62AA4">
      <w:pPr>
        <w:spacing w:before="60" w:after="40" w:line="180" w:lineRule="exact"/>
      </w:pPr>
      <w:r>
        <w:continuationSeparator/>
      </w:r>
    </w:p>
  </w:footnote>
  <w:footnote w:type="continuationSeparator" w:id="0">
    <w:p w:rsidR="004134D4" w:rsidRDefault="004134D4">
      <w:r>
        <w:continuationSeparator/>
      </w:r>
    </w:p>
    <w:p w:rsidR="004134D4" w:rsidRDefault="004134D4"/>
  </w:footnote>
  <w:footnote w:type="continuationNotice" w:id="1">
    <w:p w:rsidR="004134D4" w:rsidRDefault="004134D4"/>
    <w:p w:rsidR="004134D4" w:rsidRDefault="004134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3F" w:rsidRDefault="00473CE5" w:rsidP="00B7603F">
    <w:pPr>
      <w:pStyle w:val="Header"/>
      <w:jc w:val="left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2" name="Picture 2" descr="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3F" w:rsidRDefault="00473CE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5" name="Picture 5" descr="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3F" w:rsidRDefault="00473CE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60310" cy="10694035"/>
          <wp:effectExtent l="0" t="0" r="2540" b="0"/>
          <wp:wrapNone/>
          <wp:docPr id="6" name="Picture 6" descr="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4" name="Picture 4" descr="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27B"/>
    <w:multiLevelType w:val="hybridMultilevel"/>
    <w:tmpl w:val="756E7648"/>
    <w:lvl w:ilvl="0" w:tplc="BA4C6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9027B"/>
    <w:multiLevelType w:val="hybridMultilevel"/>
    <w:tmpl w:val="B0DEC43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621CE7"/>
    <w:multiLevelType w:val="hybridMultilevel"/>
    <w:tmpl w:val="0D18B67E"/>
    <w:lvl w:ilvl="0" w:tplc="ACFA6F56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65739"/>
    <w:multiLevelType w:val="hybridMultilevel"/>
    <w:tmpl w:val="7D1E46F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7B7DD8"/>
    <w:multiLevelType w:val="hybridMultilevel"/>
    <w:tmpl w:val="3EA6F6DE"/>
    <w:lvl w:ilvl="0">
      <w:start w:val="1"/>
      <w:numFmt w:val="lowerLetter"/>
      <w:pStyle w:val="TableListNumber2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665BC"/>
    <w:multiLevelType w:val="hybridMultilevel"/>
    <w:tmpl w:val="4DC601BA"/>
    <w:lvl w:ilvl="0" w:tplc="5D98112C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81C81"/>
    <w:multiLevelType w:val="hybridMultilevel"/>
    <w:tmpl w:val="581807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9B02A7"/>
    <w:multiLevelType w:val="singleLevel"/>
    <w:tmpl w:val="38C655C0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sz w:val="21"/>
        <w:szCs w:val="21"/>
      </w:rPr>
    </w:lvl>
  </w:abstractNum>
  <w:abstractNum w:abstractNumId="8">
    <w:nsid w:val="29B429EE"/>
    <w:multiLevelType w:val="hybridMultilevel"/>
    <w:tmpl w:val="0E3451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ECC8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504707"/>
    <w:multiLevelType w:val="hybridMultilevel"/>
    <w:tmpl w:val="2BC239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239F1"/>
    <w:multiLevelType w:val="hybridMultilevel"/>
    <w:tmpl w:val="6FAA2B1A"/>
    <w:lvl w:ilvl="0" w:tplc="5FC0AB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D65A6"/>
    <w:multiLevelType w:val="hybridMultilevel"/>
    <w:tmpl w:val="A7446C82"/>
    <w:lvl w:ilvl="0" w:tplc="B70A9096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33F6B"/>
    <w:multiLevelType w:val="hybridMultilevel"/>
    <w:tmpl w:val="53929CB2"/>
    <w:lvl w:ilvl="0">
      <w:start w:val="1"/>
      <w:numFmt w:val="lowerLetter"/>
      <w:pStyle w:val="Box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C17477"/>
    <w:multiLevelType w:val="hybridMultilevel"/>
    <w:tmpl w:val="0022664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6A6741"/>
    <w:multiLevelType w:val="hybridMultilevel"/>
    <w:tmpl w:val="F8CC5F12"/>
    <w:lvl w:ilvl="0" w:tplc="BDF04A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602B7D"/>
    <w:multiLevelType w:val="hybridMultilevel"/>
    <w:tmpl w:val="2DD6DA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D579B"/>
    <w:multiLevelType w:val="hybridMultilevel"/>
    <w:tmpl w:val="36F2514A"/>
    <w:lvl w:ilvl="0">
      <w:start w:val="1"/>
      <w:numFmt w:val="bullet"/>
      <w:pStyle w:val="Box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2B54CF"/>
    <w:multiLevelType w:val="hybridMultilevel"/>
    <w:tmpl w:val="8F10F9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B943C2"/>
    <w:multiLevelType w:val="hybridMultilevel"/>
    <w:tmpl w:val="5A18D8E8"/>
    <w:lvl w:ilvl="0" w:tplc="F036122A">
      <w:start w:val="1"/>
      <w:numFmt w:val="bullet"/>
      <w:pStyle w:val="Ratingamber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FF9900"/>
        <w:spacing w:val="0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692D64"/>
    <w:multiLevelType w:val="hybridMultilevel"/>
    <w:tmpl w:val="3544D402"/>
    <w:lvl w:ilvl="0" w:tplc="49BABBDA">
      <w:start w:val="1"/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253E8"/>
    <w:multiLevelType w:val="hybridMultilevel"/>
    <w:tmpl w:val="6CA8FE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8A5214"/>
    <w:multiLevelType w:val="hybridMultilevel"/>
    <w:tmpl w:val="0B5AC610"/>
    <w:lvl w:ilvl="0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C277D"/>
    <w:multiLevelType w:val="hybridMultilevel"/>
    <w:tmpl w:val="5622DCD2"/>
    <w:lvl w:ilvl="0" w:tplc="F280E2B4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Garamond" w:hAnsi="Garamon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F264CF"/>
    <w:multiLevelType w:val="multilevel"/>
    <w:tmpl w:val="DD5A44F4"/>
    <w:lvl w:ilvl="0">
      <w:start w:val="1"/>
      <w:numFmt w:val="none"/>
      <w:pStyle w:val="Heading1"/>
      <w:suff w:val="nothing"/>
      <w:lvlText w:val=""/>
      <w:lvlJc w:val="left"/>
      <w:pPr>
        <w:ind w:left="-32767" w:firstLine="0"/>
      </w:pPr>
      <w:rPr>
        <w:rFonts w:hint="default"/>
        <w:b w:val="0"/>
        <w:i w:val="0"/>
        <w:color w:val="54534A"/>
      </w:rPr>
    </w:lvl>
    <w:lvl w:ilvl="1">
      <w:start w:val="1"/>
      <w:numFmt w:val="none"/>
      <w:pStyle w:val="Heading2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C55035"/>
    <w:multiLevelType w:val="hybridMultilevel"/>
    <w:tmpl w:val="A0C89EE8"/>
    <w:lvl w:ilvl="0" w:tplc="D3782208">
      <w:start w:val="1"/>
      <w:numFmt w:val="bullet"/>
      <w:pStyle w:val="TableListBullet"/>
      <w:lvlText w:val="&gt;"/>
      <w:lvlJc w:val="left"/>
      <w:pPr>
        <w:tabs>
          <w:tab w:val="num" w:pos="227"/>
        </w:tabs>
        <w:ind w:left="227" w:hanging="227"/>
      </w:pPr>
      <w:rPr>
        <w:rFonts w:hint="default"/>
        <w:color w:val="auto"/>
        <w:spacing w:val="0"/>
        <w:w w:val="100"/>
        <w:position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A95AF5"/>
    <w:multiLevelType w:val="multilevel"/>
    <w:tmpl w:val="AA96A81E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26">
    <w:nsid w:val="6CF363E8"/>
    <w:multiLevelType w:val="hybridMultilevel"/>
    <w:tmpl w:val="663688F2"/>
    <w:lvl w:ilvl="0" w:tplc="02A4C866">
      <w:start w:val="1"/>
      <w:numFmt w:val="bullet"/>
      <w:pStyle w:val="Ratinggreen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99CC00"/>
        <w:spacing w:val="0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E1124E"/>
    <w:multiLevelType w:val="hybridMultilevel"/>
    <w:tmpl w:val="6D42E65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7A528B"/>
    <w:multiLevelType w:val="hybridMultilevel"/>
    <w:tmpl w:val="4ADC517C"/>
    <w:lvl w:ilvl="0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position w:val="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6"/>
  </w:num>
  <w:num w:numId="6">
    <w:abstractNumId w:val="11"/>
  </w:num>
  <w:num w:numId="7">
    <w:abstractNumId w:val="23"/>
  </w:num>
  <w:num w:numId="8">
    <w:abstractNumId w:val="24"/>
  </w:num>
  <w:num w:numId="9">
    <w:abstractNumId w:val="2"/>
  </w:num>
  <w:num w:numId="10">
    <w:abstractNumId w:val="18"/>
  </w:num>
  <w:num w:numId="11">
    <w:abstractNumId w:val="26"/>
  </w:num>
  <w:num w:numId="12">
    <w:abstractNumId w:val="7"/>
  </w:num>
  <w:num w:numId="13">
    <w:abstractNumId w:val="5"/>
  </w:num>
  <w:num w:numId="14">
    <w:abstractNumId w:val="27"/>
  </w:num>
  <w:num w:numId="15">
    <w:abstractNumId w:val="28"/>
  </w:num>
  <w:num w:numId="16">
    <w:abstractNumId w:val="25"/>
  </w:num>
  <w:num w:numId="17">
    <w:abstractNumId w:val="22"/>
  </w:num>
  <w:num w:numId="18">
    <w:abstractNumId w:val="3"/>
  </w:num>
  <w:num w:numId="19">
    <w:abstractNumId w:val="17"/>
  </w:num>
  <w:num w:numId="20">
    <w:abstractNumId w:val="6"/>
  </w:num>
  <w:num w:numId="21">
    <w:abstractNumId w:val="13"/>
  </w:num>
  <w:num w:numId="22">
    <w:abstractNumId w:val="14"/>
  </w:num>
  <w:num w:numId="23">
    <w:abstractNumId w:val="15"/>
  </w:num>
  <w:num w:numId="24">
    <w:abstractNumId w:val="1"/>
  </w:num>
  <w:num w:numId="25">
    <w:abstractNumId w:val="8"/>
  </w:num>
  <w:num w:numId="26">
    <w:abstractNumId w:val="9"/>
  </w:num>
  <w:num w:numId="27">
    <w:abstractNumId w:val="0"/>
  </w:num>
  <w:num w:numId="28">
    <w:abstractNumId w:val="23"/>
  </w:num>
  <w:num w:numId="29">
    <w:abstractNumId w:val="23"/>
  </w:num>
  <w:num w:numId="30">
    <w:abstractNumId w:val="23"/>
  </w:num>
  <w:num w:numId="31">
    <w:abstractNumId w:val="20"/>
  </w:num>
  <w:num w:numId="32">
    <w:abstractNumId w:val="10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lickAndTypeStyle w:val="BodyText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red,#ddcf56,#ad495d,#ab9c8f,#b5d3d2,#7e6d5f,#f26631,#54534a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39"/>
    <w:rsid w:val="00001336"/>
    <w:rsid w:val="00002939"/>
    <w:rsid w:val="00004368"/>
    <w:rsid w:val="00011550"/>
    <w:rsid w:val="0001170C"/>
    <w:rsid w:val="000129D7"/>
    <w:rsid w:val="0001356A"/>
    <w:rsid w:val="00014038"/>
    <w:rsid w:val="0001508D"/>
    <w:rsid w:val="00015DBC"/>
    <w:rsid w:val="00015FA2"/>
    <w:rsid w:val="00016771"/>
    <w:rsid w:val="00016CBA"/>
    <w:rsid w:val="00017D33"/>
    <w:rsid w:val="00017E33"/>
    <w:rsid w:val="000211DA"/>
    <w:rsid w:val="0002235F"/>
    <w:rsid w:val="00022D41"/>
    <w:rsid w:val="000257E7"/>
    <w:rsid w:val="00030588"/>
    <w:rsid w:val="0003385B"/>
    <w:rsid w:val="00034B41"/>
    <w:rsid w:val="00034E45"/>
    <w:rsid w:val="00035E2A"/>
    <w:rsid w:val="00037673"/>
    <w:rsid w:val="000433AB"/>
    <w:rsid w:val="00044606"/>
    <w:rsid w:val="00044EDD"/>
    <w:rsid w:val="000452A6"/>
    <w:rsid w:val="0004636D"/>
    <w:rsid w:val="00046974"/>
    <w:rsid w:val="00050F0C"/>
    <w:rsid w:val="000513B2"/>
    <w:rsid w:val="0005328B"/>
    <w:rsid w:val="00053BB3"/>
    <w:rsid w:val="00053D8A"/>
    <w:rsid w:val="000603C8"/>
    <w:rsid w:val="00060A32"/>
    <w:rsid w:val="00061389"/>
    <w:rsid w:val="00063C90"/>
    <w:rsid w:val="000655EB"/>
    <w:rsid w:val="00065C12"/>
    <w:rsid w:val="0006693D"/>
    <w:rsid w:val="00067F6E"/>
    <w:rsid w:val="00070BAE"/>
    <w:rsid w:val="00070F05"/>
    <w:rsid w:val="000722A1"/>
    <w:rsid w:val="00074C9B"/>
    <w:rsid w:val="00075C1B"/>
    <w:rsid w:val="00075E37"/>
    <w:rsid w:val="00075F52"/>
    <w:rsid w:val="000765D3"/>
    <w:rsid w:val="000766F0"/>
    <w:rsid w:val="00076703"/>
    <w:rsid w:val="000805B2"/>
    <w:rsid w:val="00082E97"/>
    <w:rsid w:val="00082F75"/>
    <w:rsid w:val="000833A0"/>
    <w:rsid w:val="00085585"/>
    <w:rsid w:val="00085E50"/>
    <w:rsid w:val="00086164"/>
    <w:rsid w:val="000863C3"/>
    <w:rsid w:val="00090C8C"/>
    <w:rsid w:val="00092F37"/>
    <w:rsid w:val="00096275"/>
    <w:rsid w:val="00097A76"/>
    <w:rsid w:val="000A0794"/>
    <w:rsid w:val="000A2B03"/>
    <w:rsid w:val="000A3437"/>
    <w:rsid w:val="000A427A"/>
    <w:rsid w:val="000A4433"/>
    <w:rsid w:val="000A5BCC"/>
    <w:rsid w:val="000A7400"/>
    <w:rsid w:val="000A7708"/>
    <w:rsid w:val="000A7AD4"/>
    <w:rsid w:val="000B0232"/>
    <w:rsid w:val="000B108C"/>
    <w:rsid w:val="000B13AB"/>
    <w:rsid w:val="000B146D"/>
    <w:rsid w:val="000B4054"/>
    <w:rsid w:val="000B56CF"/>
    <w:rsid w:val="000B5B55"/>
    <w:rsid w:val="000B6330"/>
    <w:rsid w:val="000B7FF7"/>
    <w:rsid w:val="000C0125"/>
    <w:rsid w:val="000C0807"/>
    <w:rsid w:val="000C0D83"/>
    <w:rsid w:val="000C45A2"/>
    <w:rsid w:val="000C6046"/>
    <w:rsid w:val="000D074E"/>
    <w:rsid w:val="000D32D5"/>
    <w:rsid w:val="000D444F"/>
    <w:rsid w:val="000D47A5"/>
    <w:rsid w:val="000E0333"/>
    <w:rsid w:val="000E2E8A"/>
    <w:rsid w:val="000E537D"/>
    <w:rsid w:val="000E595E"/>
    <w:rsid w:val="000E5C21"/>
    <w:rsid w:val="000F0E24"/>
    <w:rsid w:val="000F5A74"/>
    <w:rsid w:val="000F629E"/>
    <w:rsid w:val="000F706A"/>
    <w:rsid w:val="000F7DB9"/>
    <w:rsid w:val="000F7EBB"/>
    <w:rsid w:val="0010001A"/>
    <w:rsid w:val="001020A5"/>
    <w:rsid w:val="001040CD"/>
    <w:rsid w:val="00104CCC"/>
    <w:rsid w:val="00106CDF"/>
    <w:rsid w:val="001104EF"/>
    <w:rsid w:val="00111FCA"/>
    <w:rsid w:val="00115A8C"/>
    <w:rsid w:val="00115D91"/>
    <w:rsid w:val="001204E2"/>
    <w:rsid w:val="001250BF"/>
    <w:rsid w:val="001260C2"/>
    <w:rsid w:val="00127B7F"/>
    <w:rsid w:val="00127EF8"/>
    <w:rsid w:val="00132E41"/>
    <w:rsid w:val="00135A4C"/>
    <w:rsid w:val="001360A4"/>
    <w:rsid w:val="00136E47"/>
    <w:rsid w:val="00136FF9"/>
    <w:rsid w:val="00137BA1"/>
    <w:rsid w:val="0014049B"/>
    <w:rsid w:val="00141818"/>
    <w:rsid w:val="0014252B"/>
    <w:rsid w:val="0014282B"/>
    <w:rsid w:val="00142A4D"/>
    <w:rsid w:val="00142E47"/>
    <w:rsid w:val="00143525"/>
    <w:rsid w:val="001436A7"/>
    <w:rsid w:val="00144611"/>
    <w:rsid w:val="00144B1B"/>
    <w:rsid w:val="00147220"/>
    <w:rsid w:val="0014787F"/>
    <w:rsid w:val="00152D98"/>
    <w:rsid w:val="001564B4"/>
    <w:rsid w:val="00156521"/>
    <w:rsid w:val="00156A18"/>
    <w:rsid w:val="001606F2"/>
    <w:rsid w:val="0016217F"/>
    <w:rsid w:val="001644AA"/>
    <w:rsid w:val="00165C4D"/>
    <w:rsid w:val="00166BE1"/>
    <w:rsid w:val="001702D7"/>
    <w:rsid w:val="001707ED"/>
    <w:rsid w:val="00170B04"/>
    <w:rsid w:val="00172093"/>
    <w:rsid w:val="0017313D"/>
    <w:rsid w:val="00173785"/>
    <w:rsid w:val="001756DD"/>
    <w:rsid w:val="00175CFE"/>
    <w:rsid w:val="00176846"/>
    <w:rsid w:val="001772C7"/>
    <w:rsid w:val="00177AE1"/>
    <w:rsid w:val="00180E63"/>
    <w:rsid w:val="00180EC6"/>
    <w:rsid w:val="00182E7D"/>
    <w:rsid w:val="00182EA6"/>
    <w:rsid w:val="001840DC"/>
    <w:rsid w:val="00184C6E"/>
    <w:rsid w:val="00187D56"/>
    <w:rsid w:val="00190A25"/>
    <w:rsid w:val="0019224A"/>
    <w:rsid w:val="00193384"/>
    <w:rsid w:val="001957F2"/>
    <w:rsid w:val="0019627A"/>
    <w:rsid w:val="00197485"/>
    <w:rsid w:val="001A0653"/>
    <w:rsid w:val="001A157D"/>
    <w:rsid w:val="001A42F6"/>
    <w:rsid w:val="001A4314"/>
    <w:rsid w:val="001A4CB0"/>
    <w:rsid w:val="001A4F3D"/>
    <w:rsid w:val="001A64D6"/>
    <w:rsid w:val="001A676A"/>
    <w:rsid w:val="001A76CD"/>
    <w:rsid w:val="001A7A00"/>
    <w:rsid w:val="001B0BC3"/>
    <w:rsid w:val="001B11EB"/>
    <w:rsid w:val="001B1559"/>
    <w:rsid w:val="001B1AFF"/>
    <w:rsid w:val="001B3A25"/>
    <w:rsid w:val="001B40B6"/>
    <w:rsid w:val="001B7441"/>
    <w:rsid w:val="001B7D36"/>
    <w:rsid w:val="001C0549"/>
    <w:rsid w:val="001C1650"/>
    <w:rsid w:val="001C18A5"/>
    <w:rsid w:val="001C27CC"/>
    <w:rsid w:val="001C27DD"/>
    <w:rsid w:val="001C54D5"/>
    <w:rsid w:val="001C557B"/>
    <w:rsid w:val="001C68A6"/>
    <w:rsid w:val="001C6E03"/>
    <w:rsid w:val="001C6E25"/>
    <w:rsid w:val="001C7FAB"/>
    <w:rsid w:val="001D0D54"/>
    <w:rsid w:val="001D0D75"/>
    <w:rsid w:val="001D21D0"/>
    <w:rsid w:val="001D24B1"/>
    <w:rsid w:val="001D2D04"/>
    <w:rsid w:val="001D5233"/>
    <w:rsid w:val="001D65A4"/>
    <w:rsid w:val="001E521E"/>
    <w:rsid w:val="001E5458"/>
    <w:rsid w:val="001E61C0"/>
    <w:rsid w:val="001E77A7"/>
    <w:rsid w:val="001E7C2A"/>
    <w:rsid w:val="001F0E53"/>
    <w:rsid w:val="001F0E62"/>
    <w:rsid w:val="001F1365"/>
    <w:rsid w:val="001F353B"/>
    <w:rsid w:val="001F39C9"/>
    <w:rsid w:val="001F4CD3"/>
    <w:rsid w:val="001F4E51"/>
    <w:rsid w:val="001F5AA9"/>
    <w:rsid w:val="001F6862"/>
    <w:rsid w:val="0020245F"/>
    <w:rsid w:val="002028B6"/>
    <w:rsid w:val="00203160"/>
    <w:rsid w:val="0020351B"/>
    <w:rsid w:val="0020410B"/>
    <w:rsid w:val="00205AA6"/>
    <w:rsid w:val="0021017E"/>
    <w:rsid w:val="00212975"/>
    <w:rsid w:val="00212F3C"/>
    <w:rsid w:val="00213176"/>
    <w:rsid w:val="00214C9D"/>
    <w:rsid w:val="002178C9"/>
    <w:rsid w:val="00222F3B"/>
    <w:rsid w:val="00226029"/>
    <w:rsid w:val="00226880"/>
    <w:rsid w:val="0022688E"/>
    <w:rsid w:val="002274D0"/>
    <w:rsid w:val="00227783"/>
    <w:rsid w:val="00227D6B"/>
    <w:rsid w:val="00230BD1"/>
    <w:rsid w:val="00230F10"/>
    <w:rsid w:val="00231CB6"/>
    <w:rsid w:val="00232097"/>
    <w:rsid w:val="00233570"/>
    <w:rsid w:val="00233D7A"/>
    <w:rsid w:val="00234540"/>
    <w:rsid w:val="00234583"/>
    <w:rsid w:val="00234D37"/>
    <w:rsid w:val="00236C53"/>
    <w:rsid w:val="0023729C"/>
    <w:rsid w:val="00237451"/>
    <w:rsid w:val="0024071E"/>
    <w:rsid w:val="00240A07"/>
    <w:rsid w:val="00243468"/>
    <w:rsid w:val="0024348E"/>
    <w:rsid w:val="00244F96"/>
    <w:rsid w:val="002452D0"/>
    <w:rsid w:val="0024542D"/>
    <w:rsid w:val="0024630C"/>
    <w:rsid w:val="00247D70"/>
    <w:rsid w:val="00247F6A"/>
    <w:rsid w:val="002505BE"/>
    <w:rsid w:val="00250D70"/>
    <w:rsid w:val="002515F6"/>
    <w:rsid w:val="0025173D"/>
    <w:rsid w:val="00253146"/>
    <w:rsid w:val="00253B3E"/>
    <w:rsid w:val="00254E43"/>
    <w:rsid w:val="00254E51"/>
    <w:rsid w:val="00257199"/>
    <w:rsid w:val="002600C7"/>
    <w:rsid w:val="00260CE2"/>
    <w:rsid w:val="00261856"/>
    <w:rsid w:val="0026347A"/>
    <w:rsid w:val="00263B78"/>
    <w:rsid w:val="002647C5"/>
    <w:rsid w:val="00266A89"/>
    <w:rsid w:val="00266B56"/>
    <w:rsid w:val="00266C05"/>
    <w:rsid w:val="002702DD"/>
    <w:rsid w:val="00272699"/>
    <w:rsid w:val="0027351E"/>
    <w:rsid w:val="0027441E"/>
    <w:rsid w:val="0027483C"/>
    <w:rsid w:val="00281D52"/>
    <w:rsid w:val="002820D7"/>
    <w:rsid w:val="00286E03"/>
    <w:rsid w:val="00287F57"/>
    <w:rsid w:val="00291B3A"/>
    <w:rsid w:val="00292656"/>
    <w:rsid w:val="00292C3C"/>
    <w:rsid w:val="00294AA6"/>
    <w:rsid w:val="00294D4C"/>
    <w:rsid w:val="00296270"/>
    <w:rsid w:val="00297DF9"/>
    <w:rsid w:val="002A1D2F"/>
    <w:rsid w:val="002A1DE3"/>
    <w:rsid w:val="002A2305"/>
    <w:rsid w:val="002A477C"/>
    <w:rsid w:val="002A4BB1"/>
    <w:rsid w:val="002A561C"/>
    <w:rsid w:val="002A6CE4"/>
    <w:rsid w:val="002A7C20"/>
    <w:rsid w:val="002B02EA"/>
    <w:rsid w:val="002B1624"/>
    <w:rsid w:val="002B1C3F"/>
    <w:rsid w:val="002B1D0E"/>
    <w:rsid w:val="002B2514"/>
    <w:rsid w:val="002B3053"/>
    <w:rsid w:val="002B33AD"/>
    <w:rsid w:val="002B3E15"/>
    <w:rsid w:val="002B4651"/>
    <w:rsid w:val="002B7D4C"/>
    <w:rsid w:val="002C018F"/>
    <w:rsid w:val="002C0F44"/>
    <w:rsid w:val="002C159E"/>
    <w:rsid w:val="002C23D1"/>
    <w:rsid w:val="002C257C"/>
    <w:rsid w:val="002C5AF0"/>
    <w:rsid w:val="002C7822"/>
    <w:rsid w:val="002C79E4"/>
    <w:rsid w:val="002D12ED"/>
    <w:rsid w:val="002D468F"/>
    <w:rsid w:val="002D5055"/>
    <w:rsid w:val="002D51FB"/>
    <w:rsid w:val="002D5DED"/>
    <w:rsid w:val="002D657C"/>
    <w:rsid w:val="002D6E19"/>
    <w:rsid w:val="002D7A0A"/>
    <w:rsid w:val="002E000E"/>
    <w:rsid w:val="002E0115"/>
    <w:rsid w:val="002E1AC2"/>
    <w:rsid w:val="002E2CDD"/>
    <w:rsid w:val="002E499B"/>
    <w:rsid w:val="002E626C"/>
    <w:rsid w:val="002E7F6A"/>
    <w:rsid w:val="002F056E"/>
    <w:rsid w:val="002F1AB4"/>
    <w:rsid w:val="002F3393"/>
    <w:rsid w:val="002F36D2"/>
    <w:rsid w:val="002F3C1A"/>
    <w:rsid w:val="002F3E97"/>
    <w:rsid w:val="002F4300"/>
    <w:rsid w:val="002F489A"/>
    <w:rsid w:val="002F5C7D"/>
    <w:rsid w:val="003005E0"/>
    <w:rsid w:val="003023FD"/>
    <w:rsid w:val="0030414F"/>
    <w:rsid w:val="00305213"/>
    <w:rsid w:val="0030533F"/>
    <w:rsid w:val="00305565"/>
    <w:rsid w:val="00310C02"/>
    <w:rsid w:val="0031131B"/>
    <w:rsid w:val="00312B95"/>
    <w:rsid w:val="00312E50"/>
    <w:rsid w:val="003147DD"/>
    <w:rsid w:val="00315D84"/>
    <w:rsid w:val="00316AAC"/>
    <w:rsid w:val="00316B0B"/>
    <w:rsid w:val="00321C81"/>
    <w:rsid w:val="00322444"/>
    <w:rsid w:val="003225AB"/>
    <w:rsid w:val="00323965"/>
    <w:rsid w:val="00330A76"/>
    <w:rsid w:val="00330ADD"/>
    <w:rsid w:val="00330D74"/>
    <w:rsid w:val="00332945"/>
    <w:rsid w:val="00333127"/>
    <w:rsid w:val="003341A9"/>
    <w:rsid w:val="00334B60"/>
    <w:rsid w:val="003360B5"/>
    <w:rsid w:val="003368B5"/>
    <w:rsid w:val="003369D5"/>
    <w:rsid w:val="00336FAC"/>
    <w:rsid w:val="003379F3"/>
    <w:rsid w:val="00337AAE"/>
    <w:rsid w:val="003405D1"/>
    <w:rsid w:val="00341566"/>
    <w:rsid w:val="00342A5A"/>
    <w:rsid w:val="003458FF"/>
    <w:rsid w:val="00345C2F"/>
    <w:rsid w:val="0034794C"/>
    <w:rsid w:val="00347D10"/>
    <w:rsid w:val="00347E04"/>
    <w:rsid w:val="0035098F"/>
    <w:rsid w:val="003519F8"/>
    <w:rsid w:val="003522B0"/>
    <w:rsid w:val="00352A66"/>
    <w:rsid w:val="00352C93"/>
    <w:rsid w:val="00354442"/>
    <w:rsid w:val="00354CF6"/>
    <w:rsid w:val="003557A9"/>
    <w:rsid w:val="0035655A"/>
    <w:rsid w:val="00356D8A"/>
    <w:rsid w:val="00357879"/>
    <w:rsid w:val="00360C27"/>
    <w:rsid w:val="0036152B"/>
    <w:rsid w:val="00361A07"/>
    <w:rsid w:val="00362300"/>
    <w:rsid w:val="00362945"/>
    <w:rsid w:val="00363DA6"/>
    <w:rsid w:val="003643A3"/>
    <w:rsid w:val="00364555"/>
    <w:rsid w:val="0036493C"/>
    <w:rsid w:val="00365BED"/>
    <w:rsid w:val="00365ECE"/>
    <w:rsid w:val="00366135"/>
    <w:rsid w:val="00366EAE"/>
    <w:rsid w:val="003670AF"/>
    <w:rsid w:val="0037000D"/>
    <w:rsid w:val="00372980"/>
    <w:rsid w:val="00372C90"/>
    <w:rsid w:val="00373509"/>
    <w:rsid w:val="00373545"/>
    <w:rsid w:val="00373D61"/>
    <w:rsid w:val="003813B0"/>
    <w:rsid w:val="00381894"/>
    <w:rsid w:val="00382BC2"/>
    <w:rsid w:val="003852FD"/>
    <w:rsid w:val="003864C0"/>
    <w:rsid w:val="00386714"/>
    <w:rsid w:val="00386BBA"/>
    <w:rsid w:val="00386D59"/>
    <w:rsid w:val="003870E2"/>
    <w:rsid w:val="003908F2"/>
    <w:rsid w:val="0039171C"/>
    <w:rsid w:val="00393C49"/>
    <w:rsid w:val="00395037"/>
    <w:rsid w:val="003950F3"/>
    <w:rsid w:val="00396AAB"/>
    <w:rsid w:val="00396E51"/>
    <w:rsid w:val="00396FEE"/>
    <w:rsid w:val="00397842"/>
    <w:rsid w:val="003A12E4"/>
    <w:rsid w:val="003A1A4E"/>
    <w:rsid w:val="003A2AFB"/>
    <w:rsid w:val="003A3E3B"/>
    <w:rsid w:val="003A437D"/>
    <w:rsid w:val="003A5F6E"/>
    <w:rsid w:val="003B01D4"/>
    <w:rsid w:val="003B0602"/>
    <w:rsid w:val="003B3833"/>
    <w:rsid w:val="003B5B3A"/>
    <w:rsid w:val="003B669E"/>
    <w:rsid w:val="003B6AF8"/>
    <w:rsid w:val="003C1765"/>
    <w:rsid w:val="003C1A66"/>
    <w:rsid w:val="003C1DC5"/>
    <w:rsid w:val="003C4418"/>
    <w:rsid w:val="003D277A"/>
    <w:rsid w:val="003D3401"/>
    <w:rsid w:val="003D41D9"/>
    <w:rsid w:val="003D7C66"/>
    <w:rsid w:val="003E15BE"/>
    <w:rsid w:val="003E2C82"/>
    <w:rsid w:val="003E4703"/>
    <w:rsid w:val="003E4C57"/>
    <w:rsid w:val="003E4E42"/>
    <w:rsid w:val="003E6A24"/>
    <w:rsid w:val="003E74A4"/>
    <w:rsid w:val="003F0648"/>
    <w:rsid w:val="003F159A"/>
    <w:rsid w:val="003F23B0"/>
    <w:rsid w:val="003F291D"/>
    <w:rsid w:val="003F2F80"/>
    <w:rsid w:val="003F4406"/>
    <w:rsid w:val="003F4998"/>
    <w:rsid w:val="003F6535"/>
    <w:rsid w:val="003F7DFD"/>
    <w:rsid w:val="004008B3"/>
    <w:rsid w:val="00401BE7"/>
    <w:rsid w:val="00403EC1"/>
    <w:rsid w:val="00404981"/>
    <w:rsid w:val="00404EA8"/>
    <w:rsid w:val="004069E3"/>
    <w:rsid w:val="00407CFC"/>
    <w:rsid w:val="00410D4E"/>
    <w:rsid w:val="00411191"/>
    <w:rsid w:val="00412989"/>
    <w:rsid w:val="004131F2"/>
    <w:rsid w:val="004134D4"/>
    <w:rsid w:val="00414418"/>
    <w:rsid w:val="004146C9"/>
    <w:rsid w:val="00416765"/>
    <w:rsid w:val="004174E5"/>
    <w:rsid w:val="00420072"/>
    <w:rsid w:val="004202ED"/>
    <w:rsid w:val="0042107B"/>
    <w:rsid w:val="0042222F"/>
    <w:rsid w:val="00422524"/>
    <w:rsid w:val="00422662"/>
    <w:rsid w:val="004226D0"/>
    <w:rsid w:val="004229B0"/>
    <w:rsid w:val="0042350C"/>
    <w:rsid w:val="00425388"/>
    <w:rsid w:val="00427DB3"/>
    <w:rsid w:val="0043018B"/>
    <w:rsid w:val="004316EE"/>
    <w:rsid w:val="00433FEB"/>
    <w:rsid w:val="0043622D"/>
    <w:rsid w:val="00442000"/>
    <w:rsid w:val="00442BE6"/>
    <w:rsid w:val="0044452B"/>
    <w:rsid w:val="00445908"/>
    <w:rsid w:val="00446BFE"/>
    <w:rsid w:val="00447A92"/>
    <w:rsid w:val="00447F42"/>
    <w:rsid w:val="0045116A"/>
    <w:rsid w:val="00451E60"/>
    <w:rsid w:val="00452C48"/>
    <w:rsid w:val="00452E9D"/>
    <w:rsid w:val="0045304C"/>
    <w:rsid w:val="004530AC"/>
    <w:rsid w:val="00453EB3"/>
    <w:rsid w:val="00454368"/>
    <w:rsid w:val="004547C0"/>
    <w:rsid w:val="00454AE8"/>
    <w:rsid w:val="004559D3"/>
    <w:rsid w:val="00456D32"/>
    <w:rsid w:val="0045720E"/>
    <w:rsid w:val="00457853"/>
    <w:rsid w:val="00457902"/>
    <w:rsid w:val="00460B25"/>
    <w:rsid w:val="00461AD2"/>
    <w:rsid w:val="00462797"/>
    <w:rsid w:val="00464228"/>
    <w:rsid w:val="00467537"/>
    <w:rsid w:val="00467E42"/>
    <w:rsid w:val="0047058E"/>
    <w:rsid w:val="00471026"/>
    <w:rsid w:val="004732C0"/>
    <w:rsid w:val="00473A93"/>
    <w:rsid w:val="00473CE5"/>
    <w:rsid w:val="00474394"/>
    <w:rsid w:val="004744D3"/>
    <w:rsid w:val="00475C1B"/>
    <w:rsid w:val="00475EFF"/>
    <w:rsid w:val="00476144"/>
    <w:rsid w:val="0047786B"/>
    <w:rsid w:val="0048057B"/>
    <w:rsid w:val="00481F64"/>
    <w:rsid w:val="004822A1"/>
    <w:rsid w:val="00482EF4"/>
    <w:rsid w:val="0048343C"/>
    <w:rsid w:val="00483A17"/>
    <w:rsid w:val="00483DD5"/>
    <w:rsid w:val="004845F1"/>
    <w:rsid w:val="00484BC2"/>
    <w:rsid w:val="00486E8C"/>
    <w:rsid w:val="004872E3"/>
    <w:rsid w:val="00487630"/>
    <w:rsid w:val="004900C1"/>
    <w:rsid w:val="00490743"/>
    <w:rsid w:val="00491178"/>
    <w:rsid w:val="004914D1"/>
    <w:rsid w:val="00492FC4"/>
    <w:rsid w:val="00493037"/>
    <w:rsid w:val="00494CD3"/>
    <w:rsid w:val="00494FB3"/>
    <w:rsid w:val="004955A5"/>
    <w:rsid w:val="004956D6"/>
    <w:rsid w:val="00495EF4"/>
    <w:rsid w:val="00496D19"/>
    <w:rsid w:val="00496DF9"/>
    <w:rsid w:val="00497240"/>
    <w:rsid w:val="004A154E"/>
    <w:rsid w:val="004A15DE"/>
    <w:rsid w:val="004A2EFC"/>
    <w:rsid w:val="004A472E"/>
    <w:rsid w:val="004A4B6B"/>
    <w:rsid w:val="004B0361"/>
    <w:rsid w:val="004B3904"/>
    <w:rsid w:val="004B42F1"/>
    <w:rsid w:val="004B6157"/>
    <w:rsid w:val="004B73AE"/>
    <w:rsid w:val="004B7492"/>
    <w:rsid w:val="004B7C61"/>
    <w:rsid w:val="004C0E63"/>
    <w:rsid w:val="004C3546"/>
    <w:rsid w:val="004C3568"/>
    <w:rsid w:val="004C4638"/>
    <w:rsid w:val="004C60B8"/>
    <w:rsid w:val="004C7DD7"/>
    <w:rsid w:val="004D18D0"/>
    <w:rsid w:val="004D27D6"/>
    <w:rsid w:val="004D2F5D"/>
    <w:rsid w:val="004D5771"/>
    <w:rsid w:val="004D79AD"/>
    <w:rsid w:val="004E493E"/>
    <w:rsid w:val="004E6274"/>
    <w:rsid w:val="004E63CC"/>
    <w:rsid w:val="004F096E"/>
    <w:rsid w:val="004F0BE2"/>
    <w:rsid w:val="004F256B"/>
    <w:rsid w:val="004F5DFB"/>
    <w:rsid w:val="004F72C7"/>
    <w:rsid w:val="004F75A1"/>
    <w:rsid w:val="004F796F"/>
    <w:rsid w:val="004F79BD"/>
    <w:rsid w:val="00502E98"/>
    <w:rsid w:val="005031B6"/>
    <w:rsid w:val="00506BC4"/>
    <w:rsid w:val="00507A63"/>
    <w:rsid w:val="00507D05"/>
    <w:rsid w:val="00510FCB"/>
    <w:rsid w:val="00511D54"/>
    <w:rsid w:val="00513602"/>
    <w:rsid w:val="00515372"/>
    <w:rsid w:val="005157A6"/>
    <w:rsid w:val="00517E81"/>
    <w:rsid w:val="0052067C"/>
    <w:rsid w:val="00522F30"/>
    <w:rsid w:val="00530648"/>
    <w:rsid w:val="00531479"/>
    <w:rsid w:val="005335EE"/>
    <w:rsid w:val="005343DE"/>
    <w:rsid w:val="005348EF"/>
    <w:rsid w:val="005351E9"/>
    <w:rsid w:val="005353FE"/>
    <w:rsid w:val="005363D4"/>
    <w:rsid w:val="005374AC"/>
    <w:rsid w:val="00537DAB"/>
    <w:rsid w:val="005445D6"/>
    <w:rsid w:val="00545090"/>
    <w:rsid w:val="00545FDA"/>
    <w:rsid w:val="00546C44"/>
    <w:rsid w:val="005510FE"/>
    <w:rsid w:val="00551157"/>
    <w:rsid w:val="00556B35"/>
    <w:rsid w:val="00561EE2"/>
    <w:rsid w:val="005631AD"/>
    <w:rsid w:val="005639EA"/>
    <w:rsid w:val="00564BCE"/>
    <w:rsid w:val="005667D5"/>
    <w:rsid w:val="00566E0D"/>
    <w:rsid w:val="005722A1"/>
    <w:rsid w:val="00572319"/>
    <w:rsid w:val="00572841"/>
    <w:rsid w:val="00573B43"/>
    <w:rsid w:val="00575350"/>
    <w:rsid w:val="0057554C"/>
    <w:rsid w:val="00580DC4"/>
    <w:rsid w:val="0058536F"/>
    <w:rsid w:val="00585433"/>
    <w:rsid w:val="0058729F"/>
    <w:rsid w:val="005879C7"/>
    <w:rsid w:val="0059107D"/>
    <w:rsid w:val="005910A3"/>
    <w:rsid w:val="00591DD6"/>
    <w:rsid w:val="005925E4"/>
    <w:rsid w:val="00592A83"/>
    <w:rsid w:val="00593B07"/>
    <w:rsid w:val="00593E3E"/>
    <w:rsid w:val="00594205"/>
    <w:rsid w:val="005942EA"/>
    <w:rsid w:val="005943A7"/>
    <w:rsid w:val="00596832"/>
    <w:rsid w:val="005A1052"/>
    <w:rsid w:val="005A341D"/>
    <w:rsid w:val="005A3AA3"/>
    <w:rsid w:val="005A3FE0"/>
    <w:rsid w:val="005B2981"/>
    <w:rsid w:val="005B522F"/>
    <w:rsid w:val="005B7710"/>
    <w:rsid w:val="005C10C7"/>
    <w:rsid w:val="005C206D"/>
    <w:rsid w:val="005C2C17"/>
    <w:rsid w:val="005C349D"/>
    <w:rsid w:val="005C4005"/>
    <w:rsid w:val="005C4BD3"/>
    <w:rsid w:val="005C6FD6"/>
    <w:rsid w:val="005C7A9F"/>
    <w:rsid w:val="005D0AF9"/>
    <w:rsid w:val="005D1E18"/>
    <w:rsid w:val="005D23C9"/>
    <w:rsid w:val="005D244B"/>
    <w:rsid w:val="005D2B37"/>
    <w:rsid w:val="005D4513"/>
    <w:rsid w:val="005D4715"/>
    <w:rsid w:val="005D6F2C"/>
    <w:rsid w:val="005E0A0B"/>
    <w:rsid w:val="005E1748"/>
    <w:rsid w:val="005E1812"/>
    <w:rsid w:val="005E1AF2"/>
    <w:rsid w:val="005E1D7A"/>
    <w:rsid w:val="005E2411"/>
    <w:rsid w:val="005E344F"/>
    <w:rsid w:val="005E3CEF"/>
    <w:rsid w:val="005E51D2"/>
    <w:rsid w:val="005E6A91"/>
    <w:rsid w:val="005E725C"/>
    <w:rsid w:val="005F094E"/>
    <w:rsid w:val="005F168A"/>
    <w:rsid w:val="005F177B"/>
    <w:rsid w:val="005F1840"/>
    <w:rsid w:val="005F218A"/>
    <w:rsid w:val="005F2846"/>
    <w:rsid w:val="005F2F06"/>
    <w:rsid w:val="005F356A"/>
    <w:rsid w:val="005F5193"/>
    <w:rsid w:val="005F5C10"/>
    <w:rsid w:val="005F5C2F"/>
    <w:rsid w:val="005F710E"/>
    <w:rsid w:val="005F7879"/>
    <w:rsid w:val="006007F6"/>
    <w:rsid w:val="00600A18"/>
    <w:rsid w:val="00600B0F"/>
    <w:rsid w:val="00601D94"/>
    <w:rsid w:val="0060242F"/>
    <w:rsid w:val="00602D21"/>
    <w:rsid w:val="00604147"/>
    <w:rsid w:val="00605815"/>
    <w:rsid w:val="00605C82"/>
    <w:rsid w:val="0060617B"/>
    <w:rsid w:val="00607E92"/>
    <w:rsid w:val="00614A27"/>
    <w:rsid w:val="00615247"/>
    <w:rsid w:val="006155FC"/>
    <w:rsid w:val="00615695"/>
    <w:rsid w:val="00615F55"/>
    <w:rsid w:val="00616254"/>
    <w:rsid w:val="006203BD"/>
    <w:rsid w:val="0062059B"/>
    <w:rsid w:val="006247BA"/>
    <w:rsid w:val="00624B89"/>
    <w:rsid w:val="00624C5C"/>
    <w:rsid w:val="00627E76"/>
    <w:rsid w:val="006323A6"/>
    <w:rsid w:val="00632B1F"/>
    <w:rsid w:val="00635A99"/>
    <w:rsid w:val="0063627C"/>
    <w:rsid w:val="00636A86"/>
    <w:rsid w:val="00645987"/>
    <w:rsid w:val="0065046E"/>
    <w:rsid w:val="006504EE"/>
    <w:rsid w:val="00650B00"/>
    <w:rsid w:val="0065259E"/>
    <w:rsid w:val="0065282A"/>
    <w:rsid w:val="00652F48"/>
    <w:rsid w:val="006536A9"/>
    <w:rsid w:val="00657C61"/>
    <w:rsid w:val="00657CB6"/>
    <w:rsid w:val="00657E00"/>
    <w:rsid w:val="006613A9"/>
    <w:rsid w:val="006625B4"/>
    <w:rsid w:val="00663265"/>
    <w:rsid w:val="006640FE"/>
    <w:rsid w:val="00671255"/>
    <w:rsid w:val="00672BEE"/>
    <w:rsid w:val="00673E40"/>
    <w:rsid w:val="00674467"/>
    <w:rsid w:val="0067448D"/>
    <w:rsid w:val="006762E5"/>
    <w:rsid w:val="006764C8"/>
    <w:rsid w:val="006766E8"/>
    <w:rsid w:val="006777A0"/>
    <w:rsid w:val="006813C8"/>
    <w:rsid w:val="00681A3E"/>
    <w:rsid w:val="00682A07"/>
    <w:rsid w:val="00683B97"/>
    <w:rsid w:val="00683CCF"/>
    <w:rsid w:val="00683DC7"/>
    <w:rsid w:val="00683E06"/>
    <w:rsid w:val="006846ED"/>
    <w:rsid w:val="0068568E"/>
    <w:rsid w:val="00685B51"/>
    <w:rsid w:val="00685E07"/>
    <w:rsid w:val="0069068B"/>
    <w:rsid w:val="006931D5"/>
    <w:rsid w:val="00694103"/>
    <w:rsid w:val="006974FC"/>
    <w:rsid w:val="006A0482"/>
    <w:rsid w:val="006A13BF"/>
    <w:rsid w:val="006A4046"/>
    <w:rsid w:val="006A53F6"/>
    <w:rsid w:val="006B37C2"/>
    <w:rsid w:val="006B432F"/>
    <w:rsid w:val="006B50EE"/>
    <w:rsid w:val="006B7C24"/>
    <w:rsid w:val="006B7CF9"/>
    <w:rsid w:val="006C0139"/>
    <w:rsid w:val="006C111C"/>
    <w:rsid w:val="006C1AEE"/>
    <w:rsid w:val="006C27E2"/>
    <w:rsid w:val="006C3927"/>
    <w:rsid w:val="006C3ADA"/>
    <w:rsid w:val="006C426E"/>
    <w:rsid w:val="006C51F7"/>
    <w:rsid w:val="006C5937"/>
    <w:rsid w:val="006C6452"/>
    <w:rsid w:val="006C6761"/>
    <w:rsid w:val="006D0368"/>
    <w:rsid w:val="006D2333"/>
    <w:rsid w:val="006D2DEC"/>
    <w:rsid w:val="006D3DBE"/>
    <w:rsid w:val="006D571E"/>
    <w:rsid w:val="006D6CC7"/>
    <w:rsid w:val="006D70CD"/>
    <w:rsid w:val="006D7C85"/>
    <w:rsid w:val="006E1CA2"/>
    <w:rsid w:val="006E2C81"/>
    <w:rsid w:val="006E343F"/>
    <w:rsid w:val="006E42F5"/>
    <w:rsid w:val="006E4AA9"/>
    <w:rsid w:val="006E53D1"/>
    <w:rsid w:val="006E6D0A"/>
    <w:rsid w:val="006E6DB3"/>
    <w:rsid w:val="006E7CC1"/>
    <w:rsid w:val="006F0B6B"/>
    <w:rsid w:val="006F12D4"/>
    <w:rsid w:val="006F1E01"/>
    <w:rsid w:val="006F47C8"/>
    <w:rsid w:val="006F4AF5"/>
    <w:rsid w:val="006F51F9"/>
    <w:rsid w:val="006F590C"/>
    <w:rsid w:val="006F715C"/>
    <w:rsid w:val="006F7A23"/>
    <w:rsid w:val="0070010D"/>
    <w:rsid w:val="007004DA"/>
    <w:rsid w:val="00701726"/>
    <w:rsid w:val="007031E2"/>
    <w:rsid w:val="00703733"/>
    <w:rsid w:val="00711B43"/>
    <w:rsid w:val="007122CC"/>
    <w:rsid w:val="00716799"/>
    <w:rsid w:val="007169CB"/>
    <w:rsid w:val="0072229D"/>
    <w:rsid w:val="007339FC"/>
    <w:rsid w:val="00733A81"/>
    <w:rsid w:val="00734825"/>
    <w:rsid w:val="0073548A"/>
    <w:rsid w:val="007375CF"/>
    <w:rsid w:val="00737F14"/>
    <w:rsid w:val="00740BD4"/>
    <w:rsid w:val="00742F5B"/>
    <w:rsid w:val="0074328B"/>
    <w:rsid w:val="0074604E"/>
    <w:rsid w:val="00747BE2"/>
    <w:rsid w:val="007500A2"/>
    <w:rsid w:val="00751A18"/>
    <w:rsid w:val="0075426C"/>
    <w:rsid w:val="00754B6C"/>
    <w:rsid w:val="007609DE"/>
    <w:rsid w:val="00760D7B"/>
    <w:rsid w:val="00762176"/>
    <w:rsid w:val="0076664B"/>
    <w:rsid w:val="00766D48"/>
    <w:rsid w:val="00770CD1"/>
    <w:rsid w:val="00773ADD"/>
    <w:rsid w:val="00774FA0"/>
    <w:rsid w:val="00777A11"/>
    <w:rsid w:val="0078013B"/>
    <w:rsid w:val="00780E9B"/>
    <w:rsid w:val="00782384"/>
    <w:rsid w:val="00782EE4"/>
    <w:rsid w:val="00784027"/>
    <w:rsid w:val="007848F3"/>
    <w:rsid w:val="00784C7B"/>
    <w:rsid w:val="007857B4"/>
    <w:rsid w:val="007864C1"/>
    <w:rsid w:val="00786718"/>
    <w:rsid w:val="0079042D"/>
    <w:rsid w:val="00791CE4"/>
    <w:rsid w:val="00794312"/>
    <w:rsid w:val="0079518B"/>
    <w:rsid w:val="00797032"/>
    <w:rsid w:val="00797D46"/>
    <w:rsid w:val="007A01CC"/>
    <w:rsid w:val="007A0524"/>
    <w:rsid w:val="007A2597"/>
    <w:rsid w:val="007A25C9"/>
    <w:rsid w:val="007A2D4A"/>
    <w:rsid w:val="007A32BB"/>
    <w:rsid w:val="007A4679"/>
    <w:rsid w:val="007A4C9D"/>
    <w:rsid w:val="007A5DFF"/>
    <w:rsid w:val="007B149E"/>
    <w:rsid w:val="007B19B1"/>
    <w:rsid w:val="007B1D16"/>
    <w:rsid w:val="007B2DB4"/>
    <w:rsid w:val="007B3B56"/>
    <w:rsid w:val="007B403A"/>
    <w:rsid w:val="007B4213"/>
    <w:rsid w:val="007B4677"/>
    <w:rsid w:val="007B497F"/>
    <w:rsid w:val="007B4ED1"/>
    <w:rsid w:val="007B794B"/>
    <w:rsid w:val="007C0DEC"/>
    <w:rsid w:val="007C1ECE"/>
    <w:rsid w:val="007C3820"/>
    <w:rsid w:val="007C4C18"/>
    <w:rsid w:val="007D1A32"/>
    <w:rsid w:val="007D3FA4"/>
    <w:rsid w:val="007D5153"/>
    <w:rsid w:val="007D620F"/>
    <w:rsid w:val="007E14BD"/>
    <w:rsid w:val="007E31EA"/>
    <w:rsid w:val="007E3B25"/>
    <w:rsid w:val="007E3B7D"/>
    <w:rsid w:val="007E5A22"/>
    <w:rsid w:val="007E7710"/>
    <w:rsid w:val="007F0DD6"/>
    <w:rsid w:val="007F2008"/>
    <w:rsid w:val="007F22AC"/>
    <w:rsid w:val="007F29E1"/>
    <w:rsid w:val="007F2C04"/>
    <w:rsid w:val="007F42E3"/>
    <w:rsid w:val="007F4388"/>
    <w:rsid w:val="007F4788"/>
    <w:rsid w:val="007F618A"/>
    <w:rsid w:val="00801104"/>
    <w:rsid w:val="00801432"/>
    <w:rsid w:val="00802290"/>
    <w:rsid w:val="00803305"/>
    <w:rsid w:val="0080375B"/>
    <w:rsid w:val="008039A7"/>
    <w:rsid w:val="00803FCC"/>
    <w:rsid w:val="008041F5"/>
    <w:rsid w:val="00804F53"/>
    <w:rsid w:val="0081042F"/>
    <w:rsid w:val="008120AF"/>
    <w:rsid w:val="008125B6"/>
    <w:rsid w:val="00812625"/>
    <w:rsid w:val="00814127"/>
    <w:rsid w:val="00814DBF"/>
    <w:rsid w:val="00817759"/>
    <w:rsid w:val="00817C8F"/>
    <w:rsid w:val="00820982"/>
    <w:rsid w:val="008213C2"/>
    <w:rsid w:val="0082170D"/>
    <w:rsid w:val="0082187A"/>
    <w:rsid w:val="00822223"/>
    <w:rsid w:val="00822802"/>
    <w:rsid w:val="00825521"/>
    <w:rsid w:val="00831989"/>
    <w:rsid w:val="00831EBD"/>
    <w:rsid w:val="008358B7"/>
    <w:rsid w:val="00836BE4"/>
    <w:rsid w:val="008378B4"/>
    <w:rsid w:val="00840A1A"/>
    <w:rsid w:val="00840D02"/>
    <w:rsid w:val="008431E0"/>
    <w:rsid w:val="00843A16"/>
    <w:rsid w:val="008440CF"/>
    <w:rsid w:val="00844665"/>
    <w:rsid w:val="00845E4B"/>
    <w:rsid w:val="00846735"/>
    <w:rsid w:val="00846837"/>
    <w:rsid w:val="00846E42"/>
    <w:rsid w:val="00846E7B"/>
    <w:rsid w:val="00850601"/>
    <w:rsid w:val="00852698"/>
    <w:rsid w:val="008527C1"/>
    <w:rsid w:val="00852948"/>
    <w:rsid w:val="00853065"/>
    <w:rsid w:val="00854598"/>
    <w:rsid w:val="00855392"/>
    <w:rsid w:val="00856BDC"/>
    <w:rsid w:val="00857CBA"/>
    <w:rsid w:val="00861C4F"/>
    <w:rsid w:val="00862D0B"/>
    <w:rsid w:val="00863D30"/>
    <w:rsid w:val="008642DF"/>
    <w:rsid w:val="0086434F"/>
    <w:rsid w:val="00864FC3"/>
    <w:rsid w:val="00865AD8"/>
    <w:rsid w:val="00866CE0"/>
    <w:rsid w:val="008721CC"/>
    <w:rsid w:val="00872226"/>
    <w:rsid w:val="0087239F"/>
    <w:rsid w:val="00872B47"/>
    <w:rsid w:val="00874730"/>
    <w:rsid w:val="00874878"/>
    <w:rsid w:val="008751CE"/>
    <w:rsid w:val="00875F84"/>
    <w:rsid w:val="0087645F"/>
    <w:rsid w:val="008773C3"/>
    <w:rsid w:val="00877623"/>
    <w:rsid w:val="00877809"/>
    <w:rsid w:val="008824EE"/>
    <w:rsid w:val="00882B7E"/>
    <w:rsid w:val="00882D96"/>
    <w:rsid w:val="00883EFA"/>
    <w:rsid w:val="00885A80"/>
    <w:rsid w:val="008867F6"/>
    <w:rsid w:val="00887818"/>
    <w:rsid w:val="00892C54"/>
    <w:rsid w:val="00893260"/>
    <w:rsid w:val="008952E6"/>
    <w:rsid w:val="0089533A"/>
    <w:rsid w:val="00896227"/>
    <w:rsid w:val="008A063A"/>
    <w:rsid w:val="008A08B8"/>
    <w:rsid w:val="008A0CAF"/>
    <w:rsid w:val="008A146D"/>
    <w:rsid w:val="008A30FA"/>
    <w:rsid w:val="008A37E3"/>
    <w:rsid w:val="008A5294"/>
    <w:rsid w:val="008A6398"/>
    <w:rsid w:val="008A73CB"/>
    <w:rsid w:val="008A7507"/>
    <w:rsid w:val="008A79AF"/>
    <w:rsid w:val="008A7FE6"/>
    <w:rsid w:val="008B02D1"/>
    <w:rsid w:val="008B0DCC"/>
    <w:rsid w:val="008B14A2"/>
    <w:rsid w:val="008B1A8D"/>
    <w:rsid w:val="008B1C28"/>
    <w:rsid w:val="008B31F8"/>
    <w:rsid w:val="008B47D9"/>
    <w:rsid w:val="008B67DF"/>
    <w:rsid w:val="008B7A52"/>
    <w:rsid w:val="008B7F12"/>
    <w:rsid w:val="008C00EC"/>
    <w:rsid w:val="008C0773"/>
    <w:rsid w:val="008C0CE5"/>
    <w:rsid w:val="008C1F78"/>
    <w:rsid w:val="008C5ABC"/>
    <w:rsid w:val="008C5C88"/>
    <w:rsid w:val="008D095A"/>
    <w:rsid w:val="008D14D2"/>
    <w:rsid w:val="008D1FCD"/>
    <w:rsid w:val="008D75EB"/>
    <w:rsid w:val="008E0A3D"/>
    <w:rsid w:val="008E0A75"/>
    <w:rsid w:val="008E0EAF"/>
    <w:rsid w:val="008E1805"/>
    <w:rsid w:val="008E6453"/>
    <w:rsid w:val="008E7A6D"/>
    <w:rsid w:val="008F51BE"/>
    <w:rsid w:val="009004A2"/>
    <w:rsid w:val="00901A73"/>
    <w:rsid w:val="009027ED"/>
    <w:rsid w:val="00903409"/>
    <w:rsid w:val="00903846"/>
    <w:rsid w:val="0090525F"/>
    <w:rsid w:val="00911B9C"/>
    <w:rsid w:val="00915D0C"/>
    <w:rsid w:val="00917927"/>
    <w:rsid w:val="009201BE"/>
    <w:rsid w:val="00920B05"/>
    <w:rsid w:val="00924453"/>
    <w:rsid w:val="009254FA"/>
    <w:rsid w:val="00925BAC"/>
    <w:rsid w:val="00927A4E"/>
    <w:rsid w:val="00932C66"/>
    <w:rsid w:val="00932EB4"/>
    <w:rsid w:val="009340B2"/>
    <w:rsid w:val="00934C7F"/>
    <w:rsid w:val="009369AB"/>
    <w:rsid w:val="00936BC3"/>
    <w:rsid w:val="009374CE"/>
    <w:rsid w:val="00940371"/>
    <w:rsid w:val="00940671"/>
    <w:rsid w:val="0094076F"/>
    <w:rsid w:val="00940ECD"/>
    <w:rsid w:val="00941A6A"/>
    <w:rsid w:val="00941C25"/>
    <w:rsid w:val="00942B42"/>
    <w:rsid w:val="0094326B"/>
    <w:rsid w:val="0094415E"/>
    <w:rsid w:val="0094416B"/>
    <w:rsid w:val="00946625"/>
    <w:rsid w:val="00951733"/>
    <w:rsid w:val="009519FC"/>
    <w:rsid w:val="00952317"/>
    <w:rsid w:val="00953A8D"/>
    <w:rsid w:val="0095692A"/>
    <w:rsid w:val="00957D8E"/>
    <w:rsid w:val="0096040D"/>
    <w:rsid w:val="009606C6"/>
    <w:rsid w:val="00960AA9"/>
    <w:rsid w:val="00960D9D"/>
    <w:rsid w:val="009622C7"/>
    <w:rsid w:val="009663D4"/>
    <w:rsid w:val="00970F6A"/>
    <w:rsid w:val="009712C8"/>
    <w:rsid w:val="0097190C"/>
    <w:rsid w:val="00973B96"/>
    <w:rsid w:val="009765DD"/>
    <w:rsid w:val="009775E7"/>
    <w:rsid w:val="0098097B"/>
    <w:rsid w:val="00980B97"/>
    <w:rsid w:val="00981906"/>
    <w:rsid w:val="00982E10"/>
    <w:rsid w:val="00985129"/>
    <w:rsid w:val="00985BC6"/>
    <w:rsid w:val="00990CCF"/>
    <w:rsid w:val="009918D7"/>
    <w:rsid w:val="009919C7"/>
    <w:rsid w:val="00992352"/>
    <w:rsid w:val="009932CC"/>
    <w:rsid w:val="0099384C"/>
    <w:rsid w:val="009941E6"/>
    <w:rsid w:val="0099432E"/>
    <w:rsid w:val="0099453D"/>
    <w:rsid w:val="009951C5"/>
    <w:rsid w:val="00996D23"/>
    <w:rsid w:val="00997A92"/>
    <w:rsid w:val="009A0A11"/>
    <w:rsid w:val="009A1504"/>
    <w:rsid w:val="009A1864"/>
    <w:rsid w:val="009A1C69"/>
    <w:rsid w:val="009A28D5"/>
    <w:rsid w:val="009A3393"/>
    <w:rsid w:val="009A43A3"/>
    <w:rsid w:val="009A5FEB"/>
    <w:rsid w:val="009A7A34"/>
    <w:rsid w:val="009B0288"/>
    <w:rsid w:val="009B077D"/>
    <w:rsid w:val="009B0FA0"/>
    <w:rsid w:val="009B5599"/>
    <w:rsid w:val="009B5BD8"/>
    <w:rsid w:val="009B5F1B"/>
    <w:rsid w:val="009B66B7"/>
    <w:rsid w:val="009C0FD7"/>
    <w:rsid w:val="009C2A88"/>
    <w:rsid w:val="009C3C8C"/>
    <w:rsid w:val="009C4B4C"/>
    <w:rsid w:val="009C4C54"/>
    <w:rsid w:val="009C4FD2"/>
    <w:rsid w:val="009C7161"/>
    <w:rsid w:val="009C76C1"/>
    <w:rsid w:val="009D05EC"/>
    <w:rsid w:val="009D11D6"/>
    <w:rsid w:val="009D3AF6"/>
    <w:rsid w:val="009D4019"/>
    <w:rsid w:val="009D628C"/>
    <w:rsid w:val="009D72CA"/>
    <w:rsid w:val="009E11BA"/>
    <w:rsid w:val="009E141B"/>
    <w:rsid w:val="009E2D6C"/>
    <w:rsid w:val="009E660D"/>
    <w:rsid w:val="009E6EBE"/>
    <w:rsid w:val="009E74AA"/>
    <w:rsid w:val="009F50D8"/>
    <w:rsid w:val="009F7E80"/>
    <w:rsid w:val="00A03535"/>
    <w:rsid w:val="00A0417A"/>
    <w:rsid w:val="00A045A2"/>
    <w:rsid w:val="00A04B6D"/>
    <w:rsid w:val="00A06DD7"/>
    <w:rsid w:val="00A12BCC"/>
    <w:rsid w:val="00A14318"/>
    <w:rsid w:val="00A14F4E"/>
    <w:rsid w:val="00A167FB"/>
    <w:rsid w:val="00A174F5"/>
    <w:rsid w:val="00A20E1D"/>
    <w:rsid w:val="00A21B7E"/>
    <w:rsid w:val="00A241E3"/>
    <w:rsid w:val="00A32095"/>
    <w:rsid w:val="00A32C7A"/>
    <w:rsid w:val="00A32E70"/>
    <w:rsid w:val="00A33E33"/>
    <w:rsid w:val="00A34D08"/>
    <w:rsid w:val="00A43557"/>
    <w:rsid w:val="00A44D85"/>
    <w:rsid w:val="00A45025"/>
    <w:rsid w:val="00A45491"/>
    <w:rsid w:val="00A45844"/>
    <w:rsid w:val="00A51011"/>
    <w:rsid w:val="00A51077"/>
    <w:rsid w:val="00A51224"/>
    <w:rsid w:val="00A53A6B"/>
    <w:rsid w:val="00A5433B"/>
    <w:rsid w:val="00A54C60"/>
    <w:rsid w:val="00A54E1A"/>
    <w:rsid w:val="00A55441"/>
    <w:rsid w:val="00A56A48"/>
    <w:rsid w:val="00A56DEC"/>
    <w:rsid w:val="00A60B48"/>
    <w:rsid w:val="00A612FF"/>
    <w:rsid w:val="00A614D0"/>
    <w:rsid w:val="00A62042"/>
    <w:rsid w:val="00A62BFB"/>
    <w:rsid w:val="00A63C82"/>
    <w:rsid w:val="00A6462A"/>
    <w:rsid w:val="00A65FDE"/>
    <w:rsid w:val="00A6602B"/>
    <w:rsid w:val="00A66E8A"/>
    <w:rsid w:val="00A6701D"/>
    <w:rsid w:val="00A7096D"/>
    <w:rsid w:val="00A71943"/>
    <w:rsid w:val="00A730EF"/>
    <w:rsid w:val="00A7361D"/>
    <w:rsid w:val="00A7456C"/>
    <w:rsid w:val="00A752DE"/>
    <w:rsid w:val="00A75588"/>
    <w:rsid w:val="00A772B5"/>
    <w:rsid w:val="00A778FF"/>
    <w:rsid w:val="00A77D5D"/>
    <w:rsid w:val="00A80635"/>
    <w:rsid w:val="00A82118"/>
    <w:rsid w:val="00A82EA9"/>
    <w:rsid w:val="00A87BD4"/>
    <w:rsid w:val="00A91E7F"/>
    <w:rsid w:val="00A95C14"/>
    <w:rsid w:val="00A95FAA"/>
    <w:rsid w:val="00A9666F"/>
    <w:rsid w:val="00A97BA6"/>
    <w:rsid w:val="00A97C92"/>
    <w:rsid w:val="00AA0797"/>
    <w:rsid w:val="00AA2F4F"/>
    <w:rsid w:val="00AA4BFF"/>
    <w:rsid w:val="00AB0069"/>
    <w:rsid w:val="00AB18A3"/>
    <w:rsid w:val="00AB24E1"/>
    <w:rsid w:val="00AB2AB3"/>
    <w:rsid w:val="00AB3D71"/>
    <w:rsid w:val="00AB6EAC"/>
    <w:rsid w:val="00AC07A4"/>
    <w:rsid w:val="00AC271E"/>
    <w:rsid w:val="00AC67A5"/>
    <w:rsid w:val="00AD08EC"/>
    <w:rsid w:val="00AD0EF9"/>
    <w:rsid w:val="00AD1B3F"/>
    <w:rsid w:val="00AD1F3F"/>
    <w:rsid w:val="00AD2944"/>
    <w:rsid w:val="00AD35EF"/>
    <w:rsid w:val="00AD4A4D"/>
    <w:rsid w:val="00AD57B1"/>
    <w:rsid w:val="00AD5CC1"/>
    <w:rsid w:val="00AD612A"/>
    <w:rsid w:val="00AD7A2D"/>
    <w:rsid w:val="00AE1885"/>
    <w:rsid w:val="00AE2F42"/>
    <w:rsid w:val="00AE33A9"/>
    <w:rsid w:val="00AE4666"/>
    <w:rsid w:val="00AE5255"/>
    <w:rsid w:val="00AF140A"/>
    <w:rsid w:val="00AF1F7E"/>
    <w:rsid w:val="00AF2CDB"/>
    <w:rsid w:val="00AF4251"/>
    <w:rsid w:val="00AF4AEB"/>
    <w:rsid w:val="00AF539D"/>
    <w:rsid w:val="00AF59B9"/>
    <w:rsid w:val="00AF5A5E"/>
    <w:rsid w:val="00AF7241"/>
    <w:rsid w:val="00B001E4"/>
    <w:rsid w:val="00B0153A"/>
    <w:rsid w:val="00B019AB"/>
    <w:rsid w:val="00B03CE1"/>
    <w:rsid w:val="00B045F0"/>
    <w:rsid w:val="00B04889"/>
    <w:rsid w:val="00B04DC4"/>
    <w:rsid w:val="00B05CA8"/>
    <w:rsid w:val="00B06013"/>
    <w:rsid w:val="00B06CAC"/>
    <w:rsid w:val="00B07049"/>
    <w:rsid w:val="00B1380A"/>
    <w:rsid w:val="00B13902"/>
    <w:rsid w:val="00B13FA7"/>
    <w:rsid w:val="00B14244"/>
    <w:rsid w:val="00B1506B"/>
    <w:rsid w:val="00B238AA"/>
    <w:rsid w:val="00B24B2E"/>
    <w:rsid w:val="00B24DB2"/>
    <w:rsid w:val="00B251E2"/>
    <w:rsid w:val="00B25570"/>
    <w:rsid w:val="00B2579E"/>
    <w:rsid w:val="00B25DA5"/>
    <w:rsid w:val="00B260DF"/>
    <w:rsid w:val="00B31660"/>
    <w:rsid w:val="00B3394C"/>
    <w:rsid w:val="00B33AC0"/>
    <w:rsid w:val="00B34081"/>
    <w:rsid w:val="00B35386"/>
    <w:rsid w:val="00B356C3"/>
    <w:rsid w:val="00B35BF4"/>
    <w:rsid w:val="00B362C6"/>
    <w:rsid w:val="00B37E3B"/>
    <w:rsid w:val="00B40BE8"/>
    <w:rsid w:val="00B41994"/>
    <w:rsid w:val="00B41FED"/>
    <w:rsid w:val="00B42655"/>
    <w:rsid w:val="00B44BDA"/>
    <w:rsid w:val="00B4503B"/>
    <w:rsid w:val="00B453F2"/>
    <w:rsid w:val="00B462E6"/>
    <w:rsid w:val="00B46EBD"/>
    <w:rsid w:val="00B51489"/>
    <w:rsid w:val="00B5163B"/>
    <w:rsid w:val="00B51651"/>
    <w:rsid w:val="00B525EE"/>
    <w:rsid w:val="00B53D17"/>
    <w:rsid w:val="00B55021"/>
    <w:rsid w:val="00B562C4"/>
    <w:rsid w:val="00B571D5"/>
    <w:rsid w:val="00B57273"/>
    <w:rsid w:val="00B6012E"/>
    <w:rsid w:val="00B6112C"/>
    <w:rsid w:val="00B61C6C"/>
    <w:rsid w:val="00B61E90"/>
    <w:rsid w:val="00B622E7"/>
    <w:rsid w:val="00B62C96"/>
    <w:rsid w:val="00B6380C"/>
    <w:rsid w:val="00B63F64"/>
    <w:rsid w:val="00B641A3"/>
    <w:rsid w:val="00B6545B"/>
    <w:rsid w:val="00B6556C"/>
    <w:rsid w:val="00B6734D"/>
    <w:rsid w:val="00B67AA9"/>
    <w:rsid w:val="00B72B76"/>
    <w:rsid w:val="00B72F4B"/>
    <w:rsid w:val="00B73DAC"/>
    <w:rsid w:val="00B744B2"/>
    <w:rsid w:val="00B7597A"/>
    <w:rsid w:val="00B75E8C"/>
    <w:rsid w:val="00B7603F"/>
    <w:rsid w:val="00B76E5E"/>
    <w:rsid w:val="00B77EF4"/>
    <w:rsid w:val="00B815E2"/>
    <w:rsid w:val="00B82501"/>
    <w:rsid w:val="00B83DA2"/>
    <w:rsid w:val="00B8453B"/>
    <w:rsid w:val="00B846D4"/>
    <w:rsid w:val="00B84A71"/>
    <w:rsid w:val="00B8544D"/>
    <w:rsid w:val="00B871A9"/>
    <w:rsid w:val="00B878CE"/>
    <w:rsid w:val="00B87B22"/>
    <w:rsid w:val="00B87C58"/>
    <w:rsid w:val="00B87F9C"/>
    <w:rsid w:val="00B906FF"/>
    <w:rsid w:val="00B9211C"/>
    <w:rsid w:val="00B92EEC"/>
    <w:rsid w:val="00B950A5"/>
    <w:rsid w:val="00B97541"/>
    <w:rsid w:val="00BA0FFC"/>
    <w:rsid w:val="00BA1CA0"/>
    <w:rsid w:val="00BA455A"/>
    <w:rsid w:val="00BA5528"/>
    <w:rsid w:val="00BA688E"/>
    <w:rsid w:val="00BB0742"/>
    <w:rsid w:val="00BB1B0D"/>
    <w:rsid w:val="00BB6818"/>
    <w:rsid w:val="00BB6931"/>
    <w:rsid w:val="00BC013C"/>
    <w:rsid w:val="00BC0541"/>
    <w:rsid w:val="00BC0C96"/>
    <w:rsid w:val="00BC328D"/>
    <w:rsid w:val="00BC395B"/>
    <w:rsid w:val="00BC3F67"/>
    <w:rsid w:val="00BC45BA"/>
    <w:rsid w:val="00BC5F4E"/>
    <w:rsid w:val="00BC5FDE"/>
    <w:rsid w:val="00BC6830"/>
    <w:rsid w:val="00BC7297"/>
    <w:rsid w:val="00BC72EA"/>
    <w:rsid w:val="00BD0240"/>
    <w:rsid w:val="00BD0822"/>
    <w:rsid w:val="00BD1E79"/>
    <w:rsid w:val="00BD2C19"/>
    <w:rsid w:val="00BD5E01"/>
    <w:rsid w:val="00BD799F"/>
    <w:rsid w:val="00BE0125"/>
    <w:rsid w:val="00BE0A98"/>
    <w:rsid w:val="00BE1867"/>
    <w:rsid w:val="00BE5FB6"/>
    <w:rsid w:val="00BE79DB"/>
    <w:rsid w:val="00BF11D7"/>
    <w:rsid w:val="00BF25D6"/>
    <w:rsid w:val="00BF467C"/>
    <w:rsid w:val="00BF59B0"/>
    <w:rsid w:val="00BF7D62"/>
    <w:rsid w:val="00C0130E"/>
    <w:rsid w:val="00C0272E"/>
    <w:rsid w:val="00C02B41"/>
    <w:rsid w:val="00C04D36"/>
    <w:rsid w:val="00C04DB4"/>
    <w:rsid w:val="00C05EB3"/>
    <w:rsid w:val="00C06FCE"/>
    <w:rsid w:val="00C0776E"/>
    <w:rsid w:val="00C07C03"/>
    <w:rsid w:val="00C10747"/>
    <w:rsid w:val="00C10EB5"/>
    <w:rsid w:val="00C11E8E"/>
    <w:rsid w:val="00C12025"/>
    <w:rsid w:val="00C133C8"/>
    <w:rsid w:val="00C1447E"/>
    <w:rsid w:val="00C15F7E"/>
    <w:rsid w:val="00C17C76"/>
    <w:rsid w:val="00C20916"/>
    <w:rsid w:val="00C20A78"/>
    <w:rsid w:val="00C21159"/>
    <w:rsid w:val="00C21650"/>
    <w:rsid w:val="00C23D6D"/>
    <w:rsid w:val="00C265C0"/>
    <w:rsid w:val="00C27482"/>
    <w:rsid w:val="00C27872"/>
    <w:rsid w:val="00C30487"/>
    <w:rsid w:val="00C30595"/>
    <w:rsid w:val="00C30AAD"/>
    <w:rsid w:val="00C311B3"/>
    <w:rsid w:val="00C33D9D"/>
    <w:rsid w:val="00C35637"/>
    <w:rsid w:val="00C36AC4"/>
    <w:rsid w:val="00C418FA"/>
    <w:rsid w:val="00C42FA3"/>
    <w:rsid w:val="00C43D78"/>
    <w:rsid w:val="00C44424"/>
    <w:rsid w:val="00C44FA7"/>
    <w:rsid w:val="00C45891"/>
    <w:rsid w:val="00C472A4"/>
    <w:rsid w:val="00C479A9"/>
    <w:rsid w:val="00C537EB"/>
    <w:rsid w:val="00C549EB"/>
    <w:rsid w:val="00C565BA"/>
    <w:rsid w:val="00C61A21"/>
    <w:rsid w:val="00C62EDF"/>
    <w:rsid w:val="00C630B4"/>
    <w:rsid w:val="00C654F4"/>
    <w:rsid w:val="00C66654"/>
    <w:rsid w:val="00C66D84"/>
    <w:rsid w:val="00C706EC"/>
    <w:rsid w:val="00C71F95"/>
    <w:rsid w:val="00C72C64"/>
    <w:rsid w:val="00C73585"/>
    <w:rsid w:val="00C73C0D"/>
    <w:rsid w:val="00C7436B"/>
    <w:rsid w:val="00C7586A"/>
    <w:rsid w:val="00C76480"/>
    <w:rsid w:val="00C77547"/>
    <w:rsid w:val="00C778E6"/>
    <w:rsid w:val="00C81E07"/>
    <w:rsid w:val="00C8388D"/>
    <w:rsid w:val="00C839A9"/>
    <w:rsid w:val="00C83FB4"/>
    <w:rsid w:val="00C849C6"/>
    <w:rsid w:val="00C85D6A"/>
    <w:rsid w:val="00C874E9"/>
    <w:rsid w:val="00C9040A"/>
    <w:rsid w:val="00C90AFC"/>
    <w:rsid w:val="00C94693"/>
    <w:rsid w:val="00C94898"/>
    <w:rsid w:val="00CA2D32"/>
    <w:rsid w:val="00CA3FE6"/>
    <w:rsid w:val="00CA6414"/>
    <w:rsid w:val="00CA74DC"/>
    <w:rsid w:val="00CB122B"/>
    <w:rsid w:val="00CB2AB7"/>
    <w:rsid w:val="00CC0083"/>
    <w:rsid w:val="00CC27F3"/>
    <w:rsid w:val="00CC3194"/>
    <w:rsid w:val="00CC3562"/>
    <w:rsid w:val="00CC4D63"/>
    <w:rsid w:val="00CC5E5B"/>
    <w:rsid w:val="00CC61A5"/>
    <w:rsid w:val="00CC772A"/>
    <w:rsid w:val="00CC784D"/>
    <w:rsid w:val="00CC7C15"/>
    <w:rsid w:val="00CC7E08"/>
    <w:rsid w:val="00CD14DB"/>
    <w:rsid w:val="00CD6D72"/>
    <w:rsid w:val="00CD7B93"/>
    <w:rsid w:val="00CE0348"/>
    <w:rsid w:val="00CE2E0F"/>
    <w:rsid w:val="00CE5FE4"/>
    <w:rsid w:val="00CE6283"/>
    <w:rsid w:val="00CE67AA"/>
    <w:rsid w:val="00CE6F33"/>
    <w:rsid w:val="00CE73B5"/>
    <w:rsid w:val="00CE791D"/>
    <w:rsid w:val="00CE79D7"/>
    <w:rsid w:val="00CE7CE3"/>
    <w:rsid w:val="00CF2071"/>
    <w:rsid w:val="00CF244E"/>
    <w:rsid w:val="00CF278D"/>
    <w:rsid w:val="00CF2FE9"/>
    <w:rsid w:val="00CF37C7"/>
    <w:rsid w:val="00CF3CF8"/>
    <w:rsid w:val="00CF474D"/>
    <w:rsid w:val="00CF5A64"/>
    <w:rsid w:val="00CF6622"/>
    <w:rsid w:val="00CF749A"/>
    <w:rsid w:val="00D0089A"/>
    <w:rsid w:val="00D014C7"/>
    <w:rsid w:val="00D01548"/>
    <w:rsid w:val="00D04D5F"/>
    <w:rsid w:val="00D04DD6"/>
    <w:rsid w:val="00D04DFA"/>
    <w:rsid w:val="00D0597F"/>
    <w:rsid w:val="00D05F35"/>
    <w:rsid w:val="00D06393"/>
    <w:rsid w:val="00D06E5E"/>
    <w:rsid w:val="00D06F79"/>
    <w:rsid w:val="00D1047E"/>
    <w:rsid w:val="00D10597"/>
    <w:rsid w:val="00D120A3"/>
    <w:rsid w:val="00D13288"/>
    <w:rsid w:val="00D13645"/>
    <w:rsid w:val="00D13AF8"/>
    <w:rsid w:val="00D1584B"/>
    <w:rsid w:val="00D20601"/>
    <w:rsid w:val="00D219E9"/>
    <w:rsid w:val="00D2205B"/>
    <w:rsid w:val="00D23418"/>
    <w:rsid w:val="00D24606"/>
    <w:rsid w:val="00D2620A"/>
    <w:rsid w:val="00D3056A"/>
    <w:rsid w:val="00D3064D"/>
    <w:rsid w:val="00D30682"/>
    <w:rsid w:val="00D30AED"/>
    <w:rsid w:val="00D30F84"/>
    <w:rsid w:val="00D31091"/>
    <w:rsid w:val="00D32C8B"/>
    <w:rsid w:val="00D33CFE"/>
    <w:rsid w:val="00D33DDE"/>
    <w:rsid w:val="00D34DA4"/>
    <w:rsid w:val="00D35C1D"/>
    <w:rsid w:val="00D3752F"/>
    <w:rsid w:val="00D40DDE"/>
    <w:rsid w:val="00D42D78"/>
    <w:rsid w:val="00D43970"/>
    <w:rsid w:val="00D43CA5"/>
    <w:rsid w:val="00D44CA5"/>
    <w:rsid w:val="00D46E12"/>
    <w:rsid w:val="00D50734"/>
    <w:rsid w:val="00D507C0"/>
    <w:rsid w:val="00D513CC"/>
    <w:rsid w:val="00D5172A"/>
    <w:rsid w:val="00D56435"/>
    <w:rsid w:val="00D62755"/>
    <w:rsid w:val="00D62AA4"/>
    <w:rsid w:val="00D6318F"/>
    <w:rsid w:val="00D650BB"/>
    <w:rsid w:val="00D6540A"/>
    <w:rsid w:val="00D674AF"/>
    <w:rsid w:val="00D70107"/>
    <w:rsid w:val="00D70438"/>
    <w:rsid w:val="00D717AD"/>
    <w:rsid w:val="00D720AD"/>
    <w:rsid w:val="00D72D1D"/>
    <w:rsid w:val="00D74A18"/>
    <w:rsid w:val="00D74D3E"/>
    <w:rsid w:val="00D757C6"/>
    <w:rsid w:val="00D75BCB"/>
    <w:rsid w:val="00D75C41"/>
    <w:rsid w:val="00D80529"/>
    <w:rsid w:val="00D80F78"/>
    <w:rsid w:val="00D81AC3"/>
    <w:rsid w:val="00D81C59"/>
    <w:rsid w:val="00D82A5B"/>
    <w:rsid w:val="00D84637"/>
    <w:rsid w:val="00D8473B"/>
    <w:rsid w:val="00D85780"/>
    <w:rsid w:val="00D925AA"/>
    <w:rsid w:val="00D9283D"/>
    <w:rsid w:val="00D930DD"/>
    <w:rsid w:val="00D9341C"/>
    <w:rsid w:val="00D94B7D"/>
    <w:rsid w:val="00D95D8F"/>
    <w:rsid w:val="00DA0B1A"/>
    <w:rsid w:val="00DA1560"/>
    <w:rsid w:val="00DA264A"/>
    <w:rsid w:val="00DA3176"/>
    <w:rsid w:val="00DA4C44"/>
    <w:rsid w:val="00DA4C48"/>
    <w:rsid w:val="00DA4E21"/>
    <w:rsid w:val="00DA71EF"/>
    <w:rsid w:val="00DA7A18"/>
    <w:rsid w:val="00DB1347"/>
    <w:rsid w:val="00DB2637"/>
    <w:rsid w:val="00DB28CE"/>
    <w:rsid w:val="00DB29BC"/>
    <w:rsid w:val="00DB2A2A"/>
    <w:rsid w:val="00DB479F"/>
    <w:rsid w:val="00DB55B6"/>
    <w:rsid w:val="00DB5EA7"/>
    <w:rsid w:val="00DB5F21"/>
    <w:rsid w:val="00DB6D7C"/>
    <w:rsid w:val="00DB7183"/>
    <w:rsid w:val="00DC090A"/>
    <w:rsid w:val="00DC0E7E"/>
    <w:rsid w:val="00DC2D72"/>
    <w:rsid w:val="00DC30EA"/>
    <w:rsid w:val="00DC4FE9"/>
    <w:rsid w:val="00DC5918"/>
    <w:rsid w:val="00DC6C8D"/>
    <w:rsid w:val="00DC7356"/>
    <w:rsid w:val="00DC73A5"/>
    <w:rsid w:val="00DD0236"/>
    <w:rsid w:val="00DD0AF3"/>
    <w:rsid w:val="00DD4100"/>
    <w:rsid w:val="00DD76A4"/>
    <w:rsid w:val="00DD7C65"/>
    <w:rsid w:val="00DE03E4"/>
    <w:rsid w:val="00DE1134"/>
    <w:rsid w:val="00DE1AEB"/>
    <w:rsid w:val="00DE2247"/>
    <w:rsid w:val="00DE2A34"/>
    <w:rsid w:val="00DE37AE"/>
    <w:rsid w:val="00DE4732"/>
    <w:rsid w:val="00DE5E08"/>
    <w:rsid w:val="00DE6668"/>
    <w:rsid w:val="00DE6987"/>
    <w:rsid w:val="00DE7339"/>
    <w:rsid w:val="00DF1246"/>
    <w:rsid w:val="00DF30C0"/>
    <w:rsid w:val="00E0080A"/>
    <w:rsid w:val="00E00F31"/>
    <w:rsid w:val="00E02242"/>
    <w:rsid w:val="00E0300E"/>
    <w:rsid w:val="00E04AE0"/>
    <w:rsid w:val="00E04E06"/>
    <w:rsid w:val="00E05CF5"/>
    <w:rsid w:val="00E070D0"/>
    <w:rsid w:val="00E11517"/>
    <w:rsid w:val="00E12834"/>
    <w:rsid w:val="00E13727"/>
    <w:rsid w:val="00E13CEB"/>
    <w:rsid w:val="00E15630"/>
    <w:rsid w:val="00E17AB3"/>
    <w:rsid w:val="00E20254"/>
    <w:rsid w:val="00E209F0"/>
    <w:rsid w:val="00E219EB"/>
    <w:rsid w:val="00E22C13"/>
    <w:rsid w:val="00E23129"/>
    <w:rsid w:val="00E25045"/>
    <w:rsid w:val="00E25BFF"/>
    <w:rsid w:val="00E2677C"/>
    <w:rsid w:val="00E26D83"/>
    <w:rsid w:val="00E271CD"/>
    <w:rsid w:val="00E27A1E"/>
    <w:rsid w:val="00E306E9"/>
    <w:rsid w:val="00E307DC"/>
    <w:rsid w:val="00E323CF"/>
    <w:rsid w:val="00E32C7B"/>
    <w:rsid w:val="00E334B9"/>
    <w:rsid w:val="00E33905"/>
    <w:rsid w:val="00E342D1"/>
    <w:rsid w:val="00E34B96"/>
    <w:rsid w:val="00E369D4"/>
    <w:rsid w:val="00E37502"/>
    <w:rsid w:val="00E40127"/>
    <w:rsid w:val="00E43074"/>
    <w:rsid w:val="00E431C8"/>
    <w:rsid w:val="00E44926"/>
    <w:rsid w:val="00E44E09"/>
    <w:rsid w:val="00E45D53"/>
    <w:rsid w:val="00E46DBD"/>
    <w:rsid w:val="00E51708"/>
    <w:rsid w:val="00E51729"/>
    <w:rsid w:val="00E51D0A"/>
    <w:rsid w:val="00E53139"/>
    <w:rsid w:val="00E53A8F"/>
    <w:rsid w:val="00E5435E"/>
    <w:rsid w:val="00E54445"/>
    <w:rsid w:val="00E55A81"/>
    <w:rsid w:val="00E56450"/>
    <w:rsid w:val="00E56DA8"/>
    <w:rsid w:val="00E60ACC"/>
    <w:rsid w:val="00E60C4B"/>
    <w:rsid w:val="00E60E21"/>
    <w:rsid w:val="00E61BA6"/>
    <w:rsid w:val="00E64639"/>
    <w:rsid w:val="00E64AF6"/>
    <w:rsid w:val="00E6570E"/>
    <w:rsid w:val="00E66638"/>
    <w:rsid w:val="00E6706E"/>
    <w:rsid w:val="00E7211D"/>
    <w:rsid w:val="00E754C2"/>
    <w:rsid w:val="00E757CA"/>
    <w:rsid w:val="00E75D48"/>
    <w:rsid w:val="00E76750"/>
    <w:rsid w:val="00E773CD"/>
    <w:rsid w:val="00E774C9"/>
    <w:rsid w:val="00E77D0C"/>
    <w:rsid w:val="00E80964"/>
    <w:rsid w:val="00E83976"/>
    <w:rsid w:val="00E83D43"/>
    <w:rsid w:val="00E841A6"/>
    <w:rsid w:val="00E84BCB"/>
    <w:rsid w:val="00E85905"/>
    <w:rsid w:val="00E85D20"/>
    <w:rsid w:val="00E8739B"/>
    <w:rsid w:val="00E87C0D"/>
    <w:rsid w:val="00E90DC4"/>
    <w:rsid w:val="00E9163F"/>
    <w:rsid w:val="00E91CB7"/>
    <w:rsid w:val="00E955B0"/>
    <w:rsid w:val="00E956E8"/>
    <w:rsid w:val="00E9733C"/>
    <w:rsid w:val="00EA022D"/>
    <w:rsid w:val="00EA0D10"/>
    <w:rsid w:val="00EA0F2C"/>
    <w:rsid w:val="00EA13B3"/>
    <w:rsid w:val="00EA19CB"/>
    <w:rsid w:val="00EA2C8F"/>
    <w:rsid w:val="00EA5000"/>
    <w:rsid w:val="00EA5045"/>
    <w:rsid w:val="00EA5D64"/>
    <w:rsid w:val="00EA613A"/>
    <w:rsid w:val="00EA6A8C"/>
    <w:rsid w:val="00EB2AD1"/>
    <w:rsid w:val="00EB2F9F"/>
    <w:rsid w:val="00EB3067"/>
    <w:rsid w:val="00EB353E"/>
    <w:rsid w:val="00EB3AA1"/>
    <w:rsid w:val="00EB56E0"/>
    <w:rsid w:val="00EB5DDF"/>
    <w:rsid w:val="00EB6E66"/>
    <w:rsid w:val="00EC0129"/>
    <w:rsid w:val="00EC3CEC"/>
    <w:rsid w:val="00EC4625"/>
    <w:rsid w:val="00ED03EE"/>
    <w:rsid w:val="00ED139E"/>
    <w:rsid w:val="00ED1759"/>
    <w:rsid w:val="00ED2327"/>
    <w:rsid w:val="00ED27A5"/>
    <w:rsid w:val="00ED3ECB"/>
    <w:rsid w:val="00ED445D"/>
    <w:rsid w:val="00ED461C"/>
    <w:rsid w:val="00ED5E2B"/>
    <w:rsid w:val="00EE01C2"/>
    <w:rsid w:val="00EE07F3"/>
    <w:rsid w:val="00EE2FEA"/>
    <w:rsid w:val="00EE37A2"/>
    <w:rsid w:val="00EE3B12"/>
    <w:rsid w:val="00EE4AFE"/>
    <w:rsid w:val="00EE5AF3"/>
    <w:rsid w:val="00EE5E91"/>
    <w:rsid w:val="00EE5F8C"/>
    <w:rsid w:val="00EE73BC"/>
    <w:rsid w:val="00EE7AC8"/>
    <w:rsid w:val="00EF00AA"/>
    <w:rsid w:val="00EF07A1"/>
    <w:rsid w:val="00EF3996"/>
    <w:rsid w:val="00F0026A"/>
    <w:rsid w:val="00F01178"/>
    <w:rsid w:val="00F021E7"/>
    <w:rsid w:val="00F026C1"/>
    <w:rsid w:val="00F039D1"/>
    <w:rsid w:val="00F05BEC"/>
    <w:rsid w:val="00F05D0F"/>
    <w:rsid w:val="00F05DB4"/>
    <w:rsid w:val="00F13358"/>
    <w:rsid w:val="00F1456D"/>
    <w:rsid w:val="00F14DA0"/>
    <w:rsid w:val="00F15387"/>
    <w:rsid w:val="00F15D8B"/>
    <w:rsid w:val="00F15F46"/>
    <w:rsid w:val="00F17D58"/>
    <w:rsid w:val="00F21734"/>
    <w:rsid w:val="00F228F5"/>
    <w:rsid w:val="00F23FD4"/>
    <w:rsid w:val="00F24143"/>
    <w:rsid w:val="00F241BE"/>
    <w:rsid w:val="00F24962"/>
    <w:rsid w:val="00F25038"/>
    <w:rsid w:val="00F2735C"/>
    <w:rsid w:val="00F3124A"/>
    <w:rsid w:val="00F31D41"/>
    <w:rsid w:val="00F34539"/>
    <w:rsid w:val="00F35005"/>
    <w:rsid w:val="00F359FB"/>
    <w:rsid w:val="00F364CB"/>
    <w:rsid w:val="00F36E13"/>
    <w:rsid w:val="00F37601"/>
    <w:rsid w:val="00F377CE"/>
    <w:rsid w:val="00F4058E"/>
    <w:rsid w:val="00F417F8"/>
    <w:rsid w:val="00F4220F"/>
    <w:rsid w:val="00F423B8"/>
    <w:rsid w:val="00F43F58"/>
    <w:rsid w:val="00F45507"/>
    <w:rsid w:val="00F45F39"/>
    <w:rsid w:val="00F46014"/>
    <w:rsid w:val="00F47670"/>
    <w:rsid w:val="00F51371"/>
    <w:rsid w:val="00F5195A"/>
    <w:rsid w:val="00F51AF6"/>
    <w:rsid w:val="00F551E9"/>
    <w:rsid w:val="00F55A95"/>
    <w:rsid w:val="00F56113"/>
    <w:rsid w:val="00F5640F"/>
    <w:rsid w:val="00F56735"/>
    <w:rsid w:val="00F56B3A"/>
    <w:rsid w:val="00F60F94"/>
    <w:rsid w:val="00F615F9"/>
    <w:rsid w:val="00F62055"/>
    <w:rsid w:val="00F620BE"/>
    <w:rsid w:val="00F6295A"/>
    <w:rsid w:val="00F6420B"/>
    <w:rsid w:val="00F64DC5"/>
    <w:rsid w:val="00F73218"/>
    <w:rsid w:val="00F73938"/>
    <w:rsid w:val="00F73E87"/>
    <w:rsid w:val="00F74224"/>
    <w:rsid w:val="00F747A9"/>
    <w:rsid w:val="00F76696"/>
    <w:rsid w:val="00F77295"/>
    <w:rsid w:val="00F77A84"/>
    <w:rsid w:val="00F80438"/>
    <w:rsid w:val="00F84FA2"/>
    <w:rsid w:val="00F87905"/>
    <w:rsid w:val="00F91A0D"/>
    <w:rsid w:val="00F9229E"/>
    <w:rsid w:val="00F92724"/>
    <w:rsid w:val="00F92A12"/>
    <w:rsid w:val="00F942E2"/>
    <w:rsid w:val="00F9523B"/>
    <w:rsid w:val="00F9546E"/>
    <w:rsid w:val="00F9560B"/>
    <w:rsid w:val="00F95755"/>
    <w:rsid w:val="00F96E67"/>
    <w:rsid w:val="00F96E92"/>
    <w:rsid w:val="00FA0700"/>
    <w:rsid w:val="00FA13CB"/>
    <w:rsid w:val="00FA2BE9"/>
    <w:rsid w:val="00FA31AE"/>
    <w:rsid w:val="00FA4FCD"/>
    <w:rsid w:val="00FB0A50"/>
    <w:rsid w:val="00FB1DA4"/>
    <w:rsid w:val="00FB2973"/>
    <w:rsid w:val="00FB42CF"/>
    <w:rsid w:val="00FB511E"/>
    <w:rsid w:val="00FB714A"/>
    <w:rsid w:val="00FB7B5E"/>
    <w:rsid w:val="00FC07DD"/>
    <w:rsid w:val="00FC0AE5"/>
    <w:rsid w:val="00FC1604"/>
    <w:rsid w:val="00FC2B86"/>
    <w:rsid w:val="00FC48B5"/>
    <w:rsid w:val="00FC4CA2"/>
    <w:rsid w:val="00FC6FF3"/>
    <w:rsid w:val="00FC7629"/>
    <w:rsid w:val="00FC7B2A"/>
    <w:rsid w:val="00FD3D67"/>
    <w:rsid w:val="00FD536A"/>
    <w:rsid w:val="00FD5C35"/>
    <w:rsid w:val="00FD74FF"/>
    <w:rsid w:val="00FE3CEC"/>
    <w:rsid w:val="00FE4145"/>
    <w:rsid w:val="00FE58E0"/>
    <w:rsid w:val="00FE5F2D"/>
    <w:rsid w:val="00FE607C"/>
    <w:rsid w:val="00FE6A1F"/>
    <w:rsid w:val="00FE743E"/>
    <w:rsid w:val="00FE7B78"/>
    <w:rsid w:val="00FE7E0E"/>
    <w:rsid w:val="00FF03B7"/>
    <w:rsid w:val="00FF04FB"/>
    <w:rsid w:val="00FF0810"/>
    <w:rsid w:val="00FF11E6"/>
    <w:rsid w:val="00FF32F3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,#ddcf56,#ad495d,#ab9c8f,#b5d3d2,#7e6d5f,#f26631,#54534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BFE"/>
    <w:rPr>
      <w:szCs w:val="24"/>
      <w:lang w:val="en-AU" w:eastAsia="en-AU"/>
    </w:rPr>
  </w:style>
  <w:style w:type="paragraph" w:styleId="Heading1">
    <w:name w:val="heading 1"/>
    <w:basedOn w:val="Normal"/>
    <w:next w:val="BodyText"/>
    <w:qFormat/>
    <w:rsid w:val="00A612FF"/>
    <w:pPr>
      <w:keepNext/>
      <w:numPr>
        <w:numId w:val="7"/>
      </w:numPr>
      <w:spacing w:before="460" w:after="100" w:line="320" w:lineRule="atLeast"/>
      <w:ind w:left="0"/>
      <w:outlineLvl w:val="0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Heading2">
    <w:name w:val="heading 2"/>
    <w:basedOn w:val="Heading1"/>
    <w:next w:val="BodyText"/>
    <w:qFormat/>
    <w:rsid w:val="00A66E8A"/>
    <w:pPr>
      <w:numPr>
        <w:ilvl w:val="1"/>
      </w:numPr>
      <w:spacing w:before="380" w:after="0" w:line="280" w:lineRule="atLeast"/>
      <w:outlineLvl w:val="1"/>
    </w:pPr>
    <w:rPr>
      <w:rFonts w:ascii="Franklin Gothic Medium" w:hAnsi="Franklin Gothic Medium"/>
      <w:color w:val="5A9A98"/>
      <w:sz w:val="24"/>
      <w:szCs w:val="24"/>
    </w:rPr>
  </w:style>
  <w:style w:type="paragraph" w:styleId="Heading3">
    <w:name w:val="heading 3"/>
    <w:basedOn w:val="Heading2"/>
    <w:next w:val="BodyText"/>
    <w:qFormat/>
    <w:rsid w:val="00A66E8A"/>
    <w:pPr>
      <w:numPr>
        <w:ilvl w:val="2"/>
      </w:numPr>
      <w:spacing w:before="300" w:line="260" w:lineRule="atLeast"/>
      <w:outlineLvl w:val="2"/>
    </w:pPr>
    <w:rPr>
      <w:color w:val="54534A"/>
      <w:sz w:val="22"/>
      <w:szCs w:val="22"/>
    </w:rPr>
  </w:style>
  <w:style w:type="paragraph" w:styleId="Heading4">
    <w:name w:val="heading 4"/>
    <w:basedOn w:val="BodyText"/>
    <w:next w:val="BodyText"/>
    <w:qFormat/>
    <w:rsid w:val="00222F3B"/>
    <w:pPr>
      <w:numPr>
        <w:ilvl w:val="3"/>
        <w:numId w:val="7"/>
      </w:numPr>
      <w:spacing w:before="320" w:after="0"/>
      <w:outlineLvl w:val="3"/>
    </w:pPr>
    <w:rPr>
      <w:b/>
      <w:color w:val="54534A"/>
      <w:sz w:val="22"/>
      <w:szCs w:val="22"/>
    </w:rPr>
  </w:style>
  <w:style w:type="paragraph" w:styleId="Heading5">
    <w:name w:val="heading 5"/>
    <w:basedOn w:val="BodyText"/>
    <w:next w:val="BodyText"/>
    <w:qFormat/>
    <w:rsid w:val="00B525EE"/>
    <w:pPr>
      <w:keepNext/>
      <w:numPr>
        <w:ilvl w:val="4"/>
        <w:numId w:val="7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B525EE"/>
    <w:pPr>
      <w:numPr>
        <w:ilvl w:val="5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B525EE"/>
    <w:pPr>
      <w:numPr>
        <w:ilvl w:val="6"/>
      </w:numPr>
      <w:outlineLvl w:val="6"/>
    </w:pPr>
    <w:rPr>
      <w:rFonts w:ascii="Franklin Gothic Demi" w:hAnsi="Franklin Gothic Demi"/>
      <w:sz w:val="28"/>
      <w:szCs w:val="28"/>
    </w:rPr>
  </w:style>
  <w:style w:type="paragraph" w:styleId="Heading8">
    <w:name w:val="heading 8"/>
    <w:basedOn w:val="Heading3"/>
    <w:next w:val="BodyText"/>
    <w:qFormat/>
    <w:rsid w:val="00B525EE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B525EE"/>
    <w:pPr>
      <w:numPr>
        <w:ilvl w:val="8"/>
      </w:numPr>
      <w:outlineLvl w:val="8"/>
    </w:pPr>
  </w:style>
  <w:style w:type="character" w:default="1" w:styleId="DefaultParagraphFont">
    <w:name w:val="Default Paragraph Font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01356A"/>
    <w:pPr>
      <w:spacing w:before="80" w:after="80" w:line="280" w:lineRule="atLeast"/>
    </w:pPr>
    <w:rPr>
      <w:rFonts w:ascii="Georgia" w:hAnsi="Georgia"/>
      <w:sz w:val="19"/>
      <w:szCs w:val="19"/>
    </w:rPr>
  </w:style>
  <w:style w:type="character" w:customStyle="1" w:styleId="BodyTextChar">
    <w:name w:val="Body Text Char"/>
    <w:link w:val="BodyText"/>
    <w:rsid w:val="0001356A"/>
    <w:rPr>
      <w:rFonts w:ascii="Georgia" w:hAnsi="Georgia"/>
      <w:sz w:val="19"/>
      <w:szCs w:val="19"/>
      <w:lang w:val="en-AU" w:eastAsia="en-AU" w:bidi="ar-SA"/>
    </w:rPr>
  </w:style>
  <w:style w:type="character" w:customStyle="1" w:styleId="DraftingNote">
    <w:name w:val="Drafting Note"/>
    <w:semiHidden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QuoteBullet">
    <w:name w:val="Quote Bullet"/>
    <w:basedOn w:val="Quote"/>
    <w:rsid w:val="008B14A2"/>
    <w:pPr>
      <w:numPr>
        <w:numId w:val="17"/>
      </w:numPr>
    </w:pPr>
  </w:style>
  <w:style w:type="paragraph" w:customStyle="1" w:styleId="Abbreviation">
    <w:name w:val="Abbreviation"/>
    <w:basedOn w:val="BodyText"/>
    <w:rsid w:val="00942B42"/>
    <w:pPr>
      <w:ind w:left="1418" w:hanging="1418"/>
    </w:pPr>
  </w:style>
  <w:style w:type="paragraph" w:customStyle="1" w:styleId="Ratingamber">
    <w:name w:val="Rating amber"/>
    <w:basedOn w:val="Normal"/>
    <w:semiHidden/>
    <w:rsid w:val="001C6E03"/>
    <w:pPr>
      <w:numPr>
        <w:numId w:val="10"/>
      </w:numPr>
      <w:spacing w:before="80" w:after="80" w:line="280" w:lineRule="atLeast"/>
    </w:pPr>
    <w:rPr>
      <w:rFonts w:ascii="Georgia" w:hAnsi="Georgia"/>
      <w:sz w:val="19"/>
      <w:szCs w:val="19"/>
    </w:rPr>
  </w:style>
  <w:style w:type="paragraph" w:styleId="ListBullet">
    <w:name w:val="List Bullet"/>
    <w:basedOn w:val="BodyText"/>
    <w:rsid w:val="002C5AF0"/>
    <w:pPr>
      <w:numPr>
        <w:numId w:val="15"/>
      </w:numPr>
    </w:pPr>
  </w:style>
  <w:style w:type="paragraph" w:styleId="ListBullet2">
    <w:name w:val="List Bullet 2"/>
    <w:basedOn w:val="ListBullet"/>
    <w:rsid w:val="00D42D78"/>
    <w:pPr>
      <w:numPr>
        <w:numId w:val="12"/>
      </w:numPr>
      <w:spacing w:before="0"/>
      <w:ind w:left="568" w:hanging="284"/>
    </w:pPr>
  </w:style>
  <w:style w:type="paragraph" w:styleId="ListNumber">
    <w:name w:val="List Number"/>
    <w:basedOn w:val="ListBullet"/>
    <w:rsid w:val="00D42D78"/>
    <w:pPr>
      <w:numPr>
        <w:numId w:val="13"/>
      </w:numPr>
    </w:pPr>
  </w:style>
  <w:style w:type="paragraph" w:styleId="ListNumber2">
    <w:name w:val="List Number 2"/>
    <w:basedOn w:val="ListNumber"/>
    <w:rsid w:val="00D42D78"/>
    <w:pPr>
      <w:numPr>
        <w:numId w:val="14"/>
      </w:numPr>
      <w:spacing w:before="0"/>
      <w:ind w:left="568" w:hanging="284"/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paragraph" w:customStyle="1" w:styleId="Ratinggreen">
    <w:name w:val="Rating green"/>
    <w:basedOn w:val="Ratingamber"/>
    <w:semiHidden/>
    <w:rsid w:val="001C6E03"/>
    <w:pPr>
      <w:numPr>
        <w:numId w:val="11"/>
      </w:numPr>
    </w:pPr>
  </w:style>
  <w:style w:type="paragraph" w:customStyle="1" w:styleId="Reference">
    <w:name w:val="Reference"/>
    <w:basedOn w:val="BodyText"/>
    <w:semiHidden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E77D0C"/>
    <w:pPr>
      <w:pageBreakBefore/>
      <w:spacing w:line="540" w:lineRule="atLeast"/>
    </w:pPr>
    <w:rPr>
      <w:rFonts w:ascii="Franklin Gothic Book" w:hAnsi="Franklin Gothic Book"/>
      <w:color w:val="FFFFFF"/>
      <w:spacing w:val="-10"/>
      <w:kern w:val="28"/>
      <w:sz w:val="46"/>
      <w:szCs w:val="46"/>
    </w:rPr>
  </w:style>
  <w:style w:type="paragraph" w:styleId="Subtitle">
    <w:name w:val="Subtitle"/>
    <w:basedOn w:val="Title"/>
    <w:next w:val="Date"/>
    <w:link w:val="SubtitleChar"/>
    <w:qFormat/>
    <w:rsid w:val="005B522F"/>
    <w:pPr>
      <w:pageBreakBefore w:val="0"/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DE7339"/>
    <w:pPr>
      <w:spacing w:before="460" w:after="100" w:line="320" w:lineRule="atLeast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Date">
    <w:name w:val="Date"/>
    <w:basedOn w:val="Subtitle"/>
    <w:next w:val="Author"/>
    <w:link w:val="DateChar"/>
    <w:semiHidden/>
    <w:rsid w:val="00A53A6B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semiHidden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uiPriority w:val="39"/>
    <w:rsid w:val="00DE7339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Franklin Gothic Medium" w:hAnsi="Franklin Gothic Medium"/>
      <w:color w:val="54534A"/>
      <w:sz w:val="24"/>
      <w:szCs w:val="24"/>
    </w:rPr>
  </w:style>
  <w:style w:type="paragraph" w:styleId="TOC2">
    <w:name w:val="toc 2"/>
    <w:basedOn w:val="TOC1"/>
    <w:next w:val="TOC1"/>
    <w:uiPriority w:val="39"/>
    <w:rsid w:val="00DE7339"/>
    <w:pPr>
      <w:spacing w:before="120" w:line="200" w:lineRule="atLeast"/>
      <w:ind w:left="0" w:firstLine="0"/>
    </w:pPr>
    <w:rPr>
      <w:rFonts w:ascii="Franklin Gothic Book" w:hAnsi="Franklin Gothic Book"/>
      <w:color w:val="5A9A98"/>
      <w:sz w:val="21"/>
      <w:szCs w:val="21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227783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5"/>
      </w:numPr>
      <w:spacing w:before="0"/>
    </w:pPr>
    <w:rPr>
      <w:szCs w:val="20"/>
    </w:rPr>
  </w:style>
  <w:style w:type="character" w:customStyle="1" w:styleId="NoteLabel">
    <w:name w:val="Note Label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8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uiPriority w:val="39"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  <w:sz w:val="19"/>
      <w:szCs w:val="19"/>
    </w:rPr>
  </w:style>
  <w:style w:type="paragraph" w:customStyle="1" w:styleId="Continued">
    <w:name w:val="Continued"/>
    <w:basedOn w:val="Source"/>
    <w:next w:val="BodyText"/>
    <w:semiHidden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semiHidden/>
    <w:rsid w:val="008527C1"/>
    <w:pPr>
      <w:spacing w:line="240" w:lineRule="atLeast"/>
    </w:pPr>
    <w:rPr>
      <w:rFonts w:ascii="Calibri" w:hAnsi="Calibri"/>
      <w:sz w:val="18"/>
      <w:szCs w:val="18"/>
    </w:rPr>
  </w:style>
  <w:style w:type="character" w:styleId="FootnoteReference">
    <w:name w:val="footnote reference"/>
    <w:semiHidden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semiHidden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uiPriority w:val="99"/>
    <w:rsid w:val="00254E43"/>
    <w:rPr>
      <w:color w:val="00467F"/>
      <w:sz w:val="20"/>
      <w:szCs w:val="20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color w:val="auto"/>
      <w:spacing w:val="-2"/>
      <w:sz w:val="20"/>
      <w:szCs w:val="20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0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9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2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semiHidden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EE7AC8"/>
    <w:pPr>
      <w:numPr>
        <w:numId w:val="16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4"/>
      </w:numPr>
    </w:pPr>
    <w:rPr>
      <w:szCs w:val="18"/>
    </w:rPr>
  </w:style>
  <w:style w:type="paragraph" w:customStyle="1" w:styleId="BoxText">
    <w:name w:val="Box Text"/>
    <w:basedOn w:val="Normal"/>
    <w:link w:val="BoxTextChar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6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3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link w:val="TableListBullet2"/>
    <w:rsid w:val="00C05EB3"/>
    <w:rPr>
      <w:rFonts w:ascii="Franklin Gothic Book" w:hAnsi="Franklin Gothic Book"/>
      <w:sz w:val="17"/>
      <w:szCs w:val="17"/>
      <w:lang w:val="en-AU" w:eastAsia="en-US" w:bidi="ar-SA"/>
    </w:rPr>
  </w:style>
  <w:style w:type="character" w:customStyle="1" w:styleId="NoteCharChar">
    <w:name w:val="Note Char Char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link w:val="NoteNumber"/>
    <w:rsid w:val="00EE7AC8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TitleChar">
    <w:name w:val="Title Char"/>
    <w:link w:val="Title"/>
    <w:rsid w:val="00E77D0C"/>
    <w:rPr>
      <w:rFonts w:ascii="Franklin Gothic Book" w:hAnsi="Franklin Gothic Book"/>
      <w:color w:val="FFFFFF"/>
      <w:spacing w:val="-10"/>
      <w:kern w:val="28"/>
      <w:sz w:val="46"/>
      <w:szCs w:val="46"/>
      <w:lang w:val="en-AU" w:eastAsia="en-AU" w:bidi="ar-SA"/>
    </w:rPr>
  </w:style>
  <w:style w:type="character" w:customStyle="1" w:styleId="SubtitleChar">
    <w:name w:val="Subtitle Char"/>
    <w:link w:val="Subtitle"/>
    <w:rsid w:val="005B522F"/>
    <w:rPr>
      <w:rFonts w:ascii="Franklin Gothic Book" w:hAnsi="Franklin Gothic Book"/>
      <w:color w:val="FFFFFF"/>
      <w:spacing w:val="-10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link w:val="Date"/>
    <w:rsid w:val="00A53A6B"/>
    <w:rPr>
      <w:rFonts w:ascii="Franklin Gothic Book" w:hAnsi="Franklin Gothic Book"/>
      <w:color w:val="FFFFFF"/>
      <w:spacing w:val="-10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link w:val="Author"/>
    <w:rsid w:val="0075426C"/>
    <w:rPr>
      <w:rFonts w:ascii="Franklin Gothic Medium" w:hAnsi="Franklin Gothic Medium"/>
      <w:color w:val="FFFFFF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link w:val="Position"/>
    <w:rsid w:val="0075426C"/>
    <w:rPr>
      <w:rFonts w:ascii="Franklin Gothic Book" w:hAnsi="Franklin Gothic Book"/>
      <w:color w:val="FFFFFF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semiHidden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CharChar">
    <w:name w:val=" Char Char"/>
    <w:basedOn w:val="Normal"/>
    <w:link w:val="DefaultParagraphFont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semiHidden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red">
    <w:name w:val="Rating red"/>
    <w:basedOn w:val="ListBullet"/>
    <w:semiHidden/>
    <w:rsid w:val="001C6E03"/>
  </w:style>
  <w:style w:type="paragraph" w:customStyle="1" w:styleId="Ratingbullet">
    <w:name w:val="Rating bullet"/>
    <w:basedOn w:val="TableTextEntries"/>
    <w:semiHidden/>
    <w:rsid w:val="001C6E03"/>
    <w:pPr>
      <w:jc w:val="center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911B9C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911B9C"/>
    <w:rPr>
      <w:rFonts w:ascii="Tahoma" w:hAnsi="Tahoma" w:cs="Tahoma"/>
      <w:sz w:val="16"/>
      <w:szCs w:val="16"/>
    </w:rPr>
  </w:style>
  <w:style w:type="paragraph" w:customStyle="1" w:styleId="Rating">
    <w:name w:val="Rating"/>
    <w:basedOn w:val="BodyText"/>
    <w:next w:val="BodyText"/>
    <w:semiHidden/>
    <w:rsid w:val="00230BD1"/>
    <w:pPr>
      <w:tabs>
        <w:tab w:val="left" w:pos="567"/>
      </w:tabs>
    </w:pPr>
  </w:style>
  <w:style w:type="paragraph" w:customStyle="1" w:styleId="GuidanceText">
    <w:name w:val="Guidance Text"/>
    <w:basedOn w:val="BodyText"/>
    <w:semiHidden/>
    <w:rsid w:val="001B11EB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character" w:customStyle="1" w:styleId="CharChar5">
    <w:name w:val=" Char Char5"/>
    <w:rsid w:val="00F21734"/>
    <w:rPr>
      <w:rFonts w:ascii="Georgia" w:hAnsi="Georgia"/>
      <w:sz w:val="19"/>
      <w:szCs w:val="19"/>
      <w:lang w:val="en-AU" w:eastAsia="en-AU" w:bidi="ar-SA"/>
    </w:rPr>
  </w:style>
  <w:style w:type="character" w:customStyle="1" w:styleId="BoxTextChar">
    <w:name w:val="Box Text Char"/>
    <w:link w:val="BoxText"/>
    <w:rsid w:val="00CA6414"/>
    <w:rPr>
      <w:rFonts w:ascii="Franklin Gothic Book" w:hAnsi="Franklin Gothic Book"/>
      <w:sz w:val="18"/>
      <w:szCs w:val="18"/>
      <w:lang w:val="en-AU" w:eastAsia="en-AU" w:bidi="ar-SA"/>
    </w:rPr>
  </w:style>
  <w:style w:type="paragraph" w:styleId="DocumentMap">
    <w:name w:val="Document Map"/>
    <w:basedOn w:val="Normal"/>
    <w:semiHidden/>
    <w:rsid w:val="003670A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4">
    <w:name w:val="H4"/>
    <w:basedOn w:val="Normal"/>
    <w:qFormat/>
    <w:rsid w:val="00AD5CC1"/>
    <w:pPr>
      <w:keepNext/>
      <w:spacing w:before="260" w:after="120"/>
    </w:pPr>
    <w:rPr>
      <w:rFonts w:ascii="Georgia" w:hAnsi="Georgia"/>
      <w:b/>
      <w:sz w:val="19"/>
      <w:szCs w:val="19"/>
    </w:rPr>
  </w:style>
  <w:style w:type="paragraph" w:customStyle="1" w:styleId="H4A">
    <w:name w:val="H4 A"/>
    <w:basedOn w:val="BoxHeading1"/>
    <w:qFormat/>
    <w:rsid w:val="00AD5CC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7C5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kern w:val="0"/>
      <w:lang w:val="en-US" w:eastAsia="ja-JP"/>
    </w:rPr>
  </w:style>
  <w:style w:type="paragraph" w:customStyle="1" w:styleId="H1">
    <w:name w:val="H1"/>
    <w:basedOn w:val="TOCHeading"/>
    <w:qFormat/>
    <w:rsid w:val="00B87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BFE"/>
    <w:rPr>
      <w:szCs w:val="24"/>
      <w:lang w:val="en-AU" w:eastAsia="en-AU"/>
    </w:rPr>
  </w:style>
  <w:style w:type="paragraph" w:styleId="Heading1">
    <w:name w:val="heading 1"/>
    <w:basedOn w:val="Normal"/>
    <w:next w:val="BodyText"/>
    <w:qFormat/>
    <w:rsid w:val="00A612FF"/>
    <w:pPr>
      <w:keepNext/>
      <w:numPr>
        <w:numId w:val="7"/>
      </w:numPr>
      <w:spacing w:before="460" w:after="100" w:line="320" w:lineRule="atLeast"/>
      <w:ind w:left="0"/>
      <w:outlineLvl w:val="0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Heading2">
    <w:name w:val="heading 2"/>
    <w:basedOn w:val="Heading1"/>
    <w:next w:val="BodyText"/>
    <w:qFormat/>
    <w:rsid w:val="00A66E8A"/>
    <w:pPr>
      <w:numPr>
        <w:ilvl w:val="1"/>
      </w:numPr>
      <w:spacing w:before="380" w:after="0" w:line="280" w:lineRule="atLeast"/>
      <w:outlineLvl w:val="1"/>
    </w:pPr>
    <w:rPr>
      <w:rFonts w:ascii="Franklin Gothic Medium" w:hAnsi="Franklin Gothic Medium"/>
      <w:color w:val="5A9A98"/>
      <w:sz w:val="24"/>
      <w:szCs w:val="24"/>
    </w:rPr>
  </w:style>
  <w:style w:type="paragraph" w:styleId="Heading3">
    <w:name w:val="heading 3"/>
    <w:basedOn w:val="Heading2"/>
    <w:next w:val="BodyText"/>
    <w:qFormat/>
    <w:rsid w:val="00A66E8A"/>
    <w:pPr>
      <w:numPr>
        <w:ilvl w:val="2"/>
      </w:numPr>
      <w:spacing w:before="300" w:line="260" w:lineRule="atLeast"/>
      <w:outlineLvl w:val="2"/>
    </w:pPr>
    <w:rPr>
      <w:color w:val="54534A"/>
      <w:sz w:val="22"/>
      <w:szCs w:val="22"/>
    </w:rPr>
  </w:style>
  <w:style w:type="paragraph" w:styleId="Heading4">
    <w:name w:val="heading 4"/>
    <w:basedOn w:val="BodyText"/>
    <w:next w:val="BodyText"/>
    <w:qFormat/>
    <w:rsid w:val="00222F3B"/>
    <w:pPr>
      <w:numPr>
        <w:ilvl w:val="3"/>
        <w:numId w:val="7"/>
      </w:numPr>
      <w:spacing w:before="320" w:after="0"/>
      <w:outlineLvl w:val="3"/>
    </w:pPr>
    <w:rPr>
      <w:b/>
      <w:color w:val="54534A"/>
      <w:sz w:val="22"/>
      <w:szCs w:val="22"/>
    </w:rPr>
  </w:style>
  <w:style w:type="paragraph" w:styleId="Heading5">
    <w:name w:val="heading 5"/>
    <w:basedOn w:val="BodyText"/>
    <w:next w:val="BodyText"/>
    <w:qFormat/>
    <w:rsid w:val="00B525EE"/>
    <w:pPr>
      <w:keepNext/>
      <w:numPr>
        <w:ilvl w:val="4"/>
        <w:numId w:val="7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B525EE"/>
    <w:pPr>
      <w:numPr>
        <w:ilvl w:val="5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B525EE"/>
    <w:pPr>
      <w:numPr>
        <w:ilvl w:val="6"/>
      </w:numPr>
      <w:outlineLvl w:val="6"/>
    </w:pPr>
    <w:rPr>
      <w:rFonts w:ascii="Franklin Gothic Demi" w:hAnsi="Franklin Gothic Demi"/>
      <w:sz w:val="28"/>
      <w:szCs w:val="28"/>
    </w:rPr>
  </w:style>
  <w:style w:type="paragraph" w:styleId="Heading8">
    <w:name w:val="heading 8"/>
    <w:basedOn w:val="Heading3"/>
    <w:next w:val="BodyText"/>
    <w:qFormat/>
    <w:rsid w:val="00B525EE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B525EE"/>
    <w:pPr>
      <w:numPr>
        <w:ilvl w:val="8"/>
      </w:numPr>
      <w:outlineLvl w:val="8"/>
    </w:pPr>
  </w:style>
  <w:style w:type="character" w:default="1" w:styleId="DefaultParagraphFont">
    <w:name w:val="Default Paragraph Font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01356A"/>
    <w:pPr>
      <w:spacing w:before="80" w:after="80" w:line="280" w:lineRule="atLeast"/>
    </w:pPr>
    <w:rPr>
      <w:rFonts w:ascii="Georgia" w:hAnsi="Georgia"/>
      <w:sz w:val="19"/>
      <w:szCs w:val="19"/>
    </w:rPr>
  </w:style>
  <w:style w:type="character" w:customStyle="1" w:styleId="BodyTextChar">
    <w:name w:val="Body Text Char"/>
    <w:link w:val="BodyText"/>
    <w:rsid w:val="0001356A"/>
    <w:rPr>
      <w:rFonts w:ascii="Georgia" w:hAnsi="Georgia"/>
      <w:sz w:val="19"/>
      <w:szCs w:val="19"/>
      <w:lang w:val="en-AU" w:eastAsia="en-AU" w:bidi="ar-SA"/>
    </w:rPr>
  </w:style>
  <w:style w:type="character" w:customStyle="1" w:styleId="DraftingNote">
    <w:name w:val="Drafting Note"/>
    <w:semiHidden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QuoteBullet">
    <w:name w:val="Quote Bullet"/>
    <w:basedOn w:val="Quote"/>
    <w:rsid w:val="008B14A2"/>
    <w:pPr>
      <w:numPr>
        <w:numId w:val="17"/>
      </w:numPr>
    </w:pPr>
  </w:style>
  <w:style w:type="paragraph" w:customStyle="1" w:styleId="Abbreviation">
    <w:name w:val="Abbreviation"/>
    <w:basedOn w:val="BodyText"/>
    <w:rsid w:val="00942B42"/>
    <w:pPr>
      <w:ind w:left="1418" w:hanging="1418"/>
    </w:pPr>
  </w:style>
  <w:style w:type="paragraph" w:customStyle="1" w:styleId="Ratingamber">
    <w:name w:val="Rating amber"/>
    <w:basedOn w:val="Normal"/>
    <w:semiHidden/>
    <w:rsid w:val="001C6E03"/>
    <w:pPr>
      <w:numPr>
        <w:numId w:val="10"/>
      </w:numPr>
      <w:spacing w:before="80" w:after="80" w:line="280" w:lineRule="atLeast"/>
    </w:pPr>
    <w:rPr>
      <w:rFonts w:ascii="Georgia" w:hAnsi="Georgia"/>
      <w:sz w:val="19"/>
      <w:szCs w:val="19"/>
    </w:rPr>
  </w:style>
  <w:style w:type="paragraph" w:styleId="ListBullet">
    <w:name w:val="List Bullet"/>
    <w:basedOn w:val="BodyText"/>
    <w:rsid w:val="002C5AF0"/>
    <w:pPr>
      <w:numPr>
        <w:numId w:val="15"/>
      </w:numPr>
    </w:pPr>
  </w:style>
  <w:style w:type="paragraph" w:styleId="ListBullet2">
    <w:name w:val="List Bullet 2"/>
    <w:basedOn w:val="ListBullet"/>
    <w:rsid w:val="00D42D78"/>
    <w:pPr>
      <w:numPr>
        <w:numId w:val="12"/>
      </w:numPr>
      <w:spacing w:before="0"/>
      <w:ind w:left="568" w:hanging="284"/>
    </w:pPr>
  </w:style>
  <w:style w:type="paragraph" w:styleId="ListNumber">
    <w:name w:val="List Number"/>
    <w:basedOn w:val="ListBullet"/>
    <w:rsid w:val="00D42D78"/>
    <w:pPr>
      <w:numPr>
        <w:numId w:val="13"/>
      </w:numPr>
    </w:pPr>
  </w:style>
  <w:style w:type="paragraph" w:styleId="ListNumber2">
    <w:name w:val="List Number 2"/>
    <w:basedOn w:val="ListNumber"/>
    <w:rsid w:val="00D42D78"/>
    <w:pPr>
      <w:numPr>
        <w:numId w:val="14"/>
      </w:numPr>
      <w:spacing w:before="0"/>
      <w:ind w:left="568" w:hanging="284"/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paragraph" w:customStyle="1" w:styleId="Ratinggreen">
    <w:name w:val="Rating green"/>
    <w:basedOn w:val="Ratingamber"/>
    <w:semiHidden/>
    <w:rsid w:val="001C6E03"/>
    <w:pPr>
      <w:numPr>
        <w:numId w:val="11"/>
      </w:numPr>
    </w:pPr>
  </w:style>
  <w:style w:type="paragraph" w:customStyle="1" w:styleId="Reference">
    <w:name w:val="Reference"/>
    <w:basedOn w:val="BodyText"/>
    <w:semiHidden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E77D0C"/>
    <w:pPr>
      <w:pageBreakBefore/>
      <w:spacing w:line="540" w:lineRule="atLeast"/>
    </w:pPr>
    <w:rPr>
      <w:rFonts w:ascii="Franklin Gothic Book" w:hAnsi="Franklin Gothic Book"/>
      <w:color w:val="FFFFFF"/>
      <w:spacing w:val="-10"/>
      <w:kern w:val="28"/>
      <w:sz w:val="46"/>
      <w:szCs w:val="46"/>
    </w:rPr>
  </w:style>
  <w:style w:type="paragraph" w:styleId="Subtitle">
    <w:name w:val="Subtitle"/>
    <w:basedOn w:val="Title"/>
    <w:next w:val="Date"/>
    <w:link w:val="SubtitleChar"/>
    <w:qFormat/>
    <w:rsid w:val="005B522F"/>
    <w:pPr>
      <w:pageBreakBefore w:val="0"/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DE7339"/>
    <w:pPr>
      <w:spacing w:before="460" w:after="100" w:line="320" w:lineRule="atLeast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Date">
    <w:name w:val="Date"/>
    <w:basedOn w:val="Subtitle"/>
    <w:next w:val="Author"/>
    <w:link w:val="DateChar"/>
    <w:semiHidden/>
    <w:rsid w:val="00A53A6B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semiHidden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uiPriority w:val="39"/>
    <w:rsid w:val="00DE7339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Franklin Gothic Medium" w:hAnsi="Franklin Gothic Medium"/>
      <w:color w:val="54534A"/>
      <w:sz w:val="24"/>
      <w:szCs w:val="24"/>
    </w:rPr>
  </w:style>
  <w:style w:type="paragraph" w:styleId="TOC2">
    <w:name w:val="toc 2"/>
    <w:basedOn w:val="TOC1"/>
    <w:next w:val="TOC1"/>
    <w:uiPriority w:val="39"/>
    <w:rsid w:val="00DE7339"/>
    <w:pPr>
      <w:spacing w:before="120" w:line="200" w:lineRule="atLeast"/>
      <w:ind w:left="0" w:firstLine="0"/>
    </w:pPr>
    <w:rPr>
      <w:rFonts w:ascii="Franklin Gothic Book" w:hAnsi="Franklin Gothic Book"/>
      <w:color w:val="5A9A98"/>
      <w:sz w:val="21"/>
      <w:szCs w:val="21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227783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5"/>
      </w:numPr>
      <w:spacing w:before="0"/>
    </w:pPr>
    <w:rPr>
      <w:szCs w:val="20"/>
    </w:rPr>
  </w:style>
  <w:style w:type="character" w:customStyle="1" w:styleId="NoteLabel">
    <w:name w:val="Note Label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8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uiPriority w:val="39"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  <w:sz w:val="19"/>
      <w:szCs w:val="19"/>
    </w:rPr>
  </w:style>
  <w:style w:type="paragraph" w:customStyle="1" w:styleId="Continued">
    <w:name w:val="Continued"/>
    <w:basedOn w:val="Source"/>
    <w:next w:val="BodyText"/>
    <w:semiHidden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semiHidden/>
    <w:rsid w:val="008527C1"/>
    <w:pPr>
      <w:spacing w:line="240" w:lineRule="atLeast"/>
    </w:pPr>
    <w:rPr>
      <w:rFonts w:ascii="Calibri" w:hAnsi="Calibri"/>
      <w:sz w:val="18"/>
      <w:szCs w:val="18"/>
    </w:rPr>
  </w:style>
  <w:style w:type="character" w:styleId="FootnoteReference">
    <w:name w:val="footnote reference"/>
    <w:semiHidden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semiHidden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uiPriority w:val="99"/>
    <w:rsid w:val="00254E43"/>
    <w:rPr>
      <w:color w:val="00467F"/>
      <w:sz w:val="20"/>
      <w:szCs w:val="20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color w:val="auto"/>
      <w:spacing w:val="-2"/>
      <w:sz w:val="20"/>
      <w:szCs w:val="20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0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9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2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semiHidden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EE7AC8"/>
    <w:pPr>
      <w:numPr>
        <w:numId w:val="16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4"/>
      </w:numPr>
    </w:pPr>
    <w:rPr>
      <w:szCs w:val="18"/>
    </w:rPr>
  </w:style>
  <w:style w:type="paragraph" w:customStyle="1" w:styleId="BoxText">
    <w:name w:val="Box Text"/>
    <w:basedOn w:val="Normal"/>
    <w:link w:val="BoxTextChar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6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3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link w:val="TableListBullet2"/>
    <w:rsid w:val="00C05EB3"/>
    <w:rPr>
      <w:rFonts w:ascii="Franklin Gothic Book" w:hAnsi="Franklin Gothic Book"/>
      <w:sz w:val="17"/>
      <w:szCs w:val="17"/>
      <w:lang w:val="en-AU" w:eastAsia="en-US" w:bidi="ar-SA"/>
    </w:rPr>
  </w:style>
  <w:style w:type="character" w:customStyle="1" w:styleId="NoteCharChar">
    <w:name w:val="Note Char Char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link w:val="NoteNumber"/>
    <w:rsid w:val="00EE7AC8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TitleChar">
    <w:name w:val="Title Char"/>
    <w:link w:val="Title"/>
    <w:rsid w:val="00E77D0C"/>
    <w:rPr>
      <w:rFonts w:ascii="Franklin Gothic Book" w:hAnsi="Franklin Gothic Book"/>
      <w:color w:val="FFFFFF"/>
      <w:spacing w:val="-10"/>
      <w:kern w:val="28"/>
      <w:sz w:val="46"/>
      <w:szCs w:val="46"/>
      <w:lang w:val="en-AU" w:eastAsia="en-AU" w:bidi="ar-SA"/>
    </w:rPr>
  </w:style>
  <w:style w:type="character" w:customStyle="1" w:styleId="SubtitleChar">
    <w:name w:val="Subtitle Char"/>
    <w:link w:val="Subtitle"/>
    <w:rsid w:val="005B522F"/>
    <w:rPr>
      <w:rFonts w:ascii="Franklin Gothic Book" w:hAnsi="Franklin Gothic Book"/>
      <w:color w:val="FFFFFF"/>
      <w:spacing w:val="-10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link w:val="Date"/>
    <w:rsid w:val="00A53A6B"/>
    <w:rPr>
      <w:rFonts w:ascii="Franklin Gothic Book" w:hAnsi="Franklin Gothic Book"/>
      <w:color w:val="FFFFFF"/>
      <w:spacing w:val="-10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link w:val="Author"/>
    <w:rsid w:val="0075426C"/>
    <w:rPr>
      <w:rFonts w:ascii="Franklin Gothic Medium" w:hAnsi="Franklin Gothic Medium"/>
      <w:color w:val="FFFFFF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link w:val="Position"/>
    <w:rsid w:val="0075426C"/>
    <w:rPr>
      <w:rFonts w:ascii="Franklin Gothic Book" w:hAnsi="Franklin Gothic Book"/>
      <w:color w:val="FFFFFF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semiHidden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CharChar">
    <w:name w:val=" Char Char"/>
    <w:basedOn w:val="Normal"/>
    <w:link w:val="DefaultParagraphFont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semiHidden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red">
    <w:name w:val="Rating red"/>
    <w:basedOn w:val="ListBullet"/>
    <w:semiHidden/>
    <w:rsid w:val="001C6E03"/>
  </w:style>
  <w:style w:type="paragraph" w:customStyle="1" w:styleId="Ratingbullet">
    <w:name w:val="Rating bullet"/>
    <w:basedOn w:val="TableTextEntries"/>
    <w:semiHidden/>
    <w:rsid w:val="001C6E03"/>
    <w:pPr>
      <w:jc w:val="center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911B9C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911B9C"/>
    <w:rPr>
      <w:rFonts w:ascii="Tahoma" w:hAnsi="Tahoma" w:cs="Tahoma"/>
      <w:sz w:val="16"/>
      <w:szCs w:val="16"/>
    </w:rPr>
  </w:style>
  <w:style w:type="paragraph" w:customStyle="1" w:styleId="Rating">
    <w:name w:val="Rating"/>
    <w:basedOn w:val="BodyText"/>
    <w:next w:val="BodyText"/>
    <w:semiHidden/>
    <w:rsid w:val="00230BD1"/>
    <w:pPr>
      <w:tabs>
        <w:tab w:val="left" w:pos="567"/>
      </w:tabs>
    </w:pPr>
  </w:style>
  <w:style w:type="paragraph" w:customStyle="1" w:styleId="GuidanceText">
    <w:name w:val="Guidance Text"/>
    <w:basedOn w:val="BodyText"/>
    <w:semiHidden/>
    <w:rsid w:val="001B11EB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character" w:customStyle="1" w:styleId="CharChar5">
    <w:name w:val=" Char Char5"/>
    <w:rsid w:val="00F21734"/>
    <w:rPr>
      <w:rFonts w:ascii="Georgia" w:hAnsi="Georgia"/>
      <w:sz w:val="19"/>
      <w:szCs w:val="19"/>
      <w:lang w:val="en-AU" w:eastAsia="en-AU" w:bidi="ar-SA"/>
    </w:rPr>
  </w:style>
  <w:style w:type="character" w:customStyle="1" w:styleId="BoxTextChar">
    <w:name w:val="Box Text Char"/>
    <w:link w:val="BoxText"/>
    <w:rsid w:val="00CA6414"/>
    <w:rPr>
      <w:rFonts w:ascii="Franklin Gothic Book" w:hAnsi="Franklin Gothic Book"/>
      <w:sz w:val="18"/>
      <w:szCs w:val="18"/>
      <w:lang w:val="en-AU" w:eastAsia="en-AU" w:bidi="ar-SA"/>
    </w:rPr>
  </w:style>
  <w:style w:type="paragraph" w:styleId="DocumentMap">
    <w:name w:val="Document Map"/>
    <w:basedOn w:val="Normal"/>
    <w:semiHidden/>
    <w:rsid w:val="003670A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4">
    <w:name w:val="H4"/>
    <w:basedOn w:val="Normal"/>
    <w:qFormat/>
    <w:rsid w:val="00AD5CC1"/>
    <w:pPr>
      <w:keepNext/>
      <w:spacing w:before="260" w:after="120"/>
    </w:pPr>
    <w:rPr>
      <w:rFonts w:ascii="Georgia" w:hAnsi="Georgia"/>
      <w:b/>
      <w:sz w:val="19"/>
      <w:szCs w:val="19"/>
    </w:rPr>
  </w:style>
  <w:style w:type="paragraph" w:customStyle="1" w:styleId="H4A">
    <w:name w:val="H4 A"/>
    <w:basedOn w:val="BoxHeading1"/>
    <w:qFormat/>
    <w:rsid w:val="00AD5CC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7C5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kern w:val="0"/>
      <w:lang w:val="en-US" w:eastAsia="ja-JP"/>
    </w:rPr>
  </w:style>
  <w:style w:type="paragraph" w:customStyle="1" w:styleId="H1">
    <w:name w:val="H1"/>
    <w:basedOn w:val="TOCHeading"/>
    <w:qFormat/>
    <w:rsid w:val="00B8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AC\Bilateral\Vanuatu\Briefings,%20monitoring%20and%20reports\Monitoring\M&amp;E%202010\Partnership%20Report%202010\Draft%20Australia-Vanuatu%20P4D%202010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F44D47-5890-4789-934E-BDE5A31DFEF4}"/>
</file>

<file path=customXml/itemProps2.xml><?xml version="1.0" encoding="utf-8"?>
<ds:datastoreItem xmlns:ds="http://schemas.openxmlformats.org/officeDocument/2006/customXml" ds:itemID="{A8429073-07FE-4ED2-8E7D-03641B95A3D8}"/>
</file>

<file path=customXml/itemProps3.xml><?xml version="1.0" encoding="utf-8"?>
<ds:datastoreItem xmlns:ds="http://schemas.openxmlformats.org/officeDocument/2006/customXml" ds:itemID="{9A8EF0C1-CDD6-4F3B-B8F8-647101A2BF44}"/>
</file>

<file path=customXml/itemProps4.xml><?xml version="1.0" encoding="utf-8"?>
<ds:datastoreItem xmlns:ds="http://schemas.openxmlformats.org/officeDocument/2006/customXml" ds:itemID="{926CF3E6-FBC1-4EDE-9E8C-25BC7E4798C1}"/>
</file>

<file path=customXml/itemProps5.xml><?xml version="1.0" encoding="utf-8"?>
<ds:datastoreItem xmlns:ds="http://schemas.openxmlformats.org/officeDocument/2006/customXml" ds:itemID="{1A1BD644-63C2-4E04-BB70-DB491E8656CE}"/>
</file>

<file path=docProps/app.xml><?xml version="1.0" encoding="utf-8"?>
<Properties xmlns="http://schemas.openxmlformats.org/officeDocument/2006/extended-properties" xmlns:vt="http://schemas.openxmlformats.org/officeDocument/2006/docPropsVTypes">
  <Template>Draft Australia-Vanuatu P4D 2010 Report</Template>
  <TotalTime>16</TotalTime>
  <Pages>1</Pages>
  <Words>4662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 2009</vt:lpstr>
    </vt:vector>
  </TitlesOfParts>
  <Company>Hewlett-Packard</Company>
  <LinksUpToDate>false</LinksUpToDate>
  <CharactersWithSpaces>31175</CharactersWithSpaces>
  <SharedDoc>false</SharedDoc>
  <HLinks>
    <vt:vector size="120" baseType="variant"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_Toc360711494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_Toc360711493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_Toc360711492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_Toc360711491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_Toc360711490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_Toc360711489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_Toc360711488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_Toc360711487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_Toc360711486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_Toc360711485</vt:lpwstr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_Toc360711484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_Toc360711483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_Toc360711482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_Toc360711481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_Toc360711480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_Toc360711479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_Toc360711478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_Toc360711477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_Toc360711476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_Toc360711475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 2009</dc:title>
  <dc:creator>AusAID</dc:creator>
  <cp:lastModifiedBy>S000S0A0</cp:lastModifiedBy>
  <cp:revision>4</cp:revision>
  <cp:lastPrinted>2011-02-24T06:30:00Z</cp:lastPrinted>
  <dcterms:created xsi:type="dcterms:W3CDTF">2013-07-04T12:38:00Z</dcterms:created>
  <dcterms:modified xsi:type="dcterms:W3CDTF">2013-07-04T12:53:00Z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r8>112800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0x01010050F19AC2165D2E47A5E6B7F563E4CF00</vt:lpwstr>
  </property>
  <property fmtid="{D5CDD505-2E9C-101B-9397-08002B2CF9AE}" pid="11" name="PublishingContact">
    <vt:lpwstr/>
  </property>
  <property fmtid="{D5CDD505-2E9C-101B-9397-08002B2CF9AE}" pid="12" name="WCMSPublicationSubCategory">
    <vt:lpwstr/>
  </property>
  <property fmtid="{D5CDD505-2E9C-101B-9397-08002B2CF9AE}" pid="13" name="WCMSIPSSubCategory">
    <vt:lpwstr/>
  </property>
  <property fmtid="{D5CDD505-2E9C-101B-9397-08002B2CF9AE}" pid="14" name="PublishingRollupImage">
    <vt:lpwstr/>
  </property>
  <property fmtid="{D5CDD505-2E9C-101B-9397-08002B2CF9AE}" pid="15" name="AusAIDAggregationLevel">
    <vt:lpwstr/>
  </property>
  <property fmtid="{D5CDD505-2E9C-101B-9397-08002B2CF9AE}" pid="16" name="WCMSStatus">
    <vt:lpwstr/>
  </property>
  <property fmtid="{D5CDD505-2E9C-101B-9397-08002B2CF9AE}" pid="17" name="PublishingContactEmail">
    <vt:lpwstr/>
  </property>
  <property fmtid="{D5CDD505-2E9C-101B-9397-08002B2CF9AE}" pid="18" name="WCMSPrintedMedia">
    <vt:bool>false</vt:bool>
  </property>
  <property fmtid="{D5CDD505-2E9C-101B-9397-08002B2CF9AE}" pid="19" name="WCMSIPSCategory">
    <vt:lpwstr/>
  </property>
  <property fmtid="{D5CDD505-2E9C-101B-9397-08002B2CF9AE}" pid="20" name="RSS Feed Link">
    <vt:lpwstr/>
  </property>
  <property fmtid="{D5CDD505-2E9C-101B-9397-08002B2CF9AE}" pid="21" name="WCMSDocumentLink">
    <vt:lpwstr/>
  </property>
  <property fmtid="{D5CDD505-2E9C-101B-9397-08002B2CF9AE}" pid="22" name="WCMSReportDisclaimer">
    <vt:bool>false</vt:bool>
  </property>
  <property fmtid="{D5CDD505-2E9C-101B-9397-08002B2CF9AE}" pid="23" name="PublishingVariationRelationshipLinkFieldID">
    <vt:lpwstr/>
  </property>
  <property fmtid="{D5CDD505-2E9C-101B-9397-08002B2CF9AE}" pid="24" name="WCMSPublicationCategory">
    <vt:lpwstr/>
  </property>
  <property fmtid="{D5CDD505-2E9C-101B-9397-08002B2CF9AE}" pid="25" name="WCMSElectronicMedia">
    <vt:bool>false</vt:bool>
  </property>
  <property fmtid="{D5CDD505-2E9C-101B-9397-08002B2CF9AE}" pid="26" name="Comments">
    <vt:lpwstr/>
  </property>
  <property fmtid="{D5CDD505-2E9C-101B-9397-08002B2CF9AE}" pid="27" name="PublishingPageLayout">
    <vt:lpwstr/>
  </property>
  <property fmtid="{D5CDD505-2E9C-101B-9397-08002B2CF9AE}" pid="28" name="WCMSCountry">
    <vt:lpwstr/>
  </property>
  <property fmtid="{D5CDD505-2E9C-101B-9397-08002B2CF9AE}" pid="29" name="WCMSSourceId">
    <vt:lpwstr/>
  </property>
  <property fmtid="{D5CDD505-2E9C-101B-9397-08002B2CF9AE}" pid="30" name="WCMSLatest">
    <vt:bool>false</vt:bool>
  </property>
  <property fmtid="{D5CDD505-2E9C-101B-9397-08002B2CF9AE}" pid="31" name="WCMSPublicationFormat">
    <vt:lpwstr/>
  </property>
  <property fmtid="{D5CDD505-2E9C-101B-9397-08002B2CF9AE}" pid="32" name="AusAIDPageSubjectMetadata">
    <vt:lpwstr/>
  </property>
  <property fmtid="{D5CDD505-2E9C-101B-9397-08002B2CF9AE}" pid="33" name="AusAIDCategoryMetadata">
    <vt:lpwstr/>
  </property>
  <property fmtid="{D5CDD505-2E9C-101B-9397-08002B2CF9AE}" pid="34" name="AusAIDDocumentTypeMetaData">
    <vt:lpwstr/>
  </property>
  <property fmtid="{D5CDD505-2E9C-101B-9397-08002B2CF9AE}" pid="35" name="WCMSLanguage">
    <vt:lpwstr/>
  </property>
  <property fmtid="{D5CDD505-2E9C-101B-9397-08002B2CF9AE}" pid="36" name="Audience">
    <vt:lpwstr/>
  </property>
  <property fmtid="{D5CDD505-2E9C-101B-9397-08002B2CF9AE}" pid="37" name="WCMSDescription">
    <vt:lpwstr/>
  </property>
  <property fmtid="{D5CDD505-2E9C-101B-9397-08002B2CF9AE}" pid="39" name="WCMSOtherCategory">
    <vt:lpwstr/>
  </property>
  <property fmtid="{D5CDD505-2E9C-101B-9397-08002B2CF9AE}" pid="40" name="AusAIDPageDescriptionMetadata">
    <vt:lpwstr/>
  </property>
  <property fmtid="{D5CDD505-2E9C-101B-9397-08002B2CF9AE}" pid="41" name="WCMSTheme">
    <vt:lpwstr/>
  </property>
  <property fmtid="{D5CDD505-2E9C-101B-9397-08002B2CF9AE}" pid="42" name="WCMSISBNISSN">
    <vt:lpwstr/>
  </property>
  <property fmtid="{D5CDD505-2E9C-101B-9397-08002B2CF9AE}" pid="43" name="PublishingContactPicture">
    <vt:lpwstr/>
  </property>
  <property fmtid="{D5CDD505-2E9C-101B-9397-08002B2CF9AE}" pid="44" name="PublishingVariationGroupID">
    <vt:lpwstr/>
  </property>
  <property fmtid="{D5CDD505-2E9C-101B-9397-08002B2CF9AE}" pid="45" name="AusAIDIdentifierMetadata">
    <vt:lpwstr/>
  </property>
  <property fmtid="{D5CDD505-2E9C-101B-9397-08002B2CF9AE}" pid="46" name="PublishingContactName">
    <vt:lpwstr/>
  </property>
  <property fmtid="{D5CDD505-2E9C-101B-9397-08002B2CF9AE}" pid="47" name="WCMSRegion">
    <vt:lpwstr/>
  </property>
  <property fmtid="{D5CDD505-2E9C-101B-9397-08002B2CF9AE}" pid="48" name="WCMSPublicationAuthor">
    <vt:lpwstr/>
  </property>
  <property fmtid="{D5CDD505-2E9C-101B-9397-08002B2CF9AE}" pid="49" name="display_urn">
    <vt:lpwstr>System Account</vt:lpwstr>
  </property>
</Properties>
</file>