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2A" w:rsidRDefault="00E87C43" w:rsidP="00D503B0">
      <w:pPr>
        <w:pStyle w:val="H1A"/>
      </w:pPr>
      <w:bookmarkStart w:id="0" w:name="_GoBack"/>
      <w:r w:rsidRPr="002F57CD">
        <w:rPr>
          <w:noProof/>
          <w:spacing w:val="-200"/>
          <w:lang w:val="en-US" w:eastAsia="en-US"/>
        </w:rPr>
        <w:drawing>
          <wp:anchor distT="0" distB="0" distL="114300" distR="114300" simplePos="0" relativeHeight="251657728" behindDoc="1" locked="0" layoutInCell="1" allowOverlap="1">
            <wp:simplePos x="0" y="0"/>
            <wp:positionH relativeFrom="page">
              <wp:posOffset>8890</wp:posOffset>
            </wp:positionH>
            <wp:positionV relativeFrom="page">
              <wp:posOffset>26035</wp:posOffset>
            </wp:positionV>
            <wp:extent cx="7560310" cy="3024505"/>
            <wp:effectExtent l="0" t="0" r="2540" b="4445"/>
            <wp:wrapNone/>
            <wp:docPr id="1198" name="Picture 1198" descr="Australina Government Asu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_facsheet_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B6157" w:rsidRPr="002F57CD">
        <w:t xml:space="preserve">Annual </w:t>
      </w:r>
      <w:r w:rsidR="004A686A" w:rsidRPr="002F57CD">
        <w:t xml:space="preserve">thematic performance report </w:t>
      </w:r>
      <w:r w:rsidR="004B6157" w:rsidRPr="002F57CD">
        <w:t xml:space="preserve">2009: </w:t>
      </w:r>
      <w:r w:rsidR="00006923" w:rsidRPr="002F57CD">
        <w:t>Rural Development</w:t>
      </w:r>
    </w:p>
    <w:p w:rsidR="00CA746D" w:rsidRPr="002F57CD" w:rsidRDefault="00CA746D" w:rsidP="00CA746D">
      <w:pPr>
        <w:pStyle w:val="H1A"/>
        <w:spacing w:before="800"/>
      </w:pPr>
    </w:p>
    <w:bookmarkStart w:id="1" w:name="_Toc360699273" w:displacedByCustomXml="next"/>
    <w:sdt>
      <w:sdtPr>
        <w:rPr>
          <w:rFonts w:ascii="Times New Roman" w:hAnsi="Times New Roman"/>
          <w:color w:val="auto"/>
          <w:sz w:val="20"/>
          <w:szCs w:val="24"/>
          <w:lang w:val="en-AU" w:eastAsia="en-AU"/>
        </w:rPr>
        <w:id w:val="1803189520"/>
        <w:docPartObj>
          <w:docPartGallery w:val="Table of Contents"/>
          <w:docPartUnique/>
        </w:docPartObj>
      </w:sdtPr>
      <w:sdtEndPr>
        <w:rPr>
          <w:b/>
          <w:bCs/>
          <w:noProof/>
        </w:rPr>
      </w:sdtEndPr>
      <w:sdtContent>
        <w:p w:rsidR="00D503B0" w:rsidRDefault="00D503B0" w:rsidP="0072752A">
          <w:pPr>
            <w:pStyle w:val="TOCHeading"/>
            <w:spacing w:before="400"/>
          </w:pPr>
          <w:r>
            <w:t>Contents</w:t>
          </w:r>
        </w:p>
        <w:p w:rsidR="00D503B0" w:rsidRDefault="00D503B0">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703382" w:history="1">
            <w:r w:rsidRPr="001222AD">
              <w:rPr>
                <w:rStyle w:val="Hyperlink"/>
                <w:noProof/>
              </w:rPr>
              <w:t>Summary</w:t>
            </w:r>
            <w:r>
              <w:rPr>
                <w:noProof/>
                <w:webHidden/>
              </w:rPr>
              <w:tab/>
            </w:r>
            <w:r>
              <w:rPr>
                <w:noProof/>
                <w:webHidden/>
              </w:rPr>
              <w:fldChar w:fldCharType="begin"/>
            </w:r>
            <w:r>
              <w:rPr>
                <w:noProof/>
                <w:webHidden/>
              </w:rPr>
              <w:instrText xml:space="preserve"> PAGEREF _Toc360703382 \h </w:instrText>
            </w:r>
            <w:r>
              <w:rPr>
                <w:noProof/>
                <w:webHidden/>
              </w:rPr>
            </w:r>
            <w:r>
              <w:rPr>
                <w:noProof/>
                <w:webHidden/>
              </w:rPr>
              <w:fldChar w:fldCharType="separate"/>
            </w:r>
            <w:r>
              <w:rPr>
                <w:noProof/>
                <w:webHidden/>
              </w:rPr>
              <w:t>2</w:t>
            </w:r>
            <w:r>
              <w:rPr>
                <w:noProof/>
                <w:webHidden/>
              </w:rPr>
              <w:fldChar w:fldCharType="end"/>
            </w:r>
          </w:hyperlink>
        </w:p>
        <w:p w:rsidR="00D503B0" w:rsidRDefault="00CA746D">
          <w:pPr>
            <w:pStyle w:val="TOC2"/>
            <w:rPr>
              <w:rFonts w:asciiTheme="minorHAnsi" w:eastAsiaTheme="minorEastAsia" w:hAnsiTheme="minorHAnsi" w:cstheme="minorBidi"/>
              <w:noProof/>
              <w:color w:val="auto"/>
              <w:sz w:val="22"/>
              <w:szCs w:val="22"/>
              <w:lang w:val="en-US" w:eastAsia="en-US"/>
            </w:rPr>
          </w:pPr>
          <w:hyperlink w:anchor="_Toc360703383" w:history="1">
            <w:r w:rsidR="00D503B0" w:rsidRPr="001222AD">
              <w:rPr>
                <w:rStyle w:val="Hyperlink"/>
                <w:noProof/>
              </w:rPr>
              <w:t>Overview of Australia’s rural development assistance in 2009-10</w:t>
            </w:r>
            <w:r w:rsidR="00D503B0">
              <w:rPr>
                <w:noProof/>
                <w:webHidden/>
              </w:rPr>
              <w:tab/>
            </w:r>
            <w:r w:rsidR="00D503B0">
              <w:rPr>
                <w:noProof/>
                <w:webHidden/>
              </w:rPr>
              <w:fldChar w:fldCharType="begin"/>
            </w:r>
            <w:r w:rsidR="00D503B0">
              <w:rPr>
                <w:noProof/>
                <w:webHidden/>
              </w:rPr>
              <w:instrText xml:space="preserve"> PAGEREF _Toc360703383 \h </w:instrText>
            </w:r>
            <w:r w:rsidR="00D503B0">
              <w:rPr>
                <w:noProof/>
                <w:webHidden/>
              </w:rPr>
            </w:r>
            <w:r w:rsidR="00D503B0">
              <w:rPr>
                <w:noProof/>
                <w:webHidden/>
              </w:rPr>
              <w:fldChar w:fldCharType="separate"/>
            </w:r>
            <w:r w:rsidR="00D503B0">
              <w:rPr>
                <w:noProof/>
                <w:webHidden/>
              </w:rPr>
              <w:t>2</w:t>
            </w:r>
            <w:r w:rsidR="00D503B0">
              <w:rPr>
                <w:noProof/>
                <w:webHidden/>
              </w:rPr>
              <w:fldChar w:fldCharType="end"/>
            </w:r>
          </w:hyperlink>
        </w:p>
        <w:p w:rsidR="00D503B0" w:rsidRDefault="00CA746D">
          <w:pPr>
            <w:pStyle w:val="TOC2"/>
            <w:rPr>
              <w:rFonts w:asciiTheme="minorHAnsi" w:eastAsiaTheme="minorEastAsia" w:hAnsiTheme="minorHAnsi" w:cstheme="minorBidi"/>
              <w:noProof/>
              <w:color w:val="auto"/>
              <w:sz w:val="22"/>
              <w:szCs w:val="22"/>
              <w:lang w:val="en-US" w:eastAsia="en-US"/>
            </w:rPr>
          </w:pPr>
          <w:hyperlink w:anchor="_Toc360703384" w:history="1">
            <w:r w:rsidR="00D503B0" w:rsidRPr="001222AD">
              <w:rPr>
                <w:rStyle w:val="Hyperlink"/>
                <w:noProof/>
              </w:rPr>
              <w:t>Major Achievements</w:t>
            </w:r>
            <w:r w:rsidR="00D503B0">
              <w:rPr>
                <w:noProof/>
                <w:webHidden/>
              </w:rPr>
              <w:tab/>
            </w:r>
            <w:r w:rsidR="00D503B0">
              <w:rPr>
                <w:noProof/>
                <w:webHidden/>
              </w:rPr>
              <w:fldChar w:fldCharType="begin"/>
            </w:r>
            <w:r w:rsidR="00D503B0">
              <w:rPr>
                <w:noProof/>
                <w:webHidden/>
              </w:rPr>
              <w:instrText xml:space="preserve"> PAGEREF _Toc360703384 \h </w:instrText>
            </w:r>
            <w:r w:rsidR="00D503B0">
              <w:rPr>
                <w:noProof/>
                <w:webHidden/>
              </w:rPr>
            </w:r>
            <w:r w:rsidR="00D503B0">
              <w:rPr>
                <w:noProof/>
                <w:webHidden/>
              </w:rPr>
              <w:fldChar w:fldCharType="separate"/>
            </w:r>
            <w:r w:rsidR="00D503B0">
              <w:rPr>
                <w:noProof/>
                <w:webHidden/>
              </w:rPr>
              <w:t>5</w:t>
            </w:r>
            <w:r w:rsidR="00D503B0">
              <w:rPr>
                <w:noProof/>
                <w:webHidden/>
              </w:rPr>
              <w:fldChar w:fldCharType="end"/>
            </w:r>
          </w:hyperlink>
        </w:p>
        <w:p w:rsidR="00D503B0" w:rsidRDefault="00CA746D">
          <w:pPr>
            <w:pStyle w:val="TOC2"/>
            <w:rPr>
              <w:rFonts w:asciiTheme="minorHAnsi" w:eastAsiaTheme="minorEastAsia" w:hAnsiTheme="minorHAnsi" w:cstheme="minorBidi"/>
              <w:noProof/>
              <w:color w:val="auto"/>
              <w:sz w:val="22"/>
              <w:szCs w:val="22"/>
              <w:lang w:val="en-US" w:eastAsia="en-US"/>
            </w:rPr>
          </w:pPr>
          <w:hyperlink w:anchor="_Toc360703385" w:history="1">
            <w:r w:rsidR="00D503B0" w:rsidRPr="001222AD">
              <w:rPr>
                <w:rStyle w:val="Hyperlink"/>
                <w:noProof/>
              </w:rPr>
              <w:t>Portfolio Review</w:t>
            </w:r>
            <w:r w:rsidR="00D503B0">
              <w:rPr>
                <w:noProof/>
                <w:webHidden/>
              </w:rPr>
              <w:tab/>
            </w:r>
            <w:r w:rsidR="00D503B0">
              <w:rPr>
                <w:noProof/>
                <w:webHidden/>
              </w:rPr>
              <w:fldChar w:fldCharType="begin"/>
            </w:r>
            <w:r w:rsidR="00D503B0">
              <w:rPr>
                <w:noProof/>
                <w:webHidden/>
              </w:rPr>
              <w:instrText xml:space="preserve"> PAGEREF _Toc360703385 \h </w:instrText>
            </w:r>
            <w:r w:rsidR="00D503B0">
              <w:rPr>
                <w:noProof/>
                <w:webHidden/>
              </w:rPr>
            </w:r>
            <w:r w:rsidR="00D503B0">
              <w:rPr>
                <w:noProof/>
                <w:webHidden/>
              </w:rPr>
              <w:fldChar w:fldCharType="separate"/>
            </w:r>
            <w:r w:rsidR="00D503B0">
              <w:rPr>
                <w:noProof/>
                <w:webHidden/>
              </w:rPr>
              <w:t>8</w:t>
            </w:r>
            <w:r w:rsidR="00D503B0">
              <w:rPr>
                <w:noProof/>
                <w:webHidden/>
              </w:rPr>
              <w:fldChar w:fldCharType="end"/>
            </w:r>
          </w:hyperlink>
        </w:p>
        <w:p w:rsidR="00D503B0" w:rsidRDefault="00CA746D">
          <w:pPr>
            <w:pStyle w:val="TOC2"/>
            <w:rPr>
              <w:rFonts w:asciiTheme="minorHAnsi" w:eastAsiaTheme="minorEastAsia" w:hAnsiTheme="minorHAnsi" w:cstheme="minorBidi"/>
              <w:noProof/>
              <w:color w:val="auto"/>
              <w:sz w:val="22"/>
              <w:szCs w:val="22"/>
              <w:lang w:val="en-US" w:eastAsia="en-US"/>
            </w:rPr>
          </w:pPr>
          <w:hyperlink w:anchor="_Toc360703386" w:history="1">
            <w:r w:rsidR="00D503B0" w:rsidRPr="001222AD">
              <w:rPr>
                <w:rStyle w:val="Hyperlink"/>
                <w:bCs/>
                <w:noProof/>
              </w:rPr>
              <w:t>Portfolio Review</w:t>
            </w:r>
            <w:r w:rsidR="00D503B0">
              <w:rPr>
                <w:noProof/>
                <w:webHidden/>
              </w:rPr>
              <w:tab/>
            </w:r>
            <w:r w:rsidR="00D503B0">
              <w:rPr>
                <w:noProof/>
                <w:webHidden/>
              </w:rPr>
              <w:fldChar w:fldCharType="begin"/>
            </w:r>
            <w:r w:rsidR="00D503B0">
              <w:rPr>
                <w:noProof/>
                <w:webHidden/>
              </w:rPr>
              <w:instrText xml:space="preserve"> PAGEREF _Toc360703386 \h </w:instrText>
            </w:r>
            <w:r w:rsidR="00D503B0">
              <w:rPr>
                <w:noProof/>
                <w:webHidden/>
              </w:rPr>
            </w:r>
            <w:r w:rsidR="00D503B0">
              <w:rPr>
                <w:noProof/>
                <w:webHidden/>
              </w:rPr>
              <w:fldChar w:fldCharType="separate"/>
            </w:r>
            <w:r w:rsidR="00D503B0">
              <w:rPr>
                <w:noProof/>
                <w:webHidden/>
              </w:rPr>
              <w:t>8</w:t>
            </w:r>
            <w:r w:rsidR="00D503B0">
              <w:rPr>
                <w:noProof/>
                <w:webHidden/>
              </w:rPr>
              <w:fldChar w:fldCharType="end"/>
            </w:r>
          </w:hyperlink>
        </w:p>
        <w:p w:rsidR="00D503B0" w:rsidRDefault="00CA746D">
          <w:pPr>
            <w:pStyle w:val="TOC2"/>
            <w:rPr>
              <w:rFonts w:asciiTheme="minorHAnsi" w:eastAsiaTheme="minorEastAsia" w:hAnsiTheme="minorHAnsi" w:cstheme="minorBidi"/>
              <w:noProof/>
              <w:color w:val="auto"/>
              <w:sz w:val="22"/>
              <w:szCs w:val="22"/>
              <w:lang w:val="en-US" w:eastAsia="en-US"/>
            </w:rPr>
          </w:pPr>
          <w:hyperlink w:anchor="_Toc360703387" w:history="1">
            <w:r w:rsidR="00D503B0" w:rsidRPr="001222AD">
              <w:rPr>
                <w:rStyle w:val="Hyperlink"/>
                <w:noProof/>
              </w:rPr>
              <w:t>Conclusions and recommended actions</w:t>
            </w:r>
            <w:r w:rsidR="00D503B0">
              <w:rPr>
                <w:noProof/>
                <w:webHidden/>
              </w:rPr>
              <w:tab/>
            </w:r>
            <w:r w:rsidR="00D503B0">
              <w:rPr>
                <w:noProof/>
                <w:webHidden/>
              </w:rPr>
              <w:fldChar w:fldCharType="begin"/>
            </w:r>
            <w:r w:rsidR="00D503B0">
              <w:rPr>
                <w:noProof/>
                <w:webHidden/>
              </w:rPr>
              <w:instrText xml:space="preserve"> PAGEREF _Toc360703387 \h </w:instrText>
            </w:r>
            <w:r w:rsidR="00D503B0">
              <w:rPr>
                <w:noProof/>
                <w:webHidden/>
              </w:rPr>
            </w:r>
            <w:r w:rsidR="00D503B0">
              <w:rPr>
                <w:noProof/>
                <w:webHidden/>
              </w:rPr>
              <w:fldChar w:fldCharType="separate"/>
            </w:r>
            <w:r w:rsidR="00D503B0">
              <w:rPr>
                <w:noProof/>
                <w:webHidden/>
              </w:rPr>
              <w:t>10</w:t>
            </w:r>
            <w:r w:rsidR="00D503B0">
              <w:rPr>
                <w:noProof/>
                <w:webHidden/>
              </w:rPr>
              <w:fldChar w:fldCharType="end"/>
            </w:r>
          </w:hyperlink>
        </w:p>
        <w:p w:rsidR="00D503B0" w:rsidRDefault="00D503B0">
          <w:r>
            <w:rPr>
              <w:b/>
              <w:bCs/>
              <w:noProof/>
            </w:rPr>
            <w:fldChar w:fldCharType="end"/>
          </w:r>
        </w:p>
      </w:sdtContent>
    </w:sdt>
    <w:p w:rsidR="00D04DD6" w:rsidRDefault="002F57CD" w:rsidP="00D9052A">
      <w:pPr>
        <w:pStyle w:val="H2A"/>
      </w:pPr>
      <w:r>
        <w:br w:type="page"/>
      </w:r>
      <w:bookmarkStart w:id="2" w:name="_Toc360703382"/>
      <w:r w:rsidR="00D04DD6" w:rsidRPr="00FF46C3">
        <w:lastRenderedPageBreak/>
        <w:t>Summary</w:t>
      </w:r>
      <w:bookmarkEnd w:id="2"/>
      <w:bookmarkEnd w:id="1"/>
    </w:p>
    <w:p w:rsidR="00006923" w:rsidRPr="00213E79" w:rsidRDefault="00006923" w:rsidP="008334D6">
      <w:pPr>
        <w:spacing w:after="120"/>
        <w:rPr>
          <w:rFonts w:ascii="Calibri" w:hAnsi="Calibri"/>
          <w:szCs w:val="20"/>
        </w:rPr>
      </w:pPr>
      <w:r w:rsidRPr="00213E79">
        <w:rPr>
          <w:rFonts w:ascii="Calibri" w:hAnsi="Calibri"/>
          <w:szCs w:val="20"/>
        </w:rPr>
        <w:t xml:space="preserve">Australia spent </w:t>
      </w:r>
      <w:proofErr w:type="gramStart"/>
      <w:r w:rsidRPr="00213E79">
        <w:rPr>
          <w:rFonts w:ascii="Calibri" w:hAnsi="Calibri"/>
          <w:szCs w:val="20"/>
        </w:rPr>
        <w:t>A$</w:t>
      </w:r>
      <w:proofErr w:type="gramEnd"/>
      <w:r w:rsidR="009D1070">
        <w:rPr>
          <w:rFonts w:ascii="Calibri" w:hAnsi="Calibri"/>
          <w:szCs w:val="20"/>
        </w:rPr>
        <w:t>294</w:t>
      </w:r>
      <w:r w:rsidR="009D1070" w:rsidRPr="00213E79">
        <w:rPr>
          <w:rFonts w:ascii="Calibri" w:hAnsi="Calibri"/>
          <w:szCs w:val="20"/>
        </w:rPr>
        <w:t xml:space="preserve">m </w:t>
      </w:r>
      <w:r w:rsidRPr="00213E79">
        <w:rPr>
          <w:rFonts w:ascii="Calibri" w:hAnsi="Calibri"/>
          <w:szCs w:val="20"/>
        </w:rPr>
        <w:t>on rural development (RD) in 2009-10, and this is expected to expand rapidly in the coming years.  The RD effort is increasingly focused in three priority areas</w:t>
      </w:r>
      <w:r w:rsidR="008334D6">
        <w:rPr>
          <w:rFonts w:ascii="Calibri" w:hAnsi="Calibri"/>
          <w:szCs w:val="20"/>
        </w:rPr>
        <w:t xml:space="preserve"> - </w:t>
      </w:r>
      <w:r w:rsidRPr="00213E79">
        <w:rPr>
          <w:rFonts w:ascii="Calibri" w:hAnsi="Calibri"/>
          <w:szCs w:val="20"/>
        </w:rPr>
        <w:t>agricultural research</w:t>
      </w:r>
      <w:r w:rsidR="008334D6">
        <w:rPr>
          <w:rFonts w:ascii="Calibri" w:hAnsi="Calibri"/>
          <w:szCs w:val="20"/>
        </w:rPr>
        <w:t xml:space="preserve">, </w:t>
      </w:r>
      <w:r w:rsidRPr="00213E79">
        <w:rPr>
          <w:rFonts w:ascii="Calibri" w:hAnsi="Calibri"/>
          <w:szCs w:val="20"/>
        </w:rPr>
        <w:t>market development</w:t>
      </w:r>
      <w:r w:rsidR="008334D6">
        <w:rPr>
          <w:rFonts w:ascii="Calibri" w:hAnsi="Calibri"/>
          <w:szCs w:val="20"/>
        </w:rPr>
        <w:t>,</w:t>
      </w:r>
      <w:r w:rsidRPr="00213E79">
        <w:rPr>
          <w:rFonts w:ascii="Calibri" w:hAnsi="Calibri"/>
          <w:szCs w:val="20"/>
        </w:rPr>
        <w:t xml:space="preserve"> and</w:t>
      </w:r>
      <w:r w:rsidR="008334D6">
        <w:rPr>
          <w:rFonts w:ascii="Calibri" w:hAnsi="Calibri"/>
          <w:szCs w:val="20"/>
        </w:rPr>
        <w:t xml:space="preserve"> </w:t>
      </w:r>
      <w:r w:rsidRPr="00213E79">
        <w:rPr>
          <w:rFonts w:ascii="Calibri" w:hAnsi="Calibri"/>
          <w:szCs w:val="20"/>
        </w:rPr>
        <w:t>social protection</w:t>
      </w:r>
      <w:r w:rsidR="008334D6">
        <w:rPr>
          <w:rFonts w:ascii="Calibri" w:hAnsi="Calibri"/>
          <w:szCs w:val="20"/>
        </w:rPr>
        <w:t xml:space="preserve"> - </w:t>
      </w:r>
      <w:r w:rsidRPr="00213E79">
        <w:rPr>
          <w:rFonts w:ascii="Calibri" w:hAnsi="Calibri"/>
          <w:szCs w:val="20"/>
        </w:rPr>
        <w:t>and on eight development outcomes</w:t>
      </w:r>
      <w:r w:rsidR="009D1070">
        <w:rPr>
          <w:rFonts w:ascii="Calibri" w:hAnsi="Calibri"/>
          <w:szCs w:val="20"/>
        </w:rPr>
        <w:t xml:space="preserve"> </w:t>
      </w:r>
      <w:r w:rsidR="008334D6">
        <w:rPr>
          <w:rFonts w:ascii="Calibri" w:hAnsi="Calibri"/>
          <w:szCs w:val="20"/>
        </w:rPr>
        <w:t>(see Box 1)</w:t>
      </w:r>
      <w:r w:rsidRPr="00213E79">
        <w:rPr>
          <w:rFonts w:ascii="Calibri" w:hAnsi="Calibri"/>
          <w:szCs w:val="20"/>
        </w:rPr>
        <w:t xml:space="preserve">.  In 2009-10 approximately 68 per cent of RD </w:t>
      </w:r>
      <w:proofErr w:type="gramStart"/>
      <w:r w:rsidRPr="00213E79">
        <w:rPr>
          <w:rFonts w:ascii="Calibri" w:hAnsi="Calibri"/>
          <w:szCs w:val="20"/>
        </w:rPr>
        <w:t>spend</w:t>
      </w:r>
      <w:proofErr w:type="gramEnd"/>
      <w:r w:rsidRPr="00213E79">
        <w:rPr>
          <w:rFonts w:ascii="Calibri" w:hAnsi="Calibri"/>
          <w:szCs w:val="20"/>
        </w:rPr>
        <w:t xml:space="preserve"> aligned with these three priorities, and </w:t>
      </w:r>
      <w:proofErr w:type="spellStart"/>
      <w:smartTag w:uri="urn:schemas-microsoft-com:office:smarttags" w:element="Street">
        <w:smartTag w:uri="urn:schemas-microsoft-com:office:smarttags" w:element="address">
          <w:r w:rsidRPr="00213E79">
            <w:rPr>
              <w:rFonts w:ascii="Calibri" w:hAnsi="Calibri"/>
              <w:szCs w:val="20"/>
            </w:rPr>
            <w:t>AusAID</w:t>
          </w:r>
          <w:proofErr w:type="spellEnd"/>
          <w:r w:rsidRPr="00213E79">
            <w:rPr>
              <w:rFonts w:ascii="Calibri" w:hAnsi="Calibri"/>
              <w:szCs w:val="20"/>
            </w:rPr>
            <w:t xml:space="preserve"> RD</w:t>
          </w:r>
        </w:smartTag>
      </w:smartTag>
      <w:r w:rsidRPr="00213E79">
        <w:rPr>
          <w:rFonts w:ascii="Calibri" w:hAnsi="Calibri"/>
          <w:szCs w:val="20"/>
        </w:rPr>
        <w:t xml:space="preserve"> programs began to report progress against the eight outcomes.  </w:t>
      </w:r>
      <w:r w:rsidR="00570E39">
        <w:rPr>
          <w:rFonts w:ascii="Calibri" w:hAnsi="Calibri"/>
          <w:szCs w:val="20"/>
        </w:rPr>
        <w:t>The</w:t>
      </w:r>
      <w:r w:rsidR="00570E39" w:rsidRPr="00213E79">
        <w:rPr>
          <w:rFonts w:ascii="Calibri" w:hAnsi="Calibri"/>
          <w:szCs w:val="20"/>
        </w:rPr>
        <w:t xml:space="preserve"> </w:t>
      </w:r>
      <w:r w:rsidRPr="00213E79">
        <w:rPr>
          <w:rFonts w:ascii="Calibri" w:hAnsi="Calibri"/>
          <w:szCs w:val="20"/>
        </w:rPr>
        <w:t>geographical emphasis remained SE Asia and the Pacific, but Africa became increasingly important along with fragile states in South Asia.</w:t>
      </w:r>
    </w:p>
    <w:p w:rsidR="00006923" w:rsidRPr="00213E79" w:rsidRDefault="00006923" w:rsidP="0029179C">
      <w:pPr>
        <w:spacing w:after="120"/>
        <w:rPr>
          <w:rFonts w:ascii="Calibri" w:hAnsi="Calibri"/>
          <w:szCs w:val="20"/>
        </w:rPr>
      </w:pPr>
      <w:proofErr w:type="spellStart"/>
      <w:r w:rsidRPr="00213E79">
        <w:rPr>
          <w:rFonts w:ascii="Calibri" w:hAnsi="Calibri"/>
          <w:szCs w:val="20"/>
        </w:rPr>
        <w:t>AusAID</w:t>
      </w:r>
      <w:proofErr w:type="spellEnd"/>
      <w:r w:rsidRPr="00213E79">
        <w:rPr>
          <w:rFonts w:ascii="Calibri" w:hAnsi="Calibri"/>
          <w:szCs w:val="20"/>
        </w:rPr>
        <w:t xml:space="preserve"> contributed to </w:t>
      </w:r>
      <w:r w:rsidR="00570E39">
        <w:rPr>
          <w:rFonts w:ascii="Calibri" w:hAnsi="Calibri"/>
          <w:szCs w:val="20"/>
        </w:rPr>
        <w:t xml:space="preserve">progress </w:t>
      </w:r>
      <w:r w:rsidRPr="00213E79">
        <w:rPr>
          <w:rFonts w:ascii="Calibri" w:hAnsi="Calibri"/>
          <w:szCs w:val="20"/>
        </w:rPr>
        <w:t>in each of the eight outcome areas</w:t>
      </w:r>
      <w:r w:rsidR="00570E39">
        <w:rPr>
          <w:rFonts w:ascii="Calibri" w:hAnsi="Calibri"/>
          <w:szCs w:val="20"/>
        </w:rPr>
        <w:t xml:space="preserve"> and has </w:t>
      </w:r>
      <w:r w:rsidRPr="00213E79">
        <w:rPr>
          <w:rFonts w:ascii="Calibri" w:hAnsi="Calibri"/>
          <w:szCs w:val="20"/>
        </w:rPr>
        <w:t>had important successes</w:t>
      </w:r>
      <w:r w:rsidR="008334D6">
        <w:rPr>
          <w:rFonts w:ascii="Calibri" w:hAnsi="Calibri"/>
          <w:szCs w:val="20"/>
        </w:rPr>
        <w:t xml:space="preserve">: </w:t>
      </w:r>
      <w:r w:rsidRPr="00213E79">
        <w:rPr>
          <w:rFonts w:ascii="Calibri" w:hAnsi="Calibri"/>
          <w:szCs w:val="20"/>
        </w:rPr>
        <w:t>playing a lead role in overcoming global policy barriers to financial inclusion through the G20</w:t>
      </w:r>
      <w:r w:rsidR="008334D6">
        <w:rPr>
          <w:rFonts w:ascii="Calibri" w:hAnsi="Calibri"/>
          <w:szCs w:val="20"/>
        </w:rPr>
        <w:t>;</w:t>
      </w:r>
      <w:r w:rsidRPr="00213E79">
        <w:rPr>
          <w:rFonts w:ascii="Calibri" w:hAnsi="Calibri"/>
          <w:szCs w:val="20"/>
        </w:rPr>
        <w:t xml:space="preserve"> </w:t>
      </w:r>
      <w:r w:rsidR="00745B64">
        <w:rPr>
          <w:rFonts w:ascii="Calibri" w:hAnsi="Calibri"/>
          <w:szCs w:val="20"/>
        </w:rPr>
        <w:t xml:space="preserve">encouraging </w:t>
      </w:r>
      <w:r w:rsidRPr="00213E79">
        <w:rPr>
          <w:rFonts w:ascii="Calibri" w:hAnsi="Calibri"/>
          <w:szCs w:val="20"/>
        </w:rPr>
        <w:t>commercial business models to benefit the poor; and expanding successful social protection programs are good examples</w:t>
      </w:r>
      <w:r w:rsidR="00570E39">
        <w:rPr>
          <w:rFonts w:ascii="Calibri" w:hAnsi="Calibri"/>
          <w:szCs w:val="20"/>
        </w:rPr>
        <w:t xml:space="preserve">.  The </w:t>
      </w:r>
      <w:r w:rsidRPr="00213E79">
        <w:rPr>
          <w:rFonts w:ascii="Calibri" w:hAnsi="Calibri"/>
          <w:szCs w:val="20"/>
        </w:rPr>
        <w:t>focus on three priority themes and eight outcomes provides a robust basis for scaling up.</w:t>
      </w:r>
    </w:p>
    <w:p w:rsidR="00006923" w:rsidRPr="00213E79" w:rsidRDefault="00570E39" w:rsidP="0029179C">
      <w:pPr>
        <w:spacing w:after="120"/>
        <w:rPr>
          <w:rFonts w:ascii="Calibri" w:hAnsi="Calibri"/>
          <w:szCs w:val="20"/>
        </w:rPr>
      </w:pPr>
      <w:r>
        <w:rPr>
          <w:rFonts w:ascii="Calibri" w:hAnsi="Calibri"/>
          <w:szCs w:val="20"/>
        </w:rPr>
        <w:t xml:space="preserve">The key challenges going forward are: accelerating our internal staff capacity </w:t>
      </w:r>
      <w:r w:rsidR="00601861">
        <w:rPr>
          <w:rFonts w:ascii="Calibri" w:hAnsi="Calibri"/>
          <w:szCs w:val="20"/>
        </w:rPr>
        <w:t>development</w:t>
      </w:r>
      <w:r>
        <w:rPr>
          <w:rFonts w:ascii="Calibri" w:hAnsi="Calibri"/>
          <w:szCs w:val="20"/>
        </w:rPr>
        <w:t>; ensuring a consistent approach to</w:t>
      </w:r>
      <w:r w:rsidR="004A71F0">
        <w:rPr>
          <w:rFonts w:ascii="Calibri" w:hAnsi="Calibri"/>
          <w:szCs w:val="20"/>
        </w:rPr>
        <w:t xml:space="preserve"> RD</w:t>
      </w:r>
      <w:r>
        <w:rPr>
          <w:rFonts w:ascii="Calibri" w:hAnsi="Calibri"/>
          <w:szCs w:val="20"/>
        </w:rPr>
        <w:t xml:space="preserve"> interventions </w:t>
      </w:r>
      <w:r w:rsidR="004A71F0">
        <w:rPr>
          <w:rFonts w:ascii="Calibri" w:hAnsi="Calibri"/>
          <w:szCs w:val="20"/>
        </w:rPr>
        <w:t xml:space="preserve">that </w:t>
      </w:r>
      <w:r>
        <w:rPr>
          <w:rFonts w:ascii="Calibri" w:hAnsi="Calibri"/>
          <w:szCs w:val="20"/>
        </w:rPr>
        <w:t xml:space="preserve">results in benefits to large numbers of poor people </w:t>
      </w:r>
      <w:r w:rsidR="004A71F0">
        <w:rPr>
          <w:rFonts w:ascii="Calibri" w:hAnsi="Calibri"/>
          <w:szCs w:val="20"/>
        </w:rPr>
        <w:t>which</w:t>
      </w:r>
      <w:r w:rsidR="00006923" w:rsidRPr="00213E79">
        <w:rPr>
          <w:rFonts w:ascii="Calibri" w:hAnsi="Calibri"/>
          <w:szCs w:val="20"/>
        </w:rPr>
        <w:t xml:space="preserve"> </w:t>
      </w:r>
      <w:r>
        <w:rPr>
          <w:rFonts w:ascii="Calibri" w:hAnsi="Calibri"/>
          <w:szCs w:val="20"/>
        </w:rPr>
        <w:t xml:space="preserve">can be </w:t>
      </w:r>
      <w:r w:rsidR="00006923" w:rsidRPr="00213E79">
        <w:rPr>
          <w:rFonts w:ascii="Calibri" w:hAnsi="Calibri"/>
          <w:szCs w:val="20"/>
        </w:rPr>
        <w:t xml:space="preserve">sustained beyond </w:t>
      </w:r>
      <w:r>
        <w:rPr>
          <w:rFonts w:ascii="Calibri" w:hAnsi="Calibri"/>
          <w:szCs w:val="20"/>
        </w:rPr>
        <w:t xml:space="preserve">the period of </w:t>
      </w:r>
      <w:proofErr w:type="spellStart"/>
      <w:r>
        <w:rPr>
          <w:rFonts w:ascii="Calibri" w:hAnsi="Calibri"/>
          <w:szCs w:val="20"/>
        </w:rPr>
        <w:t>AusAID</w:t>
      </w:r>
      <w:proofErr w:type="spellEnd"/>
      <w:r>
        <w:rPr>
          <w:rFonts w:ascii="Calibri" w:hAnsi="Calibri"/>
          <w:szCs w:val="20"/>
        </w:rPr>
        <w:t xml:space="preserve"> support; increasing the </w:t>
      </w:r>
      <w:r w:rsidR="00006923" w:rsidRPr="00213E79">
        <w:rPr>
          <w:rFonts w:ascii="Calibri" w:hAnsi="Calibri"/>
          <w:szCs w:val="20"/>
        </w:rPr>
        <w:t xml:space="preserve">clarity about the results </w:t>
      </w:r>
      <w:r>
        <w:rPr>
          <w:rFonts w:ascii="Calibri" w:hAnsi="Calibri"/>
          <w:szCs w:val="20"/>
        </w:rPr>
        <w:t xml:space="preserve">being sought </w:t>
      </w:r>
      <w:r w:rsidR="00006923" w:rsidRPr="00213E79">
        <w:rPr>
          <w:rFonts w:ascii="Calibri" w:hAnsi="Calibri"/>
          <w:szCs w:val="20"/>
        </w:rPr>
        <w:t xml:space="preserve">and how they </w:t>
      </w:r>
      <w:r>
        <w:rPr>
          <w:rFonts w:ascii="Calibri" w:hAnsi="Calibri"/>
          <w:szCs w:val="20"/>
        </w:rPr>
        <w:t>will be obtained;</w:t>
      </w:r>
      <w:r w:rsidR="00006923" w:rsidRPr="00213E79">
        <w:rPr>
          <w:rFonts w:ascii="Calibri" w:hAnsi="Calibri"/>
          <w:szCs w:val="20"/>
        </w:rPr>
        <w:t xml:space="preserve"> </w:t>
      </w:r>
      <w:r>
        <w:rPr>
          <w:rFonts w:ascii="Calibri" w:hAnsi="Calibri"/>
          <w:szCs w:val="20"/>
        </w:rPr>
        <w:t xml:space="preserve">ensuring more of our </w:t>
      </w:r>
      <w:r w:rsidR="00006923" w:rsidRPr="00213E79">
        <w:rPr>
          <w:rFonts w:ascii="Calibri" w:hAnsi="Calibri"/>
          <w:szCs w:val="20"/>
        </w:rPr>
        <w:t xml:space="preserve">social protection effort is </w:t>
      </w:r>
      <w:r>
        <w:rPr>
          <w:rFonts w:ascii="Calibri" w:hAnsi="Calibri"/>
          <w:szCs w:val="20"/>
        </w:rPr>
        <w:t>about development, rather than relief</w:t>
      </w:r>
      <w:r w:rsidR="00CA7CA9">
        <w:rPr>
          <w:rFonts w:ascii="Calibri" w:hAnsi="Calibri"/>
          <w:szCs w:val="20"/>
        </w:rPr>
        <w:t>; and consolidating the RD portfolio into fewer</w:t>
      </w:r>
      <w:r w:rsidR="008334D6">
        <w:rPr>
          <w:rFonts w:ascii="Calibri" w:hAnsi="Calibri"/>
          <w:szCs w:val="20"/>
        </w:rPr>
        <w:t>,</w:t>
      </w:r>
      <w:r w:rsidR="00CA7CA9">
        <w:rPr>
          <w:rFonts w:ascii="Calibri" w:hAnsi="Calibri"/>
          <w:szCs w:val="20"/>
        </w:rPr>
        <w:t xml:space="preserve"> larger programs with a consistent focus on our eight outcomes.</w:t>
      </w:r>
      <w:r w:rsidR="00006923" w:rsidRPr="00213E79">
        <w:rPr>
          <w:rFonts w:ascii="Calibri" w:hAnsi="Calibri"/>
          <w:szCs w:val="20"/>
        </w:rPr>
        <w:t xml:space="preserve"> </w:t>
      </w:r>
    </w:p>
    <w:p w:rsidR="00D9052A" w:rsidRPr="00D9052A" w:rsidRDefault="00D04DD6" w:rsidP="00D9052A">
      <w:pPr>
        <w:pStyle w:val="H3A"/>
      </w:pPr>
      <w:bookmarkStart w:id="3" w:name="_Toc360699274"/>
      <w:bookmarkStart w:id="4" w:name="_Toc360703383"/>
      <w:r w:rsidRPr="00737095">
        <w:t>Overview of</w:t>
      </w:r>
      <w:r w:rsidR="00141482" w:rsidRPr="00737095">
        <w:t xml:space="preserve"> Australia’s</w:t>
      </w:r>
      <w:r w:rsidRPr="00737095">
        <w:t xml:space="preserve"> </w:t>
      </w:r>
      <w:r w:rsidR="00573D5D" w:rsidRPr="00737095">
        <w:t>rural</w:t>
      </w:r>
      <w:r w:rsidR="00006923" w:rsidRPr="00737095">
        <w:t xml:space="preserve"> </w:t>
      </w:r>
      <w:r w:rsidR="00141482" w:rsidRPr="00737095">
        <w:t xml:space="preserve">development assistance </w:t>
      </w:r>
      <w:r w:rsidR="00141482" w:rsidRPr="00D9052A">
        <w:t>in</w:t>
      </w:r>
      <w:r w:rsidR="00141482" w:rsidRPr="00737095">
        <w:t xml:space="preserve"> 2009</w:t>
      </w:r>
      <w:r w:rsidR="008334D6">
        <w:t>-10</w:t>
      </w:r>
      <w:bookmarkEnd w:id="3"/>
      <w:bookmarkEnd w:id="4"/>
    </w:p>
    <w:p w:rsidR="00006923" w:rsidRPr="00213E79" w:rsidRDefault="00006923" w:rsidP="0029179C">
      <w:pPr>
        <w:spacing w:after="120"/>
        <w:rPr>
          <w:rFonts w:ascii="Calibri" w:hAnsi="Calibri"/>
          <w:szCs w:val="20"/>
        </w:rPr>
      </w:pPr>
      <w:smartTag w:uri="urn:schemas-microsoft-com:office:smarttags" w:element="place">
        <w:smartTag w:uri="urn:schemas-microsoft-com:office:smarttags" w:element="country-region">
          <w:r w:rsidRPr="00213E79">
            <w:rPr>
              <w:rFonts w:ascii="Calibri" w:hAnsi="Calibri"/>
              <w:szCs w:val="20"/>
            </w:rPr>
            <w:t>Australia</w:t>
          </w:r>
        </w:smartTag>
      </w:smartTag>
      <w:r w:rsidRPr="00213E79">
        <w:rPr>
          <w:rFonts w:ascii="Calibri" w:hAnsi="Calibri"/>
          <w:szCs w:val="20"/>
        </w:rPr>
        <w:t xml:space="preserve"> currently spends around 7 per cent of the aid budget on rural development (RD).  Budget estimates for 2009-10 indicate A$</w:t>
      </w:r>
      <w:r w:rsidR="004B5245">
        <w:rPr>
          <w:rFonts w:ascii="Calibri" w:hAnsi="Calibri"/>
          <w:szCs w:val="20"/>
        </w:rPr>
        <w:t>294</w:t>
      </w:r>
      <w:r w:rsidRPr="00213E79">
        <w:rPr>
          <w:rFonts w:ascii="Calibri" w:hAnsi="Calibri"/>
          <w:szCs w:val="20"/>
        </w:rPr>
        <w:t>m was invested in RD</w:t>
      </w:r>
      <w:r w:rsidR="004B5245">
        <w:rPr>
          <w:rFonts w:ascii="Calibri" w:hAnsi="Calibri"/>
          <w:szCs w:val="20"/>
        </w:rPr>
        <w:t>.</w:t>
      </w:r>
      <w:r w:rsidRPr="00213E79">
        <w:rPr>
          <w:rFonts w:ascii="Calibri" w:hAnsi="Calibri"/>
          <w:szCs w:val="20"/>
        </w:rPr>
        <w:t xml:space="preserve">  RD investment is expected to accelerate rapidly over the next five years so that by 201</w:t>
      </w:r>
      <w:r w:rsidR="006E5AFD">
        <w:rPr>
          <w:rFonts w:ascii="Calibri" w:hAnsi="Calibri"/>
          <w:szCs w:val="20"/>
        </w:rPr>
        <w:t>4</w:t>
      </w:r>
      <w:r w:rsidRPr="00213E79">
        <w:rPr>
          <w:rFonts w:ascii="Calibri" w:hAnsi="Calibri"/>
          <w:szCs w:val="20"/>
        </w:rPr>
        <w:t>-1</w:t>
      </w:r>
      <w:r w:rsidR="006E5AFD">
        <w:rPr>
          <w:rFonts w:ascii="Calibri" w:hAnsi="Calibri"/>
          <w:szCs w:val="20"/>
        </w:rPr>
        <w:t>5</w:t>
      </w:r>
      <w:r w:rsidRPr="00213E79">
        <w:rPr>
          <w:rFonts w:ascii="Calibri" w:hAnsi="Calibri"/>
          <w:szCs w:val="20"/>
        </w:rPr>
        <w:t xml:space="preserve"> </w:t>
      </w:r>
      <w:smartTag w:uri="urn:schemas-microsoft-com:office:smarttags" w:element="country-region">
        <w:smartTag w:uri="urn:schemas-microsoft-com:office:smarttags" w:element="place">
          <w:r w:rsidRPr="00213E79">
            <w:rPr>
              <w:rFonts w:ascii="Calibri" w:hAnsi="Calibri"/>
              <w:szCs w:val="20"/>
            </w:rPr>
            <w:t>Australia</w:t>
          </w:r>
        </w:smartTag>
      </w:smartTag>
      <w:r w:rsidRPr="00213E79">
        <w:rPr>
          <w:rFonts w:ascii="Calibri" w:hAnsi="Calibri"/>
          <w:szCs w:val="20"/>
        </w:rPr>
        <w:t xml:space="preserve"> will have spent at least $1.8bn on food security and RD.  </w:t>
      </w:r>
    </w:p>
    <w:p w:rsidR="00006923" w:rsidRDefault="00006923" w:rsidP="00D9052A">
      <w:pPr>
        <w:pStyle w:val="H4A"/>
      </w:pPr>
      <w:r w:rsidRPr="00737095">
        <w:t xml:space="preserve">The RD effort is increasingly </w:t>
      </w:r>
      <w:r w:rsidRPr="00D9052A">
        <w:t>focused</w:t>
      </w:r>
    </w:p>
    <w:p w:rsidR="00006923" w:rsidRPr="00213E79" w:rsidRDefault="00006923" w:rsidP="0029179C">
      <w:pPr>
        <w:spacing w:after="120"/>
        <w:rPr>
          <w:rFonts w:ascii="Calibri" w:hAnsi="Calibri"/>
          <w:szCs w:val="20"/>
        </w:rPr>
      </w:pPr>
      <w:r w:rsidRPr="00213E79">
        <w:rPr>
          <w:rFonts w:ascii="Calibri" w:hAnsi="Calibri"/>
          <w:szCs w:val="20"/>
        </w:rPr>
        <w:t xml:space="preserve">Prior to 2008 the </w:t>
      </w:r>
      <w:proofErr w:type="spellStart"/>
      <w:r w:rsidRPr="00213E79">
        <w:rPr>
          <w:rFonts w:ascii="Calibri" w:hAnsi="Calibri"/>
          <w:szCs w:val="20"/>
        </w:rPr>
        <w:t>AusAID</w:t>
      </w:r>
      <w:proofErr w:type="spellEnd"/>
      <w:r w:rsidRPr="00213E79">
        <w:rPr>
          <w:rFonts w:ascii="Calibri" w:hAnsi="Calibri"/>
          <w:szCs w:val="20"/>
        </w:rPr>
        <w:t xml:space="preserve"> RD portfolio </w:t>
      </w:r>
      <w:r w:rsidR="007E665D">
        <w:rPr>
          <w:rFonts w:ascii="Calibri" w:hAnsi="Calibri"/>
          <w:szCs w:val="20"/>
        </w:rPr>
        <w:t>covered a broad range of themes</w:t>
      </w:r>
      <w:r w:rsidRPr="00213E79">
        <w:rPr>
          <w:rFonts w:ascii="Calibri" w:hAnsi="Calibri"/>
          <w:szCs w:val="20"/>
        </w:rPr>
        <w:t xml:space="preserve">.  The 2007-08 food price crisis not only triggered a renewed financial commitment from </w:t>
      </w:r>
      <w:smartTag w:uri="urn:schemas-microsoft-com:office:smarttags" w:element="place">
        <w:smartTag w:uri="urn:schemas-microsoft-com:office:smarttags" w:element="country-region">
          <w:r w:rsidRPr="00213E79">
            <w:rPr>
              <w:rFonts w:ascii="Calibri" w:hAnsi="Calibri"/>
              <w:szCs w:val="20"/>
            </w:rPr>
            <w:t>Australia</w:t>
          </w:r>
        </w:smartTag>
      </w:smartTag>
      <w:r w:rsidRPr="00213E79">
        <w:rPr>
          <w:rFonts w:ascii="Calibri" w:hAnsi="Calibri"/>
          <w:szCs w:val="20"/>
        </w:rPr>
        <w:t xml:space="preserve"> to addressing food security through RD, but also </w:t>
      </w:r>
      <w:r w:rsidR="006E5AFD">
        <w:rPr>
          <w:rFonts w:ascii="Calibri" w:hAnsi="Calibri"/>
          <w:szCs w:val="20"/>
        </w:rPr>
        <w:t>led</w:t>
      </w:r>
      <w:r w:rsidR="006E5AFD" w:rsidRPr="00213E79">
        <w:rPr>
          <w:rFonts w:ascii="Calibri" w:hAnsi="Calibri"/>
          <w:szCs w:val="20"/>
        </w:rPr>
        <w:t xml:space="preserve"> </w:t>
      </w:r>
      <w:proofErr w:type="spellStart"/>
      <w:r w:rsidRPr="00213E79">
        <w:rPr>
          <w:rFonts w:ascii="Calibri" w:hAnsi="Calibri"/>
          <w:szCs w:val="20"/>
        </w:rPr>
        <w:t>AusAID</w:t>
      </w:r>
      <w:proofErr w:type="spellEnd"/>
      <w:r w:rsidRPr="00213E79">
        <w:rPr>
          <w:rFonts w:ascii="Calibri" w:hAnsi="Calibri"/>
          <w:szCs w:val="20"/>
        </w:rPr>
        <w:t xml:space="preserve"> to tak</w:t>
      </w:r>
      <w:r w:rsidR="006E5AFD">
        <w:rPr>
          <w:rFonts w:ascii="Calibri" w:hAnsi="Calibri"/>
          <w:szCs w:val="20"/>
        </w:rPr>
        <w:t>e</w:t>
      </w:r>
      <w:r w:rsidRPr="00213E79">
        <w:rPr>
          <w:rFonts w:ascii="Calibri" w:hAnsi="Calibri"/>
          <w:szCs w:val="20"/>
        </w:rPr>
        <w:t xml:space="preserve"> a more focused approach to </w:t>
      </w:r>
      <w:r w:rsidR="008334D6">
        <w:rPr>
          <w:rFonts w:ascii="Calibri" w:hAnsi="Calibri"/>
          <w:szCs w:val="20"/>
        </w:rPr>
        <w:t>the sector</w:t>
      </w:r>
      <w:r w:rsidRPr="00213E79">
        <w:rPr>
          <w:rFonts w:ascii="Calibri" w:hAnsi="Calibri"/>
          <w:szCs w:val="20"/>
        </w:rPr>
        <w:t xml:space="preserve">.  The desire for focus was driven by recognition that whilst </w:t>
      </w:r>
      <w:proofErr w:type="spellStart"/>
      <w:r w:rsidRPr="00213E79">
        <w:rPr>
          <w:rFonts w:ascii="Calibri" w:hAnsi="Calibri"/>
          <w:szCs w:val="20"/>
        </w:rPr>
        <w:t>AusAID</w:t>
      </w:r>
      <w:proofErr w:type="spellEnd"/>
      <w:r w:rsidRPr="00213E79">
        <w:rPr>
          <w:rFonts w:ascii="Calibri" w:hAnsi="Calibri"/>
          <w:szCs w:val="20"/>
        </w:rPr>
        <w:t xml:space="preserve"> must remain responsive to emerging challenges, it is not realistic to do everything.  To strengthen </w:t>
      </w:r>
      <w:smartTag w:uri="urn:schemas-microsoft-com:office:smarttags" w:element="country-region">
        <w:smartTag w:uri="urn:schemas-microsoft-com:office:smarttags" w:element="place">
          <w:r w:rsidR="006E5AFD">
            <w:rPr>
              <w:rFonts w:ascii="Calibri" w:hAnsi="Calibri"/>
              <w:szCs w:val="20"/>
            </w:rPr>
            <w:t>Australia</w:t>
          </w:r>
        </w:smartTag>
      </w:smartTag>
      <w:r w:rsidR="006E5AFD">
        <w:rPr>
          <w:rFonts w:ascii="Calibri" w:hAnsi="Calibri"/>
          <w:szCs w:val="20"/>
        </w:rPr>
        <w:t>’s</w:t>
      </w:r>
      <w:r w:rsidRPr="00213E79">
        <w:rPr>
          <w:rFonts w:ascii="Calibri" w:hAnsi="Calibri"/>
          <w:szCs w:val="20"/>
        </w:rPr>
        <w:t xml:space="preserve"> reputation as an effective donor </w:t>
      </w:r>
      <w:proofErr w:type="spellStart"/>
      <w:r w:rsidR="00C94154">
        <w:rPr>
          <w:rFonts w:ascii="Calibri" w:hAnsi="Calibri"/>
          <w:szCs w:val="20"/>
        </w:rPr>
        <w:t>AusAID</w:t>
      </w:r>
      <w:proofErr w:type="spellEnd"/>
      <w:r w:rsidR="00C94154">
        <w:rPr>
          <w:rFonts w:ascii="Calibri" w:hAnsi="Calibri"/>
          <w:szCs w:val="20"/>
        </w:rPr>
        <w:t xml:space="preserve"> </w:t>
      </w:r>
      <w:r w:rsidRPr="00213E79">
        <w:rPr>
          <w:rFonts w:ascii="Calibri" w:hAnsi="Calibri"/>
          <w:szCs w:val="20"/>
        </w:rPr>
        <w:t xml:space="preserve">should be selective, do a few things well, and focus on key development outcomes. Following a period of scoping, analysis, and consultations across government, it was agreed to focus on three themes where there is strong evidence that development efforts can achieve significant and sustainable results, where </w:t>
      </w:r>
      <w:smartTag w:uri="urn:schemas-microsoft-com:office:smarttags" w:element="country-region">
        <w:smartTag w:uri="urn:schemas-microsoft-com:office:smarttags" w:element="place">
          <w:r w:rsidRPr="00213E79">
            <w:rPr>
              <w:rFonts w:ascii="Calibri" w:hAnsi="Calibri"/>
              <w:szCs w:val="20"/>
            </w:rPr>
            <w:t>Australia</w:t>
          </w:r>
        </w:smartTag>
      </w:smartTag>
      <w:r w:rsidRPr="00213E79">
        <w:rPr>
          <w:rFonts w:ascii="Calibri" w:hAnsi="Calibri"/>
          <w:szCs w:val="20"/>
        </w:rPr>
        <w:t xml:space="preserve"> can make a difference and may have a comparative advantage, and on themes that can be applied at scale in partner countries.  </w:t>
      </w:r>
    </w:p>
    <w:p w:rsidR="007632C0" w:rsidRDefault="00006923" w:rsidP="0029179C">
      <w:pPr>
        <w:spacing w:after="120"/>
        <w:rPr>
          <w:rFonts w:ascii="Calibri" w:hAnsi="Calibri"/>
          <w:szCs w:val="20"/>
        </w:rPr>
      </w:pPr>
      <w:r w:rsidRPr="00213E79">
        <w:rPr>
          <w:rFonts w:ascii="Calibri" w:hAnsi="Calibri"/>
          <w:szCs w:val="20"/>
        </w:rPr>
        <w:t xml:space="preserve">The three focal themes (or pillars) for </w:t>
      </w:r>
      <w:proofErr w:type="spellStart"/>
      <w:r w:rsidRPr="00213E79">
        <w:rPr>
          <w:rFonts w:ascii="Calibri" w:hAnsi="Calibri"/>
          <w:szCs w:val="20"/>
        </w:rPr>
        <w:t>AusAID</w:t>
      </w:r>
      <w:proofErr w:type="spellEnd"/>
      <w:r w:rsidRPr="00213E79">
        <w:rPr>
          <w:rFonts w:ascii="Calibri" w:hAnsi="Calibri"/>
          <w:szCs w:val="20"/>
        </w:rPr>
        <w:t xml:space="preserve"> are: </w:t>
      </w:r>
    </w:p>
    <w:p w:rsidR="007632C0" w:rsidRPr="0072752A" w:rsidRDefault="00006923" w:rsidP="0072752A">
      <w:pPr>
        <w:pStyle w:val="ListParagraph"/>
        <w:numPr>
          <w:ilvl w:val="0"/>
          <w:numId w:val="27"/>
        </w:numPr>
        <w:tabs>
          <w:tab w:val="left" w:pos="360"/>
        </w:tabs>
        <w:spacing w:after="120"/>
        <w:rPr>
          <w:rFonts w:ascii="Calibri" w:hAnsi="Calibri"/>
          <w:szCs w:val="20"/>
        </w:rPr>
      </w:pPr>
      <w:r w:rsidRPr="0072752A">
        <w:rPr>
          <w:rFonts w:ascii="Calibri" w:hAnsi="Calibri"/>
          <w:szCs w:val="20"/>
        </w:rPr>
        <w:t xml:space="preserve">improving agricultural productivity through more effective agricultural research, </w:t>
      </w:r>
    </w:p>
    <w:p w:rsidR="007632C0" w:rsidRPr="0072752A" w:rsidRDefault="00006923" w:rsidP="0072752A">
      <w:pPr>
        <w:pStyle w:val="ListParagraph"/>
        <w:numPr>
          <w:ilvl w:val="0"/>
          <w:numId w:val="27"/>
        </w:numPr>
        <w:tabs>
          <w:tab w:val="left" w:pos="360"/>
        </w:tabs>
        <w:spacing w:after="120"/>
        <w:rPr>
          <w:rFonts w:ascii="Calibri" w:hAnsi="Calibri"/>
          <w:szCs w:val="20"/>
        </w:rPr>
      </w:pPr>
      <w:r w:rsidRPr="0072752A">
        <w:rPr>
          <w:rFonts w:ascii="Calibri" w:hAnsi="Calibri"/>
          <w:szCs w:val="20"/>
        </w:rPr>
        <w:t xml:space="preserve">improving </w:t>
      </w:r>
      <w:bookmarkStart w:id="5" w:name="OLE_LINK1"/>
      <w:r w:rsidRPr="0072752A">
        <w:rPr>
          <w:rFonts w:ascii="Calibri" w:hAnsi="Calibri"/>
          <w:szCs w:val="20"/>
        </w:rPr>
        <w:t>rural incomes, jobs and access to financial services through market development</w:t>
      </w:r>
      <w:bookmarkEnd w:id="5"/>
      <w:r w:rsidRPr="0072752A">
        <w:rPr>
          <w:rFonts w:ascii="Calibri" w:hAnsi="Calibri"/>
          <w:szCs w:val="20"/>
        </w:rPr>
        <w:t>, and</w:t>
      </w:r>
      <w:r w:rsidR="007632C0" w:rsidRPr="0072752A">
        <w:rPr>
          <w:rFonts w:ascii="Calibri" w:hAnsi="Calibri"/>
          <w:szCs w:val="20"/>
        </w:rPr>
        <w:t>;</w:t>
      </w:r>
      <w:r w:rsidRPr="0072752A">
        <w:rPr>
          <w:rFonts w:ascii="Calibri" w:hAnsi="Calibri"/>
          <w:szCs w:val="20"/>
        </w:rPr>
        <w:t xml:space="preserve"> </w:t>
      </w:r>
    </w:p>
    <w:p w:rsidR="007632C0" w:rsidRPr="0072752A" w:rsidRDefault="00006923" w:rsidP="0072752A">
      <w:pPr>
        <w:pStyle w:val="ListParagraph"/>
        <w:numPr>
          <w:ilvl w:val="0"/>
          <w:numId w:val="27"/>
        </w:numPr>
        <w:tabs>
          <w:tab w:val="left" w:pos="360"/>
        </w:tabs>
        <w:spacing w:after="120"/>
        <w:rPr>
          <w:rFonts w:ascii="Calibri" w:hAnsi="Calibri"/>
          <w:szCs w:val="20"/>
        </w:rPr>
      </w:pPr>
      <w:proofErr w:type="gramStart"/>
      <w:r w:rsidRPr="0072752A">
        <w:rPr>
          <w:rFonts w:ascii="Calibri" w:hAnsi="Calibri"/>
          <w:szCs w:val="20"/>
        </w:rPr>
        <w:t>increasing</w:t>
      </w:r>
      <w:proofErr w:type="gramEnd"/>
      <w:r w:rsidRPr="0072752A">
        <w:rPr>
          <w:rFonts w:ascii="Calibri" w:hAnsi="Calibri"/>
          <w:szCs w:val="20"/>
        </w:rPr>
        <w:t xml:space="preserve"> the resilience of the poorest through enhanced and expanded social protection.</w:t>
      </w:r>
    </w:p>
    <w:p w:rsidR="00006923" w:rsidRPr="00213E79" w:rsidRDefault="00006923" w:rsidP="0029179C">
      <w:pPr>
        <w:spacing w:after="120"/>
        <w:rPr>
          <w:rFonts w:ascii="Calibri" w:hAnsi="Calibri"/>
          <w:szCs w:val="20"/>
        </w:rPr>
      </w:pPr>
      <w:r w:rsidRPr="00213E79">
        <w:rPr>
          <w:rFonts w:ascii="Calibri" w:hAnsi="Calibri"/>
          <w:szCs w:val="20"/>
        </w:rPr>
        <w:t>Since 2009</w:t>
      </w:r>
      <w:r w:rsidR="007632C0">
        <w:rPr>
          <w:rFonts w:ascii="Calibri" w:hAnsi="Calibri"/>
          <w:szCs w:val="20"/>
        </w:rPr>
        <w:t>,</w:t>
      </w:r>
      <w:r w:rsidRPr="00213E79">
        <w:rPr>
          <w:rFonts w:ascii="Calibri" w:hAnsi="Calibri"/>
          <w:szCs w:val="20"/>
        </w:rPr>
        <w:t xml:space="preserve"> new and existing RD programs</w:t>
      </w:r>
      <w:r w:rsidR="006E5AFD">
        <w:rPr>
          <w:rFonts w:ascii="Calibri" w:hAnsi="Calibri"/>
          <w:szCs w:val="20"/>
        </w:rPr>
        <w:t xml:space="preserve"> are encouraged</w:t>
      </w:r>
      <w:r w:rsidRPr="00213E79">
        <w:rPr>
          <w:rFonts w:ascii="Calibri" w:hAnsi="Calibri"/>
          <w:szCs w:val="20"/>
        </w:rPr>
        <w:t xml:space="preserve"> to invest </w:t>
      </w:r>
      <w:r w:rsidR="006E5AFD">
        <w:rPr>
          <w:rFonts w:ascii="Calibri" w:hAnsi="Calibri"/>
          <w:szCs w:val="20"/>
        </w:rPr>
        <w:t xml:space="preserve">in </w:t>
      </w:r>
      <w:r w:rsidRPr="00213E79">
        <w:rPr>
          <w:rFonts w:ascii="Calibri" w:hAnsi="Calibri"/>
          <w:szCs w:val="20"/>
        </w:rPr>
        <w:t xml:space="preserve">and report against one or more of the following eight outcomes in </w:t>
      </w:r>
      <w:smartTag w:uri="urn:schemas-microsoft-com:office:smarttags" w:element="address">
        <w:smartTag w:uri="urn:schemas-microsoft-com:office:smarttags" w:element="Street">
          <w:r w:rsidRPr="00213E79">
            <w:rPr>
              <w:rFonts w:ascii="Calibri" w:hAnsi="Calibri"/>
              <w:szCs w:val="20"/>
            </w:rPr>
            <w:t>Box</w:t>
          </w:r>
        </w:smartTag>
        <w:r w:rsidRPr="00213E79">
          <w:rPr>
            <w:rFonts w:ascii="Calibri" w:hAnsi="Calibri"/>
            <w:szCs w:val="20"/>
          </w:rPr>
          <w:t xml:space="preserve"> 1</w:t>
        </w:r>
      </w:smartTag>
      <w:r w:rsidRPr="00213E79">
        <w:rPr>
          <w:rFonts w:ascii="Calibri" w:hAnsi="Calibri"/>
          <w:szCs w:val="20"/>
        </w:rPr>
        <w:t xml:space="preserve"> (in addition to any other outcomes they are pursuing).  </w:t>
      </w:r>
    </w:p>
    <w:tbl>
      <w:tblPr>
        <w:tblW w:w="8290" w:type="dxa"/>
        <w:tblInd w:w="57" w:type="dxa"/>
        <w:tblLayout w:type="fixed"/>
        <w:tblCellMar>
          <w:left w:w="57" w:type="dxa"/>
          <w:right w:w="57" w:type="dxa"/>
        </w:tblCellMar>
        <w:tblLook w:val="0000" w:firstRow="0" w:lastRow="0" w:firstColumn="0" w:lastColumn="0" w:noHBand="0" w:noVBand="0"/>
      </w:tblPr>
      <w:tblGrid>
        <w:gridCol w:w="8290"/>
      </w:tblGrid>
      <w:tr w:rsidR="00006923" w:rsidRPr="00006923" w:rsidTr="0046667A">
        <w:trPr>
          <w:cantSplit/>
          <w:trHeight w:val="454"/>
        </w:trPr>
        <w:tc>
          <w:tcPr>
            <w:tcW w:w="8290" w:type="dxa"/>
            <w:tcBorders>
              <w:bottom w:val="single" w:sz="12" w:space="0" w:color="auto"/>
            </w:tcBorders>
            <w:shd w:val="clear" w:color="auto" w:fill="F5F1CC"/>
            <w:tcMar>
              <w:top w:w="0" w:type="dxa"/>
            </w:tcMar>
          </w:tcPr>
          <w:p w:rsidR="00006923" w:rsidRPr="00874E33" w:rsidRDefault="00006923" w:rsidP="007B23FD">
            <w:pPr>
              <w:pStyle w:val="Caption"/>
              <w:tabs>
                <w:tab w:val="num" w:pos="284"/>
              </w:tabs>
              <w:spacing w:before="80" w:line="280" w:lineRule="atLeast"/>
              <w:ind w:left="284" w:hanging="284"/>
              <w:rPr>
                <w:rFonts w:ascii="Calibri" w:hAnsi="Calibri"/>
                <w:color w:val="3366FF"/>
                <w:sz w:val="20"/>
                <w:szCs w:val="20"/>
              </w:rPr>
            </w:pPr>
            <w:r w:rsidRPr="00874E33">
              <w:rPr>
                <w:rFonts w:ascii="Calibri" w:hAnsi="Calibri"/>
                <w:color w:val="3366FF"/>
                <w:sz w:val="20"/>
                <w:szCs w:val="20"/>
              </w:rPr>
              <w:lastRenderedPageBreak/>
              <w:t>Box 1: Outcomes for Rural Development Programs</w:t>
            </w:r>
          </w:p>
        </w:tc>
      </w:tr>
      <w:tr w:rsidR="00006923" w:rsidRPr="00006923" w:rsidTr="0046667A">
        <w:trPr>
          <w:cantSplit/>
          <w:trHeight w:val="3179"/>
        </w:trPr>
        <w:tc>
          <w:tcPr>
            <w:tcW w:w="8290" w:type="dxa"/>
            <w:tcBorders>
              <w:top w:val="single" w:sz="12" w:space="0" w:color="auto"/>
              <w:bottom w:val="single" w:sz="12" w:space="0" w:color="auto"/>
            </w:tcBorders>
            <w:shd w:val="clear" w:color="auto" w:fill="F5F1CC"/>
          </w:tcPr>
          <w:p w:rsidR="00006923" w:rsidRPr="00006923" w:rsidRDefault="00006923" w:rsidP="007B23FD">
            <w:pPr>
              <w:pStyle w:val="BoxText"/>
              <w:spacing w:after="0"/>
              <w:rPr>
                <w:rFonts w:ascii="Calibri" w:hAnsi="Calibri"/>
                <w:sz w:val="20"/>
                <w:szCs w:val="20"/>
              </w:rPr>
            </w:pPr>
            <w:r w:rsidRPr="00006923">
              <w:rPr>
                <w:rFonts w:ascii="Calibri" w:hAnsi="Calibri"/>
                <w:sz w:val="20"/>
                <w:szCs w:val="20"/>
              </w:rPr>
              <w:t>RD programs focus on achieving the following outcomes which align with the three pillars:</w:t>
            </w:r>
          </w:p>
          <w:p w:rsidR="00006923" w:rsidRPr="00006923" w:rsidRDefault="00006923" w:rsidP="00707D69">
            <w:pPr>
              <w:pStyle w:val="BoxText"/>
              <w:numPr>
                <w:ilvl w:val="0"/>
                <w:numId w:val="26"/>
              </w:numPr>
              <w:spacing w:after="20"/>
              <w:ind w:left="336"/>
              <w:rPr>
                <w:rFonts w:ascii="Calibri" w:hAnsi="Calibri"/>
                <w:sz w:val="20"/>
                <w:szCs w:val="20"/>
              </w:rPr>
            </w:pPr>
            <w:r w:rsidRPr="00006923">
              <w:rPr>
                <w:rFonts w:ascii="Calibri" w:hAnsi="Calibri"/>
                <w:sz w:val="20"/>
                <w:szCs w:val="20"/>
              </w:rPr>
              <w:t>An increase in the rate of productivity growth for food crops, livestock and fisheries, using environmentally sustainable approaches</w:t>
            </w:r>
          </w:p>
          <w:p w:rsidR="00006923" w:rsidRPr="00006923" w:rsidRDefault="00006923" w:rsidP="00707D69">
            <w:pPr>
              <w:pStyle w:val="BoxText"/>
              <w:numPr>
                <w:ilvl w:val="0"/>
                <w:numId w:val="26"/>
              </w:numPr>
              <w:spacing w:before="20" w:after="20"/>
              <w:ind w:left="336"/>
              <w:rPr>
                <w:rFonts w:ascii="Calibri" w:hAnsi="Calibri"/>
                <w:sz w:val="20"/>
                <w:szCs w:val="20"/>
              </w:rPr>
            </w:pPr>
            <w:r w:rsidRPr="00006923">
              <w:rPr>
                <w:rFonts w:ascii="Calibri" w:hAnsi="Calibri"/>
                <w:sz w:val="20"/>
                <w:szCs w:val="20"/>
              </w:rPr>
              <w:t>More efficient and effective international agricultural research;</w:t>
            </w:r>
          </w:p>
          <w:p w:rsidR="00006923" w:rsidRPr="00006923" w:rsidRDefault="00006923" w:rsidP="00707D69">
            <w:pPr>
              <w:pStyle w:val="BoxText"/>
              <w:numPr>
                <w:ilvl w:val="0"/>
                <w:numId w:val="26"/>
              </w:numPr>
              <w:spacing w:before="20" w:after="20"/>
              <w:ind w:left="336"/>
              <w:rPr>
                <w:rFonts w:ascii="Calibri" w:hAnsi="Calibri"/>
                <w:sz w:val="20"/>
                <w:szCs w:val="20"/>
              </w:rPr>
            </w:pPr>
            <w:r w:rsidRPr="00006923">
              <w:rPr>
                <w:rFonts w:ascii="Calibri" w:hAnsi="Calibri"/>
                <w:sz w:val="20"/>
                <w:szCs w:val="20"/>
              </w:rPr>
              <w:t>An increased number of poor men and women accessing financial services;</w:t>
            </w:r>
          </w:p>
          <w:p w:rsidR="00006923" w:rsidRPr="00006923" w:rsidRDefault="00006923" w:rsidP="00707D69">
            <w:pPr>
              <w:pStyle w:val="BoxText"/>
              <w:numPr>
                <w:ilvl w:val="0"/>
                <w:numId w:val="26"/>
              </w:numPr>
              <w:spacing w:before="20" w:after="20"/>
              <w:ind w:left="336"/>
              <w:rPr>
                <w:rFonts w:ascii="Calibri" w:hAnsi="Calibri"/>
                <w:sz w:val="20"/>
                <w:szCs w:val="20"/>
              </w:rPr>
            </w:pPr>
            <w:r w:rsidRPr="00006923">
              <w:rPr>
                <w:rFonts w:ascii="Calibri" w:hAnsi="Calibri"/>
                <w:sz w:val="20"/>
                <w:szCs w:val="20"/>
              </w:rPr>
              <w:t>Increased job opportunities with attractive wage rates for poor rural men and women;</w:t>
            </w:r>
          </w:p>
          <w:p w:rsidR="00006923" w:rsidRPr="00006923" w:rsidRDefault="00006923" w:rsidP="00707D69">
            <w:pPr>
              <w:pStyle w:val="BoxText"/>
              <w:numPr>
                <w:ilvl w:val="0"/>
                <w:numId w:val="26"/>
              </w:numPr>
              <w:spacing w:before="20" w:after="20"/>
              <w:ind w:left="336"/>
              <w:rPr>
                <w:rFonts w:ascii="Calibri" w:hAnsi="Calibri"/>
                <w:sz w:val="20"/>
                <w:szCs w:val="20"/>
              </w:rPr>
            </w:pPr>
            <w:r w:rsidRPr="00006923">
              <w:rPr>
                <w:rFonts w:ascii="Calibri" w:hAnsi="Calibri"/>
                <w:sz w:val="20"/>
                <w:szCs w:val="20"/>
              </w:rPr>
              <w:t>Better returns on goods sold for poor rural men and women;</w:t>
            </w:r>
          </w:p>
          <w:p w:rsidR="00006923" w:rsidRPr="00006923" w:rsidRDefault="00006923" w:rsidP="00707D69">
            <w:pPr>
              <w:pStyle w:val="BoxText"/>
              <w:numPr>
                <w:ilvl w:val="0"/>
                <w:numId w:val="26"/>
              </w:numPr>
              <w:spacing w:before="20" w:after="20"/>
              <w:ind w:left="336"/>
              <w:rPr>
                <w:rFonts w:ascii="Calibri" w:hAnsi="Calibri"/>
                <w:sz w:val="20"/>
                <w:szCs w:val="20"/>
              </w:rPr>
            </w:pPr>
            <w:r w:rsidRPr="00006923">
              <w:rPr>
                <w:rFonts w:ascii="Calibri" w:hAnsi="Calibri"/>
                <w:sz w:val="20"/>
                <w:szCs w:val="20"/>
              </w:rPr>
              <w:t>An increased number of poor men and women accessing resources to buy sufficient and diverse food;</w:t>
            </w:r>
          </w:p>
          <w:p w:rsidR="00006923" w:rsidRPr="00006923" w:rsidRDefault="00006923" w:rsidP="00707D69">
            <w:pPr>
              <w:pStyle w:val="BoxText"/>
              <w:numPr>
                <w:ilvl w:val="0"/>
                <w:numId w:val="26"/>
              </w:numPr>
              <w:spacing w:before="20" w:after="20"/>
              <w:ind w:left="336"/>
              <w:rPr>
                <w:rFonts w:ascii="Calibri" w:hAnsi="Calibri"/>
                <w:sz w:val="20"/>
                <w:szCs w:val="20"/>
              </w:rPr>
            </w:pPr>
            <w:r w:rsidRPr="00006923">
              <w:rPr>
                <w:rFonts w:ascii="Calibri" w:hAnsi="Calibri"/>
                <w:sz w:val="20"/>
                <w:szCs w:val="20"/>
              </w:rPr>
              <w:t xml:space="preserve">Improved targeting of beneficiaries within social protection programs; </w:t>
            </w:r>
          </w:p>
          <w:p w:rsidR="00006923" w:rsidRPr="00006923" w:rsidRDefault="00006923" w:rsidP="00707D69">
            <w:pPr>
              <w:pStyle w:val="BoxText"/>
              <w:numPr>
                <w:ilvl w:val="0"/>
                <w:numId w:val="25"/>
              </w:numPr>
              <w:spacing w:before="20"/>
              <w:ind w:left="336"/>
              <w:rPr>
                <w:rFonts w:ascii="Calibri" w:hAnsi="Calibri"/>
                <w:sz w:val="20"/>
                <w:szCs w:val="20"/>
              </w:rPr>
            </w:pPr>
            <w:r w:rsidRPr="00006923">
              <w:rPr>
                <w:rFonts w:ascii="Calibri" w:hAnsi="Calibri"/>
                <w:sz w:val="20"/>
                <w:szCs w:val="20"/>
              </w:rPr>
              <w:t>Reduction in the use of strategies to cope with food insecurity that entrench poverty.</w:t>
            </w:r>
          </w:p>
        </w:tc>
      </w:tr>
    </w:tbl>
    <w:p w:rsidR="00CE727A" w:rsidRDefault="00CE727A" w:rsidP="00FB3604">
      <w:pPr>
        <w:spacing w:after="120"/>
        <w:rPr>
          <w:rFonts w:ascii="Calibri" w:hAnsi="Calibri"/>
          <w:b/>
          <w:i/>
          <w:szCs w:val="20"/>
        </w:rPr>
      </w:pPr>
    </w:p>
    <w:p w:rsidR="00006923" w:rsidRPr="00614815" w:rsidRDefault="00006923" w:rsidP="007A0A70">
      <w:pPr>
        <w:pStyle w:val="H4A"/>
      </w:pPr>
      <w:r w:rsidRPr="00614815">
        <w:t>Most RD spend aligns closely to the three priority themes</w:t>
      </w:r>
    </w:p>
    <w:p w:rsidR="00006923" w:rsidRPr="00213E79" w:rsidRDefault="00006923" w:rsidP="0029179C">
      <w:pPr>
        <w:spacing w:after="120"/>
        <w:rPr>
          <w:rFonts w:ascii="Calibri" w:hAnsi="Calibri"/>
          <w:szCs w:val="20"/>
        </w:rPr>
      </w:pPr>
      <w:r w:rsidRPr="00213E79">
        <w:rPr>
          <w:rFonts w:ascii="Calibri" w:hAnsi="Calibri"/>
          <w:szCs w:val="20"/>
        </w:rPr>
        <w:t>These three themes and eight outcomes have increasingly guided RD programming and expenditure.  By 2009-10 approximately 68 per cent of total RD expenditure was aligned with the three priority themes</w:t>
      </w:r>
      <w:r w:rsidR="006E5AFD">
        <w:rPr>
          <w:rStyle w:val="FootnoteReference"/>
        </w:rPr>
        <w:footnoteReference w:id="2"/>
      </w:r>
    </w:p>
    <w:p w:rsidR="00006923" w:rsidRPr="00213E79" w:rsidRDefault="00006923" w:rsidP="0029179C">
      <w:pPr>
        <w:spacing w:after="120"/>
        <w:rPr>
          <w:rFonts w:ascii="Calibri" w:hAnsi="Calibri"/>
          <w:szCs w:val="20"/>
        </w:rPr>
      </w:pPr>
      <w:r w:rsidRPr="00213E79">
        <w:rPr>
          <w:rFonts w:ascii="Calibri" w:hAnsi="Calibri"/>
          <w:szCs w:val="20"/>
        </w:rPr>
        <w:t xml:space="preserve">Expenditure on agricultural productivity through research accounts for 20 per cent of total RD expenditure.  Nearly 40 per cent of this is managed by </w:t>
      </w:r>
      <w:r w:rsidR="002A49A1">
        <w:rPr>
          <w:rFonts w:ascii="Calibri" w:hAnsi="Calibri"/>
          <w:szCs w:val="20"/>
        </w:rPr>
        <w:t>the Australian Centre for International Agricultural Research (ACIAR)</w:t>
      </w:r>
      <w:r w:rsidRPr="00213E79">
        <w:rPr>
          <w:rFonts w:ascii="Calibri" w:hAnsi="Calibri"/>
          <w:szCs w:val="20"/>
        </w:rPr>
        <w:t xml:space="preserve">. Major </w:t>
      </w:r>
      <w:proofErr w:type="spellStart"/>
      <w:r w:rsidRPr="00213E79">
        <w:rPr>
          <w:rFonts w:ascii="Calibri" w:hAnsi="Calibri"/>
          <w:szCs w:val="20"/>
        </w:rPr>
        <w:t>AusAID</w:t>
      </w:r>
      <w:proofErr w:type="spellEnd"/>
      <w:r w:rsidRPr="00213E79">
        <w:rPr>
          <w:rFonts w:ascii="Calibri" w:hAnsi="Calibri"/>
          <w:szCs w:val="20"/>
        </w:rPr>
        <w:t>-managed programs include an institutional reform program in PNG, and new partnerships with the West and Central African Agricultural Research Council (CORAF) and Biosciences East and Central Africa</w:t>
      </w:r>
      <w:r w:rsidR="00252979">
        <w:rPr>
          <w:rFonts w:ascii="Calibri" w:hAnsi="Calibri"/>
          <w:szCs w:val="20"/>
        </w:rPr>
        <w:t xml:space="preserve"> (BECA),</w:t>
      </w:r>
      <w:r w:rsidRPr="00213E79">
        <w:rPr>
          <w:rFonts w:ascii="Calibri" w:hAnsi="Calibri"/>
          <w:szCs w:val="20"/>
        </w:rPr>
        <w:t xml:space="preserve"> brokered by CSIRO.  </w:t>
      </w:r>
    </w:p>
    <w:p w:rsidR="00006923" w:rsidRPr="00213E79" w:rsidRDefault="00006923" w:rsidP="0029179C">
      <w:pPr>
        <w:spacing w:after="120"/>
        <w:rPr>
          <w:rFonts w:ascii="Calibri" w:hAnsi="Calibri"/>
          <w:szCs w:val="20"/>
        </w:rPr>
      </w:pPr>
      <w:r w:rsidRPr="00213E79">
        <w:rPr>
          <w:rFonts w:ascii="Calibri" w:hAnsi="Calibri"/>
          <w:szCs w:val="20"/>
        </w:rPr>
        <w:t>Expenditure to increase rural incomes, jobs and access to financial services was the largest category, accounting for 28 per cent of RD spend.  Significant programs</w:t>
      </w:r>
      <w:bookmarkStart w:id="6" w:name="OLE_LINK2"/>
      <w:bookmarkStart w:id="7" w:name="OLE_LINK3"/>
      <w:r w:rsidRPr="00213E79">
        <w:rPr>
          <w:rFonts w:ascii="Calibri" w:hAnsi="Calibri"/>
          <w:szCs w:val="20"/>
        </w:rPr>
        <w:t xml:space="preserve"> include the African Enterprise Challenge Fund Zimbabwe Window, support to the Vietnam Gover</w:t>
      </w:r>
      <w:bookmarkEnd w:id="6"/>
      <w:bookmarkEnd w:id="7"/>
      <w:r w:rsidRPr="00213E79">
        <w:rPr>
          <w:rFonts w:ascii="Calibri" w:hAnsi="Calibri"/>
          <w:szCs w:val="20"/>
        </w:rPr>
        <w:t xml:space="preserve">nment’s Program 135 for ethnic minorities in mountainous regions, Cambodia’s Agricultural Value Chain Program, </w:t>
      </w:r>
      <w:r w:rsidR="00252979">
        <w:rPr>
          <w:rFonts w:ascii="Calibri" w:hAnsi="Calibri"/>
          <w:szCs w:val="20"/>
        </w:rPr>
        <w:t xml:space="preserve">and </w:t>
      </w:r>
      <w:r w:rsidRPr="00213E79">
        <w:rPr>
          <w:rFonts w:ascii="Calibri" w:hAnsi="Calibri"/>
          <w:szCs w:val="20"/>
        </w:rPr>
        <w:t>the Smallholder Agribusiness Development Initiative</w:t>
      </w:r>
      <w:r w:rsidR="00252979">
        <w:rPr>
          <w:rFonts w:ascii="Calibri" w:hAnsi="Calibri"/>
          <w:szCs w:val="20"/>
        </w:rPr>
        <w:t>,</w:t>
      </w:r>
      <w:r w:rsidRPr="00213E79">
        <w:rPr>
          <w:rFonts w:ascii="Calibri" w:hAnsi="Calibri"/>
          <w:szCs w:val="20"/>
        </w:rPr>
        <w:t xml:space="preserve"> along with PNPM’s access to finance initiative in Indonesia, and a series of programs in Solomon Islands.</w:t>
      </w:r>
    </w:p>
    <w:p w:rsidR="00006923" w:rsidRPr="0029226E" w:rsidRDefault="00006923" w:rsidP="0029179C">
      <w:pPr>
        <w:spacing w:after="120"/>
        <w:rPr>
          <w:rFonts w:ascii="Calibri" w:hAnsi="Calibri"/>
          <w:szCs w:val="20"/>
        </w:rPr>
      </w:pPr>
      <w:r w:rsidRPr="0029226E">
        <w:rPr>
          <w:rFonts w:ascii="Calibri" w:hAnsi="Calibri"/>
          <w:szCs w:val="20"/>
        </w:rPr>
        <w:t xml:space="preserve">Investments in social protection account for 20 per cent of RD spend in 2009-10.  Whilst this actually represents a fall from 2008-09 when it was 32 per cent, expenditure in 2008-09 </w:t>
      </w:r>
      <w:r w:rsidR="006D2566">
        <w:rPr>
          <w:rFonts w:ascii="Calibri" w:hAnsi="Calibri"/>
          <w:szCs w:val="20"/>
        </w:rPr>
        <w:t>reflects</w:t>
      </w:r>
      <w:r w:rsidRPr="0029226E">
        <w:rPr>
          <w:rFonts w:ascii="Calibri" w:hAnsi="Calibri"/>
          <w:szCs w:val="20"/>
        </w:rPr>
        <w:t xml:space="preserve"> unusually high contributions to WFP country programs (A$40m) and a number of substantial ‘one-off’ social protection investments at a country level through the World Bank’s Global Food Crisis Response Program.  The most significant programs include support to </w:t>
      </w:r>
      <w:r w:rsidR="006D2566">
        <w:rPr>
          <w:rFonts w:ascii="Calibri" w:hAnsi="Calibri"/>
          <w:szCs w:val="20"/>
        </w:rPr>
        <w:t>a community poverty reduction program (</w:t>
      </w:r>
      <w:r w:rsidRPr="0029226E">
        <w:rPr>
          <w:rFonts w:ascii="Calibri" w:hAnsi="Calibri"/>
          <w:szCs w:val="20"/>
        </w:rPr>
        <w:t>PNPM</w:t>
      </w:r>
      <w:r w:rsidR="006D2566">
        <w:rPr>
          <w:rFonts w:ascii="Calibri" w:hAnsi="Calibri"/>
          <w:szCs w:val="20"/>
        </w:rPr>
        <w:t>)</w:t>
      </w:r>
      <w:r w:rsidRPr="0029226E">
        <w:rPr>
          <w:rFonts w:ascii="Calibri" w:hAnsi="Calibri"/>
          <w:szCs w:val="20"/>
        </w:rPr>
        <w:t xml:space="preserve"> in </w:t>
      </w:r>
      <w:smartTag w:uri="urn:schemas-microsoft-com:office:smarttags" w:element="country-region">
        <w:r w:rsidRPr="0029226E">
          <w:rPr>
            <w:rFonts w:ascii="Calibri" w:hAnsi="Calibri"/>
            <w:szCs w:val="20"/>
          </w:rPr>
          <w:t>Indonesia</w:t>
        </w:r>
      </w:smartTag>
      <w:r w:rsidRPr="0029226E">
        <w:rPr>
          <w:rFonts w:ascii="Calibri" w:hAnsi="Calibri"/>
          <w:szCs w:val="20"/>
        </w:rPr>
        <w:t xml:space="preserve">, BRAC’s social protection program in </w:t>
      </w:r>
      <w:smartTag w:uri="urn:schemas-microsoft-com:office:smarttags" w:element="country-region">
        <w:r w:rsidRPr="0029226E">
          <w:rPr>
            <w:rFonts w:ascii="Calibri" w:hAnsi="Calibri"/>
            <w:szCs w:val="20"/>
          </w:rPr>
          <w:t>Bangladesh</w:t>
        </w:r>
      </w:smartTag>
      <w:r w:rsidRPr="0029226E">
        <w:rPr>
          <w:rFonts w:ascii="Calibri" w:hAnsi="Calibri"/>
          <w:szCs w:val="20"/>
        </w:rPr>
        <w:t xml:space="preserve"> – Challenging the Frontiers of Poverty Reduction, support to the social protection elements of the Vietnam Government’s Program 135 for ethnic minorities in mountainous regions, and the Protracted Relief Program in </w:t>
      </w:r>
      <w:smartTag w:uri="urn:schemas-microsoft-com:office:smarttags" w:element="country-region">
        <w:smartTag w:uri="urn:schemas-microsoft-com:office:smarttags" w:element="place">
          <w:r w:rsidRPr="0029226E">
            <w:rPr>
              <w:rFonts w:ascii="Calibri" w:hAnsi="Calibri"/>
              <w:szCs w:val="20"/>
            </w:rPr>
            <w:t>Zimbabwe</w:t>
          </w:r>
        </w:smartTag>
      </w:smartTag>
      <w:r w:rsidRPr="0029226E">
        <w:rPr>
          <w:rFonts w:ascii="Calibri" w:hAnsi="Calibri"/>
          <w:szCs w:val="20"/>
        </w:rPr>
        <w:t>.</w:t>
      </w:r>
    </w:p>
    <w:p w:rsidR="00006923" w:rsidRPr="0029226E" w:rsidRDefault="00006923" w:rsidP="0029179C">
      <w:pPr>
        <w:spacing w:after="120"/>
        <w:rPr>
          <w:rFonts w:ascii="Calibri" w:hAnsi="Calibri"/>
          <w:szCs w:val="20"/>
        </w:rPr>
      </w:pPr>
      <w:r w:rsidRPr="0029226E">
        <w:rPr>
          <w:rFonts w:ascii="Calibri" w:hAnsi="Calibri"/>
          <w:szCs w:val="20"/>
        </w:rPr>
        <w:t>Of the 32 per cent of RD expenditure that falls outside the three priority themes, 25 per cent (and declining) is on issues such as rural water supply, forestry and livestock, or disease control programs, often managed by other government departments.</w:t>
      </w:r>
    </w:p>
    <w:p w:rsidR="00006923" w:rsidRPr="00006923" w:rsidRDefault="006D2566" w:rsidP="007A0A70">
      <w:pPr>
        <w:pStyle w:val="H4A"/>
      </w:pPr>
      <w:r>
        <w:t>Ge</w:t>
      </w:r>
      <w:r w:rsidR="00006923" w:rsidRPr="00006923">
        <w:t>ographical coverage is expanding, and work in fragile states is increasingly prevalent</w:t>
      </w:r>
    </w:p>
    <w:p w:rsidR="00006923" w:rsidRPr="00006923" w:rsidRDefault="00006923" w:rsidP="0029179C">
      <w:pPr>
        <w:spacing w:after="120"/>
        <w:rPr>
          <w:rFonts w:ascii="Calibri" w:hAnsi="Calibri"/>
          <w:szCs w:val="20"/>
        </w:rPr>
      </w:pPr>
      <w:r w:rsidRPr="00006923">
        <w:rPr>
          <w:rFonts w:ascii="Calibri" w:hAnsi="Calibri"/>
          <w:szCs w:val="20"/>
        </w:rPr>
        <w:t xml:space="preserve">SE Asia and the Pacific are still the major focus, accounting for 33 and 17 per cent of total RD expenditure in 2009-10, but </w:t>
      </w:r>
      <w:smartTag w:uri="urn:schemas-microsoft-com:office:smarttags" w:element="country-region">
        <w:smartTag w:uri="urn:schemas-microsoft-com:office:smarttags" w:element="place">
          <w:r w:rsidR="006D2566">
            <w:rPr>
              <w:rFonts w:ascii="Calibri" w:hAnsi="Calibri"/>
              <w:szCs w:val="20"/>
            </w:rPr>
            <w:t>Australia</w:t>
          </w:r>
        </w:smartTag>
      </w:smartTag>
      <w:r w:rsidR="006D2566">
        <w:rPr>
          <w:rFonts w:ascii="Calibri" w:hAnsi="Calibri"/>
          <w:szCs w:val="20"/>
        </w:rPr>
        <w:t xml:space="preserve">’s </w:t>
      </w:r>
      <w:r w:rsidR="0037638D">
        <w:rPr>
          <w:rFonts w:ascii="Calibri" w:hAnsi="Calibri"/>
          <w:szCs w:val="20"/>
        </w:rPr>
        <w:t xml:space="preserve">geographical </w:t>
      </w:r>
      <w:r w:rsidR="006D2566">
        <w:rPr>
          <w:rFonts w:ascii="Calibri" w:hAnsi="Calibri"/>
          <w:szCs w:val="20"/>
        </w:rPr>
        <w:t>focus</w:t>
      </w:r>
      <w:r w:rsidRPr="00006923">
        <w:rPr>
          <w:rFonts w:ascii="Calibri" w:hAnsi="Calibri"/>
          <w:szCs w:val="20"/>
        </w:rPr>
        <w:t xml:space="preserve"> is expanding.  In 2009-10 Australia </w:t>
      </w:r>
      <w:r w:rsidRPr="00006923">
        <w:rPr>
          <w:rFonts w:ascii="Calibri" w:hAnsi="Calibri"/>
          <w:szCs w:val="20"/>
        </w:rPr>
        <w:lastRenderedPageBreak/>
        <w:t xml:space="preserve">launched a A$100m food security program in Africa; in 2008-09 Africa accounted for 16 per cent of RD expenditure due to Australian funded World Bank Global Food Crisis Response Programming in several African countries.  South Asian countries have accounted for between 6 and 10 per cent of our RD investment since 2008-09.  Rural development is becoming an important focus of Australia’s engagement in new partner countries with Pakistan, Afghanistan and Middle Eastern countries accounting for 8 per cent of RD expenditure. In the last two years over 32 per cent of our RD activity took place in fragile states.  </w:t>
      </w:r>
    </w:p>
    <w:p w:rsidR="00006923" w:rsidRPr="00006923" w:rsidRDefault="006D2566" w:rsidP="007A0A70">
      <w:pPr>
        <w:pStyle w:val="H4A"/>
      </w:pPr>
      <w:r>
        <w:t>I</w:t>
      </w:r>
      <w:r w:rsidR="00006923" w:rsidRPr="00006923">
        <w:t xml:space="preserve">nternational engagement is growing, and </w:t>
      </w:r>
      <w:smartTag w:uri="urn:schemas-microsoft-com:office:smarttags" w:element="country-region">
        <w:smartTag w:uri="urn:schemas-microsoft-com:office:smarttags" w:element="place">
          <w:r>
            <w:t>Australia</w:t>
          </w:r>
        </w:smartTag>
      </w:smartTag>
      <w:r>
        <w:t xml:space="preserve"> has</w:t>
      </w:r>
      <w:r w:rsidR="00006923" w:rsidRPr="00006923">
        <w:t xml:space="preserve"> been influential in some areas</w:t>
      </w:r>
    </w:p>
    <w:p w:rsidR="00006923" w:rsidRPr="0029226E" w:rsidRDefault="006D2566" w:rsidP="0029179C">
      <w:pPr>
        <w:spacing w:after="120"/>
        <w:rPr>
          <w:rFonts w:ascii="Calibri" w:hAnsi="Calibri"/>
          <w:szCs w:val="20"/>
        </w:rPr>
      </w:pPr>
      <w:r>
        <w:rPr>
          <w:rFonts w:ascii="Calibri" w:hAnsi="Calibri"/>
          <w:szCs w:val="20"/>
        </w:rPr>
        <w:t>I</w:t>
      </w:r>
      <w:r w:rsidR="00006923" w:rsidRPr="0029226E">
        <w:rPr>
          <w:rFonts w:ascii="Calibri" w:hAnsi="Calibri"/>
          <w:szCs w:val="20"/>
        </w:rPr>
        <w:t xml:space="preserve">nvestment in global programs continues to grow, up to 24 per cent of RD spend from 20 per cent in 2008-09.  </w:t>
      </w:r>
      <w:r>
        <w:rPr>
          <w:rFonts w:ascii="Calibri" w:hAnsi="Calibri"/>
          <w:szCs w:val="20"/>
        </w:rPr>
        <w:t xml:space="preserve">With these investments </w:t>
      </w:r>
      <w:smartTag w:uri="urn:schemas-microsoft-com:office:smarttags" w:element="country-region">
        <w:smartTag w:uri="urn:schemas-microsoft-com:office:smarttags" w:element="place">
          <w:r w:rsidR="00C94154">
            <w:rPr>
              <w:rFonts w:ascii="Calibri" w:hAnsi="Calibri"/>
              <w:szCs w:val="20"/>
            </w:rPr>
            <w:t>Australia</w:t>
          </w:r>
        </w:smartTag>
      </w:smartTag>
      <w:r w:rsidR="00C94154">
        <w:rPr>
          <w:rFonts w:ascii="Calibri" w:hAnsi="Calibri"/>
          <w:szCs w:val="20"/>
        </w:rPr>
        <w:t xml:space="preserve"> has</w:t>
      </w:r>
      <w:r>
        <w:rPr>
          <w:rFonts w:ascii="Calibri" w:hAnsi="Calibri"/>
          <w:szCs w:val="20"/>
        </w:rPr>
        <w:t xml:space="preserve"> been influential in a number of </w:t>
      </w:r>
      <w:proofErr w:type="spellStart"/>
      <w:r w:rsidR="00006923" w:rsidRPr="0029226E">
        <w:rPr>
          <w:rFonts w:ascii="Calibri" w:hAnsi="Calibri"/>
          <w:szCs w:val="20"/>
        </w:rPr>
        <w:t>fora</w:t>
      </w:r>
      <w:proofErr w:type="spellEnd"/>
      <w:r w:rsidR="00006923" w:rsidRPr="0029226E">
        <w:rPr>
          <w:rFonts w:ascii="Calibri" w:hAnsi="Calibri"/>
          <w:szCs w:val="20"/>
        </w:rPr>
        <w:t xml:space="preserve">.  </w:t>
      </w:r>
    </w:p>
    <w:p w:rsidR="00006923" w:rsidRPr="0029226E" w:rsidRDefault="00006923" w:rsidP="0029179C">
      <w:pPr>
        <w:spacing w:after="120"/>
        <w:rPr>
          <w:rFonts w:ascii="Calibri" w:hAnsi="Calibri"/>
          <w:szCs w:val="20"/>
        </w:rPr>
      </w:pPr>
      <w:smartTag w:uri="urn:schemas-microsoft-com:office:smarttags" w:element="country-region">
        <w:smartTag w:uri="urn:schemas-microsoft-com:office:smarttags" w:element="place">
          <w:r w:rsidRPr="0029226E">
            <w:rPr>
              <w:rFonts w:ascii="Calibri" w:hAnsi="Calibri"/>
              <w:szCs w:val="20"/>
            </w:rPr>
            <w:t>Australia</w:t>
          </w:r>
        </w:smartTag>
      </w:smartTag>
      <w:r w:rsidRPr="0029226E">
        <w:rPr>
          <w:rFonts w:ascii="Calibri" w:hAnsi="Calibri"/>
          <w:szCs w:val="20"/>
        </w:rPr>
        <w:t xml:space="preserve"> was the first contributor to the World Bank’s Global Food Crisis Response Program (GFRP) that allocated over $33m to 7 countries and the Pacific Region to December 2009.  Our participation on the Steering Committee alongside </w:t>
      </w:r>
      <w:smartTag w:uri="urn:schemas-microsoft-com:office:smarttags" w:element="country-region">
        <w:r w:rsidRPr="0029226E">
          <w:rPr>
            <w:rFonts w:ascii="Calibri" w:hAnsi="Calibri"/>
            <w:szCs w:val="20"/>
          </w:rPr>
          <w:t>Korea</w:t>
        </w:r>
      </w:smartTag>
      <w:r w:rsidRPr="0029226E">
        <w:rPr>
          <w:rFonts w:ascii="Calibri" w:hAnsi="Calibri"/>
          <w:szCs w:val="20"/>
        </w:rPr>
        <w:t xml:space="preserve">, </w:t>
      </w:r>
      <w:smartTag w:uri="urn:schemas-microsoft-com:office:smarttags" w:element="country-region">
        <w:r w:rsidRPr="0029226E">
          <w:rPr>
            <w:rFonts w:ascii="Calibri" w:hAnsi="Calibri"/>
            <w:szCs w:val="20"/>
          </w:rPr>
          <w:t>Spain</w:t>
        </w:r>
      </w:smartTag>
      <w:r w:rsidRPr="0029226E">
        <w:rPr>
          <w:rFonts w:ascii="Calibri" w:hAnsi="Calibri"/>
          <w:szCs w:val="20"/>
        </w:rPr>
        <w:t xml:space="preserve"> and </w:t>
      </w:r>
      <w:smartTag w:uri="urn:schemas-microsoft-com:office:smarttags" w:element="country-region">
        <w:smartTag w:uri="urn:schemas-microsoft-com:office:smarttags" w:element="place">
          <w:r w:rsidRPr="0029226E">
            <w:rPr>
              <w:rFonts w:ascii="Calibri" w:hAnsi="Calibri"/>
              <w:szCs w:val="20"/>
            </w:rPr>
            <w:t>Canada</w:t>
          </w:r>
        </w:smartTag>
      </w:smartTag>
      <w:r w:rsidRPr="0029226E">
        <w:rPr>
          <w:rFonts w:ascii="Calibri" w:hAnsi="Calibri"/>
          <w:szCs w:val="20"/>
        </w:rPr>
        <w:t xml:space="preserve"> helped inject considerations about building future resilience and ensuring future food security was sustainable into decisions about emergency response programming.</w:t>
      </w:r>
    </w:p>
    <w:p w:rsidR="00006923" w:rsidRPr="0029226E" w:rsidRDefault="00006923" w:rsidP="0029179C">
      <w:pPr>
        <w:spacing w:after="120"/>
        <w:rPr>
          <w:rFonts w:ascii="Calibri" w:hAnsi="Calibri"/>
          <w:szCs w:val="20"/>
        </w:rPr>
      </w:pPr>
      <w:smartTag w:uri="urn:schemas-microsoft-com:office:smarttags" w:element="country-region">
        <w:smartTag w:uri="urn:schemas-microsoft-com:office:smarttags" w:element="place">
          <w:r w:rsidRPr="0029226E">
            <w:rPr>
              <w:rFonts w:ascii="Calibri" w:hAnsi="Calibri"/>
              <w:szCs w:val="20"/>
            </w:rPr>
            <w:t>Australia</w:t>
          </w:r>
        </w:smartTag>
      </w:smartTag>
      <w:r w:rsidRPr="0029226E">
        <w:rPr>
          <w:rFonts w:ascii="Calibri" w:hAnsi="Calibri"/>
          <w:szCs w:val="20"/>
        </w:rPr>
        <w:t xml:space="preserve"> (through ACIAR) chaired the working group on governance reform</w:t>
      </w:r>
      <w:r w:rsidR="006D2566">
        <w:rPr>
          <w:rFonts w:ascii="Calibri" w:hAnsi="Calibri"/>
          <w:szCs w:val="20"/>
        </w:rPr>
        <w:t xml:space="preserve"> in the Consultative Group for International Agricultural Research (CGIAR)</w:t>
      </w:r>
      <w:r w:rsidRPr="0029226E">
        <w:rPr>
          <w:rFonts w:ascii="Calibri" w:hAnsi="Calibri"/>
          <w:szCs w:val="20"/>
        </w:rPr>
        <w:t xml:space="preserve">.  By </w:t>
      </w:r>
      <w:r w:rsidR="006D2566">
        <w:rPr>
          <w:rFonts w:ascii="Calibri" w:hAnsi="Calibri"/>
          <w:szCs w:val="20"/>
        </w:rPr>
        <w:t xml:space="preserve">being one of a few donors </w:t>
      </w:r>
      <w:r w:rsidRPr="0029226E">
        <w:rPr>
          <w:rFonts w:ascii="Calibri" w:hAnsi="Calibri"/>
          <w:szCs w:val="20"/>
        </w:rPr>
        <w:t xml:space="preserve">committing to double our financial support to a reformed CGIAR, </w:t>
      </w:r>
      <w:smartTag w:uri="urn:schemas-microsoft-com:office:smarttags" w:element="country-region">
        <w:smartTag w:uri="urn:schemas-microsoft-com:office:smarttags" w:element="place">
          <w:r w:rsidR="00C94154">
            <w:rPr>
              <w:rFonts w:ascii="Calibri" w:hAnsi="Calibri"/>
              <w:szCs w:val="20"/>
            </w:rPr>
            <w:t>Australia</w:t>
          </w:r>
        </w:smartTag>
      </w:smartTag>
      <w:r w:rsidR="00C94154">
        <w:rPr>
          <w:rFonts w:ascii="Calibri" w:hAnsi="Calibri"/>
          <w:szCs w:val="20"/>
        </w:rPr>
        <w:t xml:space="preserve"> </w:t>
      </w:r>
      <w:r w:rsidRPr="0029226E">
        <w:rPr>
          <w:rFonts w:ascii="Calibri" w:hAnsi="Calibri"/>
          <w:szCs w:val="20"/>
        </w:rPr>
        <w:t xml:space="preserve">helped add momentum to a difficult process.  A pooled donor funding arrangement has been established in which </w:t>
      </w:r>
      <w:smartTag w:uri="urn:schemas-microsoft-com:office:smarttags" w:element="country-region">
        <w:smartTag w:uri="urn:schemas-microsoft-com:office:smarttags" w:element="place">
          <w:r w:rsidRPr="0029226E">
            <w:rPr>
              <w:rFonts w:ascii="Calibri" w:hAnsi="Calibri"/>
              <w:szCs w:val="20"/>
            </w:rPr>
            <w:t>Australia</w:t>
          </w:r>
        </w:smartTag>
      </w:smartTag>
      <w:r w:rsidRPr="0029226E">
        <w:rPr>
          <w:rFonts w:ascii="Calibri" w:hAnsi="Calibri"/>
          <w:szCs w:val="20"/>
        </w:rPr>
        <w:t xml:space="preserve"> has a voice, and new strategic priorities have been set ensuring a better focus on the key global challenges for this vital international research system. </w:t>
      </w:r>
    </w:p>
    <w:p w:rsidR="00006923" w:rsidRPr="0029226E" w:rsidRDefault="00006923" w:rsidP="0029179C">
      <w:pPr>
        <w:spacing w:after="120"/>
        <w:rPr>
          <w:rFonts w:ascii="Calibri" w:hAnsi="Calibri"/>
          <w:szCs w:val="20"/>
        </w:rPr>
      </w:pPr>
      <w:smartTag w:uri="urn:schemas-microsoft-com:office:smarttags" w:element="country-region">
        <w:smartTag w:uri="urn:schemas-microsoft-com:office:smarttags" w:element="place">
          <w:r w:rsidRPr="0029226E">
            <w:rPr>
              <w:rFonts w:ascii="Calibri" w:hAnsi="Calibri"/>
              <w:szCs w:val="20"/>
            </w:rPr>
            <w:t>Australia</w:t>
          </w:r>
        </w:smartTag>
      </w:smartTag>
      <w:r w:rsidRPr="0029226E">
        <w:rPr>
          <w:rFonts w:ascii="Calibri" w:hAnsi="Calibri"/>
          <w:szCs w:val="20"/>
        </w:rPr>
        <w:t xml:space="preserve"> co-chaired a G20 Sub-Group on financial inclusion that developed global guidance on how to incorporate technological innovation into financial systems.  The same group also began work to modify the global standards for financial systems in ways that will increase poor people’s ability to participate in financial systems.</w:t>
      </w:r>
    </w:p>
    <w:p w:rsidR="00006923" w:rsidRPr="0029226E" w:rsidRDefault="00006923" w:rsidP="0029179C">
      <w:pPr>
        <w:spacing w:after="120"/>
        <w:rPr>
          <w:rFonts w:ascii="Calibri" w:hAnsi="Calibri"/>
          <w:szCs w:val="20"/>
        </w:rPr>
      </w:pPr>
      <w:smartTag w:uri="urn:schemas-microsoft-com:office:smarttags" w:element="place">
        <w:smartTag w:uri="urn:schemas-microsoft-com:office:smarttags" w:element="country-region">
          <w:r w:rsidRPr="0029226E">
            <w:rPr>
              <w:rFonts w:ascii="Calibri" w:hAnsi="Calibri"/>
              <w:szCs w:val="20"/>
            </w:rPr>
            <w:t>Australia</w:t>
          </w:r>
        </w:smartTag>
      </w:smartTag>
      <w:r w:rsidRPr="0029226E">
        <w:rPr>
          <w:rFonts w:ascii="Calibri" w:hAnsi="Calibri"/>
          <w:szCs w:val="20"/>
        </w:rPr>
        <w:t xml:space="preserve"> was a signatory to the US$22 billion L’Aquila Food Security Initiative (AFSI) at</w:t>
      </w:r>
      <w:r w:rsidR="00C94154">
        <w:rPr>
          <w:rFonts w:ascii="Calibri" w:hAnsi="Calibri"/>
          <w:szCs w:val="20"/>
        </w:rPr>
        <w:t xml:space="preserve"> the G8 Summit in July 2009. </w:t>
      </w:r>
      <w:proofErr w:type="spellStart"/>
      <w:r w:rsidR="00C94154">
        <w:rPr>
          <w:rFonts w:ascii="Calibri" w:hAnsi="Calibri"/>
          <w:szCs w:val="20"/>
        </w:rPr>
        <w:t>AusAID</w:t>
      </w:r>
      <w:proofErr w:type="spellEnd"/>
      <w:r w:rsidR="00C94154">
        <w:rPr>
          <w:rFonts w:ascii="Calibri" w:hAnsi="Calibri"/>
          <w:szCs w:val="20"/>
        </w:rPr>
        <w:t xml:space="preserve"> </w:t>
      </w:r>
      <w:r w:rsidRPr="0029226E">
        <w:rPr>
          <w:rFonts w:ascii="Calibri" w:hAnsi="Calibri"/>
          <w:szCs w:val="20"/>
        </w:rPr>
        <w:t xml:space="preserve">participated in discussions around protocols and practices to improve donor coordination, transparency and accountability for the donor commitments.  </w:t>
      </w:r>
      <w:r w:rsidR="006D2566">
        <w:rPr>
          <w:rFonts w:ascii="Calibri" w:hAnsi="Calibri"/>
          <w:szCs w:val="20"/>
        </w:rPr>
        <w:t>Australia</w:t>
      </w:r>
      <w:r w:rsidRPr="0029226E">
        <w:rPr>
          <w:rFonts w:ascii="Calibri" w:hAnsi="Calibri"/>
          <w:szCs w:val="20"/>
        </w:rPr>
        <w:t xml:space="preserve"> helped initiate discussions to consider mirroring the country-led and coordinated approach in Africa (CAADP) in the Asia Pacific Region.  </w:t>
      </w:r>
      <w:smartTag w:uri="urn:schemas-microsoft-com:office:smarttags" w:element="country-region">
        <w:smartTag w:uri="urn:schemas-microsoft-com:office:smarttags" w:element="place">
          <w:r w:rsidRPr="0029226E">
            <w:rPr>
              <w:rFonts w:ascii="Calibri" w:hAnsi="Calibri"/>
              <w:szCs w:val="20"/>
            </w:rPr>
            <w:t>Australia</w:t>
          </w:r>
        </w:smartTag>
      </w:smartTag>
      <w:r w:rsidRPr="0029226E">
        <w:rPr>
          <w:rFonts w:ascii="Calibri" w:hAnsi="Calibri"/>
          <w:szCs w:val="20"/>
        </w:rPr>
        <w:t xml:space="preserve"> also successfully advocated for reform to the UN Committee for World Food Security resulting in a multi-stakeholder approach to food security, greater policy coherence, and a stronger evidence base for action through the establishment of a High Level Panel of Experts.</w:t>
      </w:r>
    </w:p>
    <w:p w:rsidR="00006923" w:rsidRPr="00737095" w:rsidRDefault="006D2566" w:rsidP="007A0A70">
      <w:pPr>
        <w:pStyle w:val="H4A"/>
      </w:pPr>
      <w:proofErr w:type="spellStart"/>
      <w:r>
        <w:t>AusAID</w:t>
      </w:r>
      <w:proofErr w:type="spellEnd"/>
      <w:r>
        <w:t xml:space="preserve"> is</w:t>
      </w:r>
      <w:r w:rsidR="00006923" w:rsidRPr="00737095">
        <w:t xml:space="preserve"> getting better at engaging in policy dialogue</w:t>
      </w:r>
    </w:p>
    <w:p w:rsidR="00006923" w:rsidRPr="00006923" w:rsidRDefault="006D2566" w:rsidP="0029179C">
      <w:pPr>
        <w:spacing w:after="120"/>
        <w:rPr>
          <w:rFonts w:ascii="Calibri" w:hAnsi="Calibri"/>
          <w:szCs w:val="20"/>
        </w:rPr>
      </w:pPr>
      <w:proofErr w:type="spellStart"/>
      <w:r>
        <w:rPr>
          <w:rFonts w:ascii="Calibri" w:hAnsi="Calibri"/>
          <w:szCs w:val="20"/>
        </w:rPr>
        <w:t>AusAID’s</w:t>
      </w:r>
      <w:proofErr w:type="spellEnd"/>
      <w:r w:rsidRPr="00006923">
        <w:rPr>
          <w:rFonts w:ascii="Calibri" w:hAnsi="Calibri"/>
          <w:szCs w:val="20"/>
        </w:rPr>
        <w:t xml:space="preserve"> </w:t>
      </w:r>
      <w:r w:rsidR="00006923" w:rsidRPr="00006923">
        <w:rPr>
          <w:rFonts w:ascii="Calibri" w:hAnsi="Calibri"/>
          <w:szCs w:val="20"/>
        </w:rPr>
        <w:t xml:space="preserve">increased focus and expertise is enabling us to engage more effectively in important policy issues.  In Cambodia </w:t>
      </w:r>
      <w:proofErr w:type="spellStart"/>
      <w:r w:rsidR="00C94154">
        <w:rPr>
          <w:rFonts w:ascii="Calibri" w:hAnsi="Calibri"/>
          <w:szCs w:val="20"/>
        </w:rPr>
        <w:t>AusAID</w:t>
      </w:r>
      <w:proofErr w:type="spellEnd"/>
      <w:r w:rsidR="00C94154">
        <w:rPr>
          <w:rFonts w:ascii="Calibri" w:hAnsi="Calibri"/>
          <w:szCs w:val="20"/>
        </w:rPr>
        <w:t xml:space="preserve"> is </w:t>
      </w:r>
      <w:r w:rsidR="00006923" w:rsidRPr="00006923">
        <w:rPr>
          <w:rFonts w:ascii="Calibri" w:hAnsi="Calibri"/>
          <w:szCs w:val="20"/>
        </w:rPr>
        <w:t xml:space="preserve">providing valued advice on national seed, fertilizer and extension policies particularly around the role the private sector can and is playing.  In </w:t>
      </w:r>
      <w:smartTag w:uri="urn:schemas-microsoft-com:office:smarttags" w:element="country-region">
        <w:smartTag w:uri="urn:schemas-microsoft-com:office:smarttags" w:element="place">
          <w:r w:rsidR="00006923" w:rsidRPr="00006923">
            <w:rPr>
              <w:rFonts w:ascii="Calibri" w:hAnsi="Calibri"/>
              <w:szCs w:val="20"/>
            </w:rPr>
            <w:t>Zimbabwe</w:t>
          </w:r>
        </w:smartTag>
      </w:smartTag>
      <w:r w:rsidR="00006923" w:rsidRPr="00006923">
        <w:rPr>
          <w:rFonts w:ascii="Calibri" w:hAnsi="Calibri"/>
          <w:szCs w:val="20"/>
        </w:rPr>
        <w:t xml:space="preserve">, advocacy from our programs helped move the donor discourse beyond short-term humanitarian crisis management, and show the way towards more sustainable food security in line with progressive elements of the Government of National Unity. In the Philippines </w:t>
      </w:r>
      <w:proofErr w:type="spellStart"/>
      <w:r w:rsidR="00006923" w:rsidRPr="00006923">
        <w:rPr>
          <w:rFonts w:ascii="Calibri" w:hAnsi="Calibri"/>
          <w:szCs w:val="20"/>
        </w:rPr>
        <w:t>AusAID</w:t>
      </w:r>
      <w:proofErr w:type="spellEnd"/>
      <w:r w:rsidR="00006923" w:rsidRPr="00006923">
        <w:rPr>
          <w:rFonts w:ascii="Calibri" w:hAnsi="Calibri"/>
          <w:szCs w:val="20"/>
        </w:rPr>
        <w:t xml:space="preserve"> helped develop improved targeting methodologies and change the national policy to apply these across all national social protection programs.  </w:t>
      </w:r>
      <w:proofErr w:type="spellStart"/>
      <w:r w:rsidR="00006923" w:rsidRPr="00006923">
        <w:rPr>
          <w:rFonts w:ascii="Calibri" w:hAnsi="Calibri"/>
          <w:szCs w:val="20"/>
        </w:rPr>
        <w:t>AusAID</w:t>
      </w:r>
      <w:proofErr w:type="spellEnd"/>
      <w:r w:rsidR="00006923" w:rsidRPr="00006923">
        <w:rPr>
          <w:rFonts w:ascii="Calibri" w:hAnsi="Calibri"/>
          <w:szCs w:val="20"/>
        </w:rPr>
        <w:t xml:space="preserve"> provided strategic policy support to the Cambodian Council of Agriculture and Rural Development that is helping move </w:t>
      </w:r>
      <w:smartTag w:uri="urn:schemas-microsoft-com:office:smarttags" w:element="place">
        <w:smartTag w:uri="urn:schemas-microsoft-com:office:smarttags" w:element="country-region">
          <w:r w:rsidR="00006923" w:rsidRPr="00006923">
            <w:rPr>
              <w:rFonts w:ascii="Calibri" w:hAnsi="Calibri"/>
              <w:szCs w:val="20"/>
            </w:rPr>
            <w:t>Cambodia</w:t>
          </w:r>
        </w:smartTag>
      </w:smartTag>
      <w:r w:rsidR="00006923" w:rsidRPr="00006923">
        <w:rPr>
          <w:rFonts w:ascii="Calibri" w:hAnsi="Calibri"/>
          <w:szCs w:val="20"/>
        </w:rPr>
        <w:t xml:space="preserve"> away from ad hoc responses to food crises towards the development of a coherent, comprehensive and coordinated national social protection strategy.</w:t>
      </w:r>
    </w:p>
    <w:p w:rsidR="00006923" w:rsidRPr="00006923" w:rsidRDefault="006D2566" w:rsidP="007A0A70">
      <w:pPr>
        <w:pStyle w:val="H4A"/>
      </w:pPr>
      <w:proofErr w:type="spellStart"/>
      <w:r>
        <w:t>AusAID’s</w:t>
      </w:r>
      <w:proofErr w:type="spellEnd"/>
      <w:r w:rsidR="00006923" w:rsidRPr="00006923">
        <w:t xml:space="preserve"> internal capabilit</w:t>
      </w:r>
      <w:r>
        <w:t>y continues to grow</w:t>
      </w:r>
    </w:p>
    <w:p w:rsidR="00006923" w:rsidRPr="00006923" w:rsidRDefault="00006923" w:rsidP="0029179C">
      <w:pPr>
        <w:spacing w:after="120"/>
        <w:rPr>
          <w:rFonts w:ascii="Calibri" w:hAnsi="Calibri"/>
          <w:szCs w:val="20"/>
        </w:rPr>
      </w:pPr>
      <w:r w:rsidRPr="00006923">
        <w:rPr>
          <w:rFonts w:ascii="Calibri" w:hAnsi="Calibri"/>
          <w:szCs w:val="20"/>
        </w:rPr>
        <w:t xml:space="preserve">Recognising the RD skills and experience gaps at Post and in </w:t>
      </w:r>
      <w:smartTag w:uri="urn:schemas-microsoft-com:office:smarttags" w:element="City">
        <w:smartTag w:uri="urn:schemas-microsoft-com:office:smarttags" w:element="place">
          <w:r w:rsidRPr="00006923">
            <w:rPr>
              <w:rFonts w:ascii="Calibri" w:hAnsi="Calibri"/>
              <w:szCs w:val="20"/>
            </w:rPr>
            <w:t>Canberra</w:t>
          </w:r>
        </w:smartTag>
      </w:smartTag>
      <w:r w:rsidRPr="00006923">
        <w:rPr>
          <w:rFonts w:ascii="Calibri" w:hAnsi="Calibri"/>
          <w:szCs w:val="20"/>
        </w:rPr>
        <w:t xml:space="preserve">, </w:t>
      </w:r>
      <w:proofErr w:type="spellStart"/>
      <w:r w:rsidR="006D2566">
        <w:rPr>
          <w:rFonts w:ascii="Calibri" w:hAnsi="Calibri"/>
          <w:szCs w:val="20"/>
        </w:rPr>
        <w:t>AusAID</w:t>
      </w:r>
      <w:proofErr w:type="spellEnd"/>
      <w:r w:rsidR="006D2566">
        <w:rPr>
          <w:rFonts w:ascii="Calibri" w:hAnsi="Calibri"/>
          <w:szCs w:val="20"/>
        </w:rPr>
        <w:t xml:space="preserve"> has</w:t>
      </w:r>
      <w:r w:rsidRPr="00006923">
        <w:rPr>
          <w:rFonts w:ascii="Calibri" w:hAnsi="Calibri"/>
          <w:szCs w:val="20"/>
        </w:rPr>
        <w:t xml:space="preserve"> been investing in</w:t>
      </w:r>
      <w:r w:rsidR="006D2566">
        <w:rPr>
          <w:rFonts w:ascii="Calibri" w:hAnsi="Calibri"/>
          <w:szCs w:val="20"/>
        </w:rPr>
        <w:t xml:space="preserve"> the</w:t>
      </w:r>
      <w:r w:rsidRPr="00006923">
        <w:rPr>
          <w:rFonts w:ascii="Calibri" w:hAnsi="Calibri"/>
          <w:szCs w:val="20"/>
        </w:rPr>
        <w:t xml:space="preserve"> capacity to deliver high quality programmes.  30 staff </w:t>
      </w:r>
      <w:r w:rsidR="006D2566">
        <w:rPr>
          <w:rFonts w:ascii="Calibri" w:hAnsi="Calibri"/>
          <w:szCs w:val="20"/>
        </w:rPr>
        <w:t xml:space="preserve">have been trained </w:t>
      </w:r>
      <w:r w:rsidRPr="00006923">
        <w:rPr>
          <w:rFonts w:ascii="Calibri" w:hAnsi="Calibri"/>
          <w:szCs w:val="20"/>
        </w:rPr>
        <w:t xml:space="preserve">in social protection, 27 in financial sector development, and 18 more </w:t>
      </w:r>
      <w:r w:rsidR="006D2566">
        <w:rPr>
          <w:rFonts w:ascii="Calibri" w:hAnsi="Calibri"/>
          <w:szCs w:val="20"/>
        </w:rPr>
        <w:t xml:space="preserve">were introduced </w:t>
      </w:r>
      <w:r w:rsidRPr="00006923">
        <w:rPr>
          <w:rFonts w:ascii="Calibri" w:hAnsi="Calibri"/>
          <w:szCs w:val="20"/>
        </w:rPr>
        <w:t xml:space="preserve">to </w:t>
      </w:r>
      <w:r w:rsidR="006D2566">
        <w:rPr>
          <w:rFonts w:ascii="Calibri" w:hAnsi="Calibri"/>
          <w:szCs w:val="20"/>
        </w:rPr>
        <w:t>market development</w:t>
      </w:r>
      <w:r w:rsidR="006D2566" w:rsidRPr="00006923">
        <w:rPr>
          <w:rFonts w:ascii="Calibri" w:hAnsi="Calibri"/>
          <w:szCs w:val="20"/>
        </w:rPr>
        <w:t xml:space="preserve"> </w:t>
      </w:r>
      <w:r w:rsidRPr="00006923">
        <w:rPr>
          <w:rFonts w:ascii="Calibri" w:hAnsi="Calibri"/>
          <w:szCs w:val="20"/>
        </w:rPr>
        <w:t xml:space="preserve">approaches to promote sustainable and pro-poor rural growth.  </w:t>
      </w:r>
      <w:proofErr w:type="spellStart"/>
      <w:r w:rsidR="00C94154">
        <w:rPr>
          <w:rFonts w:ascii="Calibri" w:hAnsi="Calibri"/>
          <w:szCs w:val="20"/>
        </w:rPr>
        <w:t>AusAID</w:t>
      </w:r>
      <w:proofErr w:type="spellEnd"/>
      <w:r w:rsidR="00C94154">
        <w:rPr>
          <w:rFonts w:ascii="Calibri" w:hAnsi="Calibri"/>
          <w:szCs w:val="20"/>
        </w:rPr>
        <w:t xml:space="preserve"> has</w:t>
      </w:r>
      <w:r w:rsidRPr="00006923">
        <w:rPr>
          <w:rFonts w:ascii="Calibri" w:hAnsi="Calibri"/>
          <w:szCs w:val="20"/>
        </w:rPr>
        <w:t xml:space="preserve"> </w:t>
      </w:r>
      <w:r w:rsidRPr="00006923">
        <w:rPr>
          <w:rFonts w:ascii="Calibri" w:hAnsi="Calibri"/>
          <w:szCs w:val="20"/>
        </w:rPr>
        <w:lastRenderedPageBreak/>
        <w:t xml:space="preserve">enlisted nine expert panellists – at the cutting edge of development practice in market development and social protection – to bolster the thematic group’s capacity. Most importantly, </w:t>
      </w:r>
      <w:proofErr w:type="spellStart"/>
      <w:r w:rsidR="00C94154">
        <w:rPr>
          <w:rFonts w:ascii="Calibri" w:hAnsi="Calibri"/>
          <w:szCs w:val="20"/>
        </w:rPr>
        <w:t>AusAID</w:t>
      </w:r>
      <w:proofErr w:type="spellEnd"/>
      <w:r w:rsidR="00C94154">
        <w:rPr>
          <w:rFonts w:ascii="Calibri" w:hAnsi="Calibri"/>
          <w:szCs w:val="20"/>
        </w:rPr>
        <w:t xml:space="preserve"> is</w:t>
      </w:r>
      <w:r w:rsidRPr="00006923">
        <w:rPr>
          <w:rFonts w:ascii="Calibri" w:hAnsi="Calibri"/>
          <w:szCs w:val="20"/>
        </w:rPr>
        <w:t xml:space="preserve"> gradually building the capacity of staff managing RD programs through mentoring, support and informal seminars and exchanges around challenges and successes.  </w:t>
      </w:r>
    </w:p>
    <w:p w:rsidR="00006923" w:rsidRPr="00737095" w:rsidRDefault="006D2566" w:rsidP="007A0A70">
      <w:pPr>
        <w:pStyle w:val="H4A"/>
      </w:pPr>
      <w:proofErr w:type="spellStart"/>
      <w:r>
        <w:t>AusAID</w:t>
      </w:r>
      <w:proofErr w:type="spellEnd"/>
      <w:r>
        <w:t xml:space="preserve"> is</w:t>
      </w:r>
      <w:r w:rsidR="00006923" w:rsidRPr="00737095">
        <w:t xml:space="preserve"> increasingly well-positioned to scale up RD investments</w:t>
      </w:r>
    </w:p>
    <w:p w:rsidR="00D04DD6" w:rsidRDefault="00D952FC" w:rsidP="0029179C">
      <w:pPr>
        <w:spacing w:after="120"/>
        <w:rPr>
          <w:rFonts w:ascii="Calibri" w:hAnsi="Calibri"/>
          <w:szCs w:val="20"/>
        </w:rPr>
      </w:pPr>
      <w:r>
        <w:rPr>
          <w:rFonts w:ascii="Calibri" w:hAnsi="Calibri"/>
          <w:szCs w:val="20"/>
        </w:rPr>
        <w:t>The</w:t>
      </w:r>
      <w:r w:rsidR="00006923" w:rsidRPr="00614815">
        <w:rPr>
          <w:rFonts w:ascii="Calibri" w:hAnsi="Calibri"/>
          <w:szCs w:val="20"/>
        </w:rPr>
        <w:t xml:space="preserve"> three focal themes provide a robust basis for future scale up in RD and</w:t>
      </w:r>
      <w:r w:rsidR="00006923" w:rsidRPr="00006923">
        <w:rPr>
          <w:rFonts w:ascii="Calibri" w:hAnsi="Calibri"/>
          <w:szCs w:val="20"/>
        </w:rPr>
        <w:t xml:space="preserve"> </w:t>
      </w:r>
      <w:r>
        <w:rPr>
          <w:rFonts w:ascii="Calibri" w:hAnsi="Calibri"/>
          <w:szCs w:val="20"/>
        </w:rPr>
        <w:t>the</w:t>
      </w:r>
      <w:r w:rsidR="006D2566" w:rsidRPr="00614815">
        <w:rPr>
          <w:rFonts w:ascii="Calibri" w:hAnsi="Calibri"/>
          <w:szCs w:val="20"/>
        </w:rPr>
        <w:t xml:space="preserve"> eight outcomes </w:t>
      </w:r>
      <w:r w:rsidR="00006923" w:rsidRPr="00006923">
        <w:rPr>
          <w:rFonts w:ascii="Calibri" w:hAnsi="Calibri"/>
          <w:szCs w:val="20"/>
        </w:rPr>
        <w:t xml:space="preserve">give a clear focus going forward.  </w:t>
      </w:r>
      <w:r>
        <w:rPr>
          <w:rFonts w:ascii="Calibri" w:hAnsi="Calibri"/>
          <w:szCs w:val="20"/>
        </w:rPr>
        <w:t xml:space="preserve">Considerable program development work at </w:t>
      </w:r>
      <w:proofErr w:type="spellStart"/>
      <w:r>
        <w:rPr>
          <w:rFonts w:ascii="Calibri" w:hAnsi="Calibri"/>
          <w:szCs w:val="20"/>
        </w:rPr>
        <w:t>AusAID</w:t>
      </w:r>
      <w:proofErr w:type="spellEnd"/>
      <w:r>
        <w:rPr>
          <w:rFonts w:ascii="Calibri" w:hAnsi="Calibri"/>
          <w:szCs w:val="20"/>
        </w:rPr>
        <w:t xml:space="preserve"> in 2009 helped lay the foundations for scaling up.  At a country level, our initial investments in agricultural research, and nascent market development and social protection programs can all be taken to scale over the coming years.  Our focused engagement in global initiatives, particularly the CGIAR and World Bank food crisis and response programs (GFRP, GAFSP) also positions us well for scaling up.  </w:t>
      </w:r>
    </w:p>
    <w:p w:rsidR="00737095" w:rsidRPr="00213E79" w:rsidRDefault="00737095" w:rsidP="007A0A70">
      <w:pPr>
        <w:pStyle w:val="H3A"/>
      </w:pPr>
      <w:bookmarkStart w:id="8" w:name="_Toc360699275"/>
      <w:bookmarkStart w:id="9" w:name="_Toc360703384"/>
      <w:r w:rsidRPr="00213E79">
        <w:t>Major Achievements</w:t>
      </w:r>
      <w:bookmarkEnd w:id="8"/>
      <w:bookmarkEnd w:id="9"/>
    </w:p>
    <w:p w:rsidR="00006923" w:rsidRPr="00213E79" w:rsidRDefault="00006923" w:rsidP="007A0A70">
      <w:pPr>
        <w:pStyle w:val="H4A"/>
      </w:pPr>
      <w:r w:rsidRPr="00213E79">
        <w:t>Results are being achieved against all eight outcomes</w:t>
      </w:r>
    </w:p>
    <w:p w:rsidR="00006923" w:rsidRDefault="00006923" w:rsidP="0029179C">
      <w:pPr>
        <w:spacing w:after="120"/>
        <w:rPr>
          <w:rFonts w:ascii="Calibri" w:hAnsi="Calibri"/>
          <w:szCs w:val="20"/>
        </w:rPr>
      </w:pPr>
      <w:r w:rsidRPr="00006923">
        <w:rPr>
          <w:rFonts w:ascii="Calibri" w:hAnsi="Calibri"/>
          <w:szCs w:val="20"/>
        </w:rPr>
        <w:t xml:space="preserve">Since 2009 new and existing RD programs </w:t>
      </w:r>
      <w:r w:rsidR="00D952FC">
        <w:rPr>
          <w:rFonts w:ascii="Calibri" w:hAnsi="Calibri"/>
          <w:szCs w:val="20"/>
        </w:rPr>
        <w:t xml:space="preserve">have been encouraged </w:t>
      </w:r>
      <w:r w:rsidRPr="00006923">
        <w:rPr>
          <w:rFonts w:ascii="Calibri" w:hAnsi="Calibri"/>
          <w:szCs w:val="20"/>
        </w:rPr>
        <w:t xml:space="preserve">to invest in and report against one or more of the following eight outcomes.  Table 1 demonstrates that progress is being made across all outcomes.  This data is drawn from programs that have contributed to progress and which are developing credible results measurement processes.  However, outcome reporting is not yet systematic across the whole portfolio; Table 1 is therefore only a partial view of achievement.  Over the coming years </w:t>
      </w:r>
      <w:proofErr w:type="spellStart"/>
      <w:r w:rsidR="00C94154">
        <w:rPr>
          <w:rFonts w:ascii="Calibri" w:hAnsi="Calibri"/>
          <w:szCs w:val="20"/>
        </w:rPr>
        <w:t>AusAID</w:t>
      </w:r>
      <w:proofErr w:type="spellEnd"/>
      <w:r w:rsidR="00C94154">
        <w:rPr>
          <w:rFonts w:ascii="Calibri" w:hAnsi="Calibri"/>
          <w:szCs w:val="20"/>
        </w:rPr>
        <w:t xml:space="preserve"> </w:t>
      </w:r>
      <w:r w:rsidRPr="00006923">
        <w:rPr>
          <w:rFonts w:ascii="Calibri" w:hAnsi="Calibri"/>
          <w:szCs w:val="20"/>
        </w:rPr>
        <w:t>expect</w:t>
      </w:r>
      <w:r w:rsidR="00C94154">
        <w:rPr>
          <w:rFonts w:ascii="Calibri" w:hAnsi="Calibri"/>
          <w:szCs w:val="20"/>
        </w:rPr>
        <w:t>s</w:t>
      </w:r>
      <w:r w:rsidRPr="00006923">
        <w:rPr>
          <w:rFonts w:ascii="Calibri" w:hAnsi="Calibri"/>
          <w:szCs w:val="20"/>
        </w:rPr>
        <w:t xml:space="preserve"> to further embed reporting against the eight outcomes across the portfolio, and </w:t>
      </w:r>
      <w:r w:rsidR="0042252A">
        <w:rPr>
          <w:rFonts w:ascii="Calibri" w:hAnsi="Calibri"/>
          <w:szCs w:val="20"/>
        </w:rPr>
        <w:t>strengthen results measurement processes</w:t>
      </w:r>
      <w:r w:rsidRPr="00006923">
        <w:rPr>
          <w:rFonts w:ascii="Calibri" w:hAnsi="Calibri"/>
          <w:szCs w:val="20"/>
        </w:rPr>
        <w:t xml:space="preserve">.  Table 1 will be updated annually and increasingly capture </w:t>
      </w:r>
      <w:proofErr w:type="spellStart"/>
      <w:r w:rsidRPr="00006923">
        <w:rPr>
          <w:rFonts w:ascii="Calibri" w:hAnsi="Calibri"/>
          <w:szCs w:val="20"/>
        </w:rPr>
        <w:t>AusAID’s</w:t>
      </w:r>
      <w:proofErr w:type="spellEnd"/>
      <w:r w:rsidRPr="00006923">
        <w:rPr>
          <w:rFonts w:ascii="Calibri" w:hAnsi="Calibri"/>
          <w:szCs w:val="20"/>
        </w:rPr>
        <w:t xml:space="preserve"> full contribution to these eight outcomes.</w:t>
      </w:r>
    </w:p>
    <w:p w:rsidR="00006923" w:rsidRPr="00006923" w:rsidRDefault="00006923" w:rsidP="000F60B8">
      <w:pPr>
        <w:spacing w:after="120"/>
        <w:rPr>
          <w:rFonts w:ascii="Calibri" w:hAnsi="Calibri"/>
          <w:b/>
          <w:szCs w:val="20"/>
        </w:rPr>
      </w:pPr>
      <w:r w:rsidRPr="00006923">
        <w:rPr>
          <w:rFonts w:ascii="Calibri" w:hAnsi="Calibri"/>
          <w:b/>
          <w:szCs w:val="20"/>
        </w:rPr>
        <w:t>Table 1. Snapshot of progress against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5578"/>
      </w:tblGrid>
      <w:tr w:rsidR="00006923" w:rsidRPr="00764AC1" w:rsidTr="00FA13E0">
        <w:trPr>
          <w:cantSplit/>
          <w:tblHeader/>
        </w:trPr>
        <w:tc>
          <w:tcPr>
            <w:tcW w:w="2840" w:type="dxa"/>
            <w:shd w:val="clear" w:color="auto" w:fill="B3B3B3"/>
          </w:tcPr>
          <w:p w:rsidR="00006923" w:rsidRPr="00764AC1" w:rsidRDefault="00006923" w:rsidP="007B23FD">
            <w:pPr>
              <w:rPr>
                <w:rFonts w:ascii="Calibri" w:hAnsi="Calibri" w:cs="Arial"/>
                <w:b/>
                <w:sz w:val="16"/>
                <w:szCs w:val="16"/>
                <w:u w:val="single"/>
              </w:rPr>
            </w:pPr>
            <w:r w:rsidRPr="00764AC1">
              <w:rPr>
                <w:rFonts w:ascii="Calibri" w:hAnsi="Calibri" w:cs="Arial"/>
                <w:b/>
                <w:sz w:val="16"/>
                <w:szCs w:val="16"/>
                <w:u w:val="single"/>
              </w:rPr>
              <w:t>OUTCOMES</w:t>
            </w:r>
          </w:p>
        </w:tc>
        <w:tc>
          <w:tcPr>
            <w:tcW w:w="6448" w:type="dxa"/>
            <w:shd w:val="clear" w:color="auto" w:fill="B3B3B3"/>
          </w:tcPr>
          <w:p w:rsidR="00006923" w:rsidRPr="00764AC1" w:rsidRDefault="00006923" w:rsidP="00764AC1">
            <w:pPr>
              <w:jc w:val="center"/>
              <w:rPr>
                <w:rFonts w:ascii="Calibri" w:hAnsi="Calibri" w:cs="Arial"/>
                <w:b/>
                <w:sz w:val="16"/>
                <w:szCs w:val="16"/>
                <w:u w:val="single"/>
              </w:rPr>
            </w:pPr>
            <w:r w:rsidRPr="00764AC1">
              <w:rPr>
                <w:rFonts w:ascii="Calibri" w:hAnsi="Calibri" w:cs="Arial"/>
                <w:b/>
                <w:sz w:val="16"/>
                <w:szCs w:val="16"/>
                <w:u w:val="single"/>
              </w:rPr>
              <w:t>EXAMPLES OF PROGRESS</w:t>
            </w:r>
          </w:p>
        </w:tc>
      </w:tr>
      <w:tr w:rsidR="00006923" w:rsidRPr="00764AC1" w:rsidTr="00FA13E0">
        <w:trPr>
          <w:cantSplit/>
        </w:trPr>
        <w:tc>
          <w:tcPr>
            <w:tcW w:w="2840" w:type="dxa"/>
            <w:shd w:val="clear" w:color="auto" w:fill="auto"/>
          </w:tcPr>
          <w:p w:rsidR="00006923" w:rsidRPr="00764AC1" w:rsidRDefault="00006923" w:rsidP="00764AC1">
            <w:pPr>
              <w:numPr>
                <w:ilvl w:val="0"/>
                <w:numId w:val="18"/>
              </w:numPr>
              <w:spacing w:before="120"/>
              <w:rPr>
                <w:rFonts w:ascii="Calibri" w:hAnsi="Calibri" w:cs="Arial"/>
                <w:sz w:val="16"/>
                <w:szCs w:val="16"/>
              </w:rPr>
            </w:pPr>
            <w:r w:rsidRPr="00764AC1">
              <w:rPr>
                <w:rFonts w:ascii="Calibri" w:hAnsi="Calibri" w:cs="Arial"/>
                <w:sz w:val="16"/>
                <w:szCs w:val="16"/>
              </w:rPr>
              <w:t>An increase in the rate of productivity growth for food crops, livestock and fisheries, using environmentally sustainable approaches</w:t>
            </w:r>
          </w:p>
        </w:tc>
        <w:tc>
          <w:tcPr>
            <w:tcW w:w="6448" w:type="dxa"/>
            <w:shd w:val="clear" w:color="auto" w:fill="auto"/>
          </w:tcPr>
          <w:p w:rsidR="00006923" w:rsidRPr="00764AC1" w:rsidRDefault="00006923" w:rsidP="00764AC1">
            <w:pPr>
              <w:numPr>
                <w:ilvl w:val="0"/>
                <w:numId w:val="19"/>
              </w:numPr>
              <w:spacing w:before="60"/>
              <w:ind w:left="0" w:firstLine="170"/>
              <w:rPr>
                <w:rFonts w:ascii="Calibri" w:hAnsi="Calibri"/>
                <w:sz w:val="16"/>
                <w:szCs w:val="16"/>
              </w:rPr>
            </w:pPr>
            <w:r w:rsidRPr="00764AC1">
              <w:rPr>
                <w:rFonts w:ascii="Calibri" w:hAnsi="Calibri"/>
                <w:sz w:val="16"/>
                <w:szCs w:val="16"/>
              </w:rPr>
              <w:t xml:space="preserve">Australian support in </w:t>
            </w:r>
            <w:smartTag w:uri="urn:schemas-microsoft-com:office:smarttags" w:element="place">
              <w:r w:rsidRPr="00764AC1">
                <w:rPr>
                  <w:rFonts w:ascii="Calibri" w:hAnsi="Calibri"/>
                  <w:sz w:val="16"/>
                  <w:szCs w:val="16"/>
                </w:rPr>
                <w:t>East Timor</w:t>
              </w:r>
            </w:smartTag>
            <w:r w:rsidRPr="00764AC1">
              <w:rPr>
                <w:rFonts w:ascii="Calibri" w:hAnsi="Calibri"/>
                <w:sz w:val="16"/>
                <w:szCs w:val="16"/>
              </w:rPr>
              <w:t xml:space="preserve"> has provided 12,000 farming families with access to improved varieties of maize, rice, sweet potato, cassava and peanuts that are yielding 23 to 80% higher than existing varieties</w:t>
            </w:r>
          </w:p>
          <w:p w:rsidR="00006923" w:rsidRPr="00764AC1" w:rsidRDefault="00006923" w:rsidP="00764AC1">
            <w:pPr>
              <w:numPr>
                <w:ilvl w:val="0"/>
                <w:numId w:val="19"/>
              </w:numPr>
              <w:spacing w:before="60"/>
              <w:ind w:left="0" w:firstLine="170"/>
              <w:rPr>
                <w:rFonts w:ascii="Calibri" w:hAnsi="Calibri" w:cs="Arial"/>
                <w:sz w:val="16"/>
                <w:szCs w:val="16"/>
                <w:u w:val="single"/>
              </w:rPr>
            </w:pPr>
            <w:r w:rsidRPr="00764AC1">
              <w:rPr>
                <w:rFonts w:ascii="Calibri" w:hAnsi="Calibri"/>
                <w:sz w:val="16"/>
                <w:szCs w:val="16"/>
              </w:rPr>
              <w:t xml:space="preserve">Australian support to </w:t>
            </w:r>
            <w:smartTag w:uri="urn:schemas-microsoft-com:office:smarttags" w:element="country-region">
              <w:smartTag w:uri="urn:schemas-microsoft-com:office:smarttags" w:element="place">
                <w:r w:rsidRPr="00764AC1">
                  <w:rPr>
                    <w:rFonts w:ascii="Calibri" w:hAnsi="Calibri"/>
                    <w:sz w:val="16"/>
                    <w:szCs w:val="16"/>
                  </w:rPr>
                  <w:t>Afghanistan</w:t>
                </w:r>
              </w:smartTag>
            </w:smartTag>
            <w:r w:rsidRPr="00764AC1">
              <w:rPr>
                <w:rFonts w:ascii="Calibri" w:hAnsi="Calibri"/>
                <w:sz w:val="16"/>
                <w:szCs w:val="16"/>
              </w:rPr>
              <w:t xml:space="preserve"> has helped identify and promote improved varieties of wheat and maize; yields have increased by more than 50% and are expected to increase total production by more than $100 million</w:t>
            </w:r>
          </w:p>
        </w:tc>
      </w:tr>
      <w:tr w:rsidR="00006923" w:rsidRPr="00764AC1" w:rsidTr="00FA13E0">
        <w:trPr>
          <w:cantSplit/>
        </w:trPr>
        <w:tc>
          <w:tcPr>
            <w:tcW w:w="2840" w:type="dxa"/>
            <w:shd w:val="clear" w:color="auto" w:fill="auto"/>
          </w:tcPr>
          <w:p w:rsidR="00006923" w:rsidRPr="00764AC1" w:rsidRDefault="00006923" w:rsidP="00764AC1">
            <w:pPr>
              <w:numPr>
                <w:ilvl w:val="0"/>
                <w:numId w:val="18"/>
              </w:numPr>
              <w:spacing w:before="120"/>
              <w:rPr>
                <w:rFonts w:ascii="Calibri" w:hAnsi="Calibri" w:cs="Arial"/>
                <w:sz w:val="16"/>
                <w:szCs w:val="16"/>
              </w:rPr>
            </w:pPr>
            <w:r w:rsidRPr="00764AC1">
              <w:rPr>
                <w:rFonts w:ascii="Calibri" w:hAnsi="Calibri" w:cs="Arial"/>
                <w:sz w:val="16"/>
                <w:szCs w:val="16"/>
              </w:rPr>
              <w:t>More efficient and effective international agricultural research through the Consultative Group on International Agricultural Research (CGIAR) system</w:t>
            </w:r>
            <w:r w:rsidRPr="00764AC1">
              <w:rPr>
                <w:rStyle w:val="FootnoteReference"/>
                <w:rFonts w:ascii="Calibri" w:hAnsi="Calibri" w:cs="Arial"/>
                <w:sz w:val="16"/>
                <w:szCs w:val="16"/>
              </w:rPr>
              <w:footnoteReference w:id="3"/>
            </w:r>
          </w:p>
        </w:tc>
        <w:tc>
          <w:tcPr>
            <w:tcW w:w="6448" w:type="dxa"/>
            <w:shd w:val="clear" w:color="auto" w:fill="auto"/>
          </w:tcPr>
          <w:p w:rsidR="00006923" w:rsidRPr="00764AC1" w:rsidRDefault="00006923" w:rsidP="00764AC1">
            <w:pPr>
              <w:numPr>
                <w:ilvl w:val="0"/>
                <w:numId w:val="21"/>
              </w:numPr>
              <w:spacing w:before="60"/>
              <w:ind w:left="0" w:firstLine="170"/>
              <w:rPr>
                <w:rFonts w:ascii="Calibri" w:hAnsi="Calibri"/>
                <w:sz w:val="16"/>
                <w:szCs w:val="16"/>
              </w:rPr>
            </w:pPr>
            <w:r w:rsidRPr="00764AC1">
              <w:rPr>
                <w:rFonts w:ascii="Calibri" w:hAnsi="Calibri"/>
                <w:sz w:val="16"/>
                <w:szCs w:val="16"/>
              </w:rPr>
              <w:t>Benefits from past investments in CGIAR research activities have exceeded research costs by a large margin. Estimated CGIAR benefits ranged from nearly $14 billion to over $120 billion in net present value. Even by the most conservative criterion, overall benefits attributable to CGIAR research were roughly double the costs of total investment in the CGIAR system.</w:t>
            </w:r>
            <w:r w:rsidRPr="00764AC1">
              <w:rPr>
                <w:rStyle w:val="FootnoteReference"/>
                <w:rFonts w:ascii="Calibri" w:hAnsi="Calibri"/>
                <w:sz w:val="16"/>
                <w:szCs w:val="16"/>
              </w:rPr>
              <w:footnoteReference w:id="4"/>
            </w:r>
          </w:p>
          <w:p w:rsidR="00006923" w:rsidRPr="00764AC1" w:rsidRDefault="00006923" w:rsidP="00764AC1">
            <w:pPr>
              <w:numPr>
                <w:ilvl w:val="0"/>
                <w:numId w:val="21"/>
              </w:numPr>
              <w:spacing w:before="60"/>
              <w:ind w:left="0" w:firstLine="170"/>
              <w:rPr>
                <w:rFonts w:ascii="Calibri" w:hAnsi="Calibri"/>
                <w:sz w:val="16"/>
                <w:szCs w:val="16"/>
              </w:rPr>
            </w:pPr>
            <w:r w:rsidRPr="00764AC1">
              <w:rPr>
                <w:rFonts w:ascii="Calibri" w:hAnsi="Calibri"/>
                <w:sz w:val="16"/>
                <w:szCs w:val="16"/>
              </w:rPr>
              <w:t xml:space="preserve">Recent estimates of returns to investment in the newly reformed CGIAR indicate that if CGIAR annual funding increased from $500m in 2009 to about $1600m in 2025, total agricultural factor productivity in all regions would increase by 0.5 per cent.  This translates into an estimated reduction in the numbers of poor globally by 318m.  If even higher efficiency gains in agricultural R&amp;D were achieved, an additional 83m poor people could be lifted out of poverty. </w:t>
            </w:r>
          </w:p>
        </w:tc>
      </w:tr>
      <w:tr w:rsidR="00006923" w:rsidRPr="00764AC1" w:rsidTr="00FA13E0">
        <w:trPr>
          <w:cantSplit/>
        </w:trPr>
        <w:tc>
          <w:tcPr>
            <w:tcW w:w="2840" w:type="dxa"/>
            <w:shd w:val="clear" w:color="auto" w:fill="auto"/>
          </w:tcPr>
          <w:p w:rsidR="00006923" w:rsidRPr="00764AC1" w:rsidRDefault="00006923" w:rsidP="00764AC1">
            <w:pPr>
              <w:numPr>
                <w:ilvl w:val="0"/>
                <w:numId w:val="18"/>
              </w:numPr>
              <w:spacing w:before="120"/>
              <w:rPr>
                <w:rFonts w:ascii="Calibri" w:hAnsi="Calibri" w:cs="Arial"/>
                <w:sz w:val="16"/>
                <w:szCs w:val="16"/>
              </w:rPr>
            </w:pPr>
            <w:r w:rsidRPr="00764AC1">
              <w:rPr>
                <w:rFonts w:ascii="Calibri" w:hAnsi="Calibri" w:cs="Arial"/>
                <w:sz w:val="16"/>
                <w:szCs w:val="16"/>
              </w:rPr>
              <w:lastRenderedPageBreak/>
              <w:t>An increased number of poor men and women accessing financial services (including credit, savings and insurance schemes)</w:t>
            </w:r>
          </w:p>
        </w:tc>
        <w:tc>
          <w:tcPr>
            <w:tcW w:w="6448" w:type="dxa"/>
            <w:shd w:val="clear" w:color="auto" w:fill="auto"/>
          </w:tcPr>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Australian support in the Pacific enabled the launch of ‘mobile money’ in </w:t>
            </w:r>
            <w:smartTag w:uri="urn:schemas-microsoft-com:office:smarttags" w:element="country-region">
              <w:smartTag w:uri="urn:schemas-microsoft-com:office:smarttags" w:element="place">
                <w:r w:rsidRPr="00764AC1">
                  <w:rPr>
                    <w:rFonts w:ascii="Calibri" w:hAnsi="Calibri"/>
                    <w:sz w:val="16"/>
                    <w:szCs w:val="16"/>
                  </w:rPr>
                  <w:t>Fiji</w:t>
                </w:r>
              </w:smartTag>
            </w:smartTag>
            <w:r w:rsidRPr="00764AC1">
              <w:rPr>
                <w:rFonts w:ascii="Calibri" w:hAnsi="Calibri"/>
                <w:sz w:val="16"/>
                <w:szCs w:val="16"/>
              </w:rPr>
              <w:t xml:space="preserve"> that enrolled 128,000 users by the end of July 2010, 24,600 of which reported being previously ‘unbanked’.</w:t>
            </w:r>
          </w:p>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In </w:t>
            </w:r>
            <w:smartTag w:uri="urn:schemas-microsoft-com:office:smarttags" w:element="place">
              <w:r w:rsidRPr="00764AC1">
                <w:rPr>
                  <w:rFonts w:ascii="Calibri" w:hAnsi="Calibri"/>
                  <w:sz w:val="16"/>
                  <w:szCs w:val="16"/>
                </w:rPr>
                <w:t>East Timor</w:t>
              </w:r>
            </w:smartTag>
            <w:r w:rsidRPr="00764AC1">
              <w:rPr>
                <w:rFonts w:ascii="Calibri" w:hAnsi="Calibri"/>
                <w:sz w:val="16"/>
                <w:szCs w:val="16"/>
              </w:rPr>
              <w:t>, Australian support has increased the number of clients with access to microfinance services by 7,000.</w:t>
            </w:r>
          </w:p>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Australian support to the Microfinance and Employment Project in PNG helped Nationwide </w:t>
            </w:r>
            <w:proofErr w:type="spellStart"/>
            <w:r w:rsidRPr="00764AC1">
              <w:rPr>
                <w:rFonts w:ascii="Calibri" w:hAnsi="Calibri"/>
                <w:sz w:val="16"/>
                <w:szCs w:val="16"/>
              </w:rPr>
              <w:t>Microbank</w:t>
            </w:r>
            <w:proofErr w:type="spellEnd"/>
            <w:r w:rsidRPr="00764AC1">
              <w:rPr>
                <w:rFonts w:ascii="Calibri" w:hAnsi="Calibri"/>
                <w:sz w:val="16"/>
                <w:szCs w:val="16"/>
              </w:rPr>
              <w:t xml:space="preserve"> (PNG) increase its number of savers from 71,000 in June 2009 to 101,000 in June 2010.</w:t>
            </w:r>
          </w:p>
        </w:tc>
      </w:tr>
      <w:tr w:rsidR="00006923" w:rsidRPr="00764AC1" w:rsidTr="00FA13E0">
        <w:trPr>
          <w:cantSplit/>
        </w:trPr>
        <w:tc>
          <w:tcPr>
            <w:tcW w:w="2840" w:type="dxa"/>
            <w:shd w:val="clear" w:color="auto" w:fill="auto"/>
          </w:tcPr>
          <w:p w:rsidR="00006923" w:rsidRPr="00764AC1" w:rsidRDefault="00006923" w:rsidP="00764AC1">
            <w:pPr>
              <w:numPr>
                <w:ilvl w:val="0"/>
                <w:numId w:val="18"/>
              </w:numPr>
              <w:spacing w:before="120"/>
              <w:rPr>
                <w:rFonts w:ascii="Calibri" w:hAnsi="Calibri" w:cs="Arial"/>
                <w:sz w:val="16"/>
                <w:szCs w:val="16"/>
              </w:rPr>
            </w:pPr>
            <w:r w:rsidRPr="00764AC1">
              <w:rPr>
                <w:rFonts w:ascii="Calibri" w:hAnsi="Calibri" w:cs="Arial"/>
                <w:sz w:val="16"/>
                <w:szCs w:val="16"/>
              </w:rPr>
              <w:t xml:space="preserve">Increased job opportunities with attractive wage rates for poor rural men and women </w:t>
            </w:r>
          </w:p>
        </w:tc>
        <w:tc>
          <w:tcPr>
            <w:tcW w:w="6448" w:type="dxa"/>
            <w:shd w:val="clear" w:color="auto" w:fill="auto"/>
          </w:tcPr>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Australian support to a </w:t>
            </w:r>
            <w:smartTag w:uri="urn:schemas-microsoft-com:office:smarttags" w:element="country-region">
              <w:smartTag w:uri="urn:schemas-microsoft-com:office:smarttags" w:element="place">
                <w:r w:rsidRPr="00764AC1">
                  <w:rPr>
                    <w:rFonts w:ascii="Calibri" w:hAnsi="Calibri"/>
                    <w:sz w:val="16"/>
                    <w:szCs w:val="16"/>
                  </w:rPr>
                  <w:t>Solomon Islands</w:t>
                </w:r>
              </w:smartTag>
            </w:smartTag>
            <w:r w:rsidRPr="00764AC1">
              <w:rPr>
                <w:rFonts w:ascii="Calibri" w:hAnsi="Calibri"/>
                <w:sz w:val="16"/>
                <w:szCs w:val="16"/>
              </w:rPr>
              <w:t xml:space="preserve"> fish export company through the Enterprise Challenge Fund has helped create sustainable jobs for around 60 poor households, which is expected to expand to 200 in 2011.</w:t>
            </w:r>
          </w:p>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Support to a company producing bio-fuel from copra supplied from all over </w:t>
            </w:r>
            <w:smartTag w:uri="urn:schemas-microsoft-com:office:smarttags" w:element="country-region">
              <w:smartTag w:uri="urn:schemas-microsoft-com:office:smarttags" w:element="place">
                <w:r w:rsidRPr="00764AC1">
                  <w:rPr>
                    <w:rFonts w:ascii="Calibri" w:hAnsi="Calibri"/>
                    <w:sz w:val="16"/>
                    <w:szCs w:val="16"/>
                  </w:rPr>
                  <w:t>Solomon Islands</w:t>
                </w:r>
              </w:smartTag>
            </w:smartTag>
            <w:r w:rsidRPr="00764AC1">
              <w:rPr>
                <w:rFonts w:ascii="Calibri" w:hAnsi="Calibri"/>
                <w:sz w:val="16"/>
                <w:szCs w:val="16"/>
              </w:rPr>
              <w:t>, and then processing it into high quality biodiesel is creating sustainable employment for 450 families.</w:t>
            </w:r>
          </w:p>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An </w:t>
            </w:r>
            <w:smartTag w:uri="urn:schemas-microsoft-com:office:smarttags" w:element="place">
              <w:r w:rsidRPr="00764AC1">
                <w:rPr>
                  <w:rFonts w:ascii="Calibri" w:hAnsi="Calibri"/>
                  <w:sz w:val="16"/>
                  <w:szCs w:val="16"/>
                </w:rPr>
                <w:t>East Timor</w:t>
              </w:r>
            </w:smartTag>
            <w:r w:rsidRPr="00764AC1">
              <w:rPr>
                <w:rFonts w:ascii="Calibri" w:hAnsi="Calibri"/>
                <w:sz w:val="16"/>
                <w:szCs w:val="16"/>
              </w:rPr>
              <w:t xml:space="preserve"> cash for work scheme provided 35,000 women and men with temporary employment and training.</w:t>
            </w:r>
          </w:p>
        </w:tc>
      </w:tr>
      <w:tr w:rsidR="00006923" w:rsidRPr="00764AC1" w:rsidTr="00FA13E0">
        <w:trPr>
          <w:cantSplit/>
        </w:trPr>
        <w:tc>
          <w:tcPr>
            <w:tcW w:w="2840" w:type="dxa"/>
            <w:shd w:val="clear" w:color="auto" w:fill="auto"/>
          </w:tcPr>
          <w:p w:rsidR="00006923" w:rsidRPr="00764AC1" w:rsidRDefault="00006923" w:rsidP="00764AC1">
            <w:pPr>
              <w:numPr>
                <w:ilvl w:val="0"/>
                <w:numId w:val="18"/>
              </w:numPr>
              <w:spacing w:before="120"/>
              <w:rPr>
                <w:rFonts w:ascii="Calibri" w:hAnsi="Calibri" w:cs="Arial"/>
                <w:sz w:val="16"/>
                <w:szCs w:val="16"/>
              </w:rPr>
            </w:pPr>
            <w:r w:rsidRPr="00764AC1">
              <w:rPr>
                <w:rFonts w:ascii="Calibri" w:hAnsi="Calibri" w:cs="Arial"/>
                <w:sz w:val="16"/>
                <w:szCs w:val="16"/>
              </w:rPr>
              <w:t>Better returns on goods sold for poor rural men and women</w:t>
            </w:r>
          </w:p>
        </w:tc>
        <w:tc>
          <w:tcPr>
            <w:tcW w:w="6448" w:type="dxa"/>
            <w:shd w:val="clear" w:color="auto" w:fill="auto"/>
          </w:tcPr>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In Solomon Islands Australian support enabled 1350 smallholders to be trained in cocoa management that has doubled yields and increased incomes.  Similarly, 300 farm households were able to increase peanut yields by 400% and increase incomes by up to S$1,840 per hectare.</w:t>
            </w:r>
          </w:p>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Through partnerships with lead firms Australian support</w:t>
            </w:r>
            <w:r w:rsidR="00745B64" w:rsidRPr="00764AC1">
              <w:rPr>
                <w:rFonts w:ascii="Calibri" w:hAnsi="Calibri"/>
                <w:sz w:val="16"/>
                <w:szCs w:val="16"/>
              </w:rPr>
              <w:t xml:space="preserve"> helped</w:t>
            </w:r>
            <w:r w:rsidRPr="00764AC1">
              <w:rPr>
                <w:rFonts w:ascii="Calibri" w:hAnsi="Calibri"/>
                <w:sz w:val="16"/>
                <w:szCs w:val="16"/>
              </w:rPr>
              <w:t xml:space="preserve"> more than 7500 Indonesian farmers have increased peanut productivity – through new varieties, better management, and staggered plantings – to reduce costs and increase incomes by 20%.</w:t>
            </w:r>
          </w:p>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Australian partnerships with vanilla and coffee firms in </w:t>
            </w:r>
            <w:smartTag w:uri="urn:schemas-microsoft-com:office:smarttags" w:element="country-region">
              <w:smartTag w:uri="urn:schemas-microsoft-com:office:smarttags" w:element="place">
                <w:r w:rsidRPr="00764AC1">
                  <w:rPr>
                    <w:rFonts w:ascii="Calibri" w:hAnsi="Calibri"/>
                    <w:sz w:val="16"/>
                    <w:szCs w:val="16"/>
                  </w:rPr>
                  <w:t>Solomon Islands</w:t>
                </w:r>
              </w:smartTag>
            </w:smartTag>
            <w:r w:rsidRPr="00764AC1">
              <w:rPr>
                <w:rFonts w:ascii="Calibri" w:hAnsi="Calibri"/>
                <w:sz w:val="16"/>
                <w:szCs w:val="16"/>
              </w:rPr>
              <w:t xml:space="preserve"> resulted in sales of locally produced vanilla to expand from zero to 80 litres.</w:t>
            </w:r>
          </w:p>
        </w:tc>
      </w:tr>
      <w:tr w:rsidR="00006923" w:rsidRPr="00764AC1" w:rsidTr="00FA13E0">
        <w:trPr>
          <w:cantSplit/>
        </w:trPr>
        <w:tc>
          <w:tcPr>
            <w:tcW w:w="2840" w:type="dxa"/>
            <w:shd w:val="clear" w:color="auto" w:fill="auto"/>
          </w:tcPr>
          <w:p w:rsidR="00006923" w:rsidRPr="00764AC1" w:rsidRDefault="00006923" w:rsidP="00764AC1">
            <w:pPr>
              <w:numPr>
                <w:ilvl w:val="0"/>
                <w:numId w:val="18"/>
              </w:numPr>
              <w:spacing w:before="120"/>
              <w:rPr>
                <w:rFonts w:ascii="Calibri" w:hAnsi="Calibri" w:cs="Arial"/>
                <w:sz w:val="16"/>
                <w:szCs w:val="16"/>
              </w:rPr>
            </w:pPr>
            <w:r w:rsidRPr="00764AC1">
              <w:rPr>
                <w:rFonts w:ascii="Calibri" w:hAnsi="Calibri" w:cs="Arial"/>
                <w:sz w:val="16"/>
                <w:szCs w:val="16"/>
              </w:rPr>
              <w:t>An increased number of poor men and women accessing resources to buy sufficient and diverse food</w:t>
            </w:r>
          </w:p>
        </w:tc>
        <w:tc>
          <w:tcPr>
            <w:tcW w:w="6448" w:type="dxa"/>
            <w:shd w:val="clear" w:color="auto" w:fill="auto"/>
          </w:tcPr>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Australian support to the </w:t>
            </w:r>
            <w:smartTag w:uri="urn:schemas-microsoft-com:office:smarttags" w:element="country-region">
              <w:smartTag w:uri="urn:schemas-microsoft-com:office:smarttags" w:element="place">
                <w:r w:rsidRPr="00764AC1">
                  <w:rPr>
                    <w:rFonts w:ascii="Calibri" w:hAnsi="Calibri"/>
                    <w:sz w:val="16"/>
                    <w:szCs w:val="16"/>
                  </w:rPr>
                  <w:t>Philippines</w:t>
                </w:r>
              </w:smartTag>
            </w:smartTag>
            <w:r w:rsidRPr="00764AC1">
              <w:rPr>
                <w:rFonts w:ascii="Calibri" w:hAnsi="Calibri"/>
                <w:sz w:val="16"/>
                <w:szCs w:val="16"/>
              </w:rPr>
              <w:t xml:space="preserve"> 4Ps conditional cash transfer program has improved targeting and encouraged the expansion of the program from 6,000 households in 2008 to 1 million households in 2010. By 2011 the </w:t>
            </w:r>
            <w:smartTag w:uri="urn:schemas-microsoft-com:office:smarttags" w:element="country-region">
              <w:smartTag w:uri="urn:schemas-microsoft-com:office:smarttags" w:element="place">
                <w:r w:rsidRPr="00764AC1">
                  <w:rPr>
                    <w:rFonts w:ascii="Calibri" w:hAnsi="Calibri"/>
                    <w:sz w:val="16"/>
                    <w:szCs w:val="16"/>
                  </w:rPr>
                  <w:t>Philippines</w:t>
                </w:r>
              </w:smartTag>
            </w:smartTag>
            <w:r w:rsidRPr="00764AC1">
              <w:rPr>
                <w:rFonts w:ascii="Calibri" w:hAnsi="Calibri"/>
                <w:sz w:val="16"/>
                <w:szCs w:val="16"/>
              </w:rPr>
              <w:t xml:space="preserve"> government plans to reach 2.3 million households</w:t>
            </w:r>
          </w:p>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A two year pilot of the PNPM </w:t>
            </w:r>
            <w:proofErr w:type="spellStart"/>
            <w:r w:rsidRPr="00764AC1">
              <w:rPr>
                <w:rFonts w:ascii="Calibri" w:hAnsi="Calibri"/>
                <w:sz w:val="16"/>
                <w:szCs w:val="16"/>
              </w:rPr>
              <w:t>Generasi</w:t>
            </w:r>
            <w:proofErr w:type="spellEnd"/>
            <w:r w:rsidRPr="00764AC1">
              <w:rPr>
                <w:rFonts w:ascii="Calibri" w:hAnsi="Calibri"/>
                <w:sz w:val="16"/>
                <w:szCs w:val="16"/>
              </w:rPr>
              <w:t xml:space="preserve"> program in </w:t>
            </w:r>
            <w:smartTag w:uri="urn:schemas-microsoft-com:office:smarttags" w:element="country-region">
              <w:smartTag w:uri="urn:schemas-microsoft-com:office:smarttags" w:element="place">
                <w:r w:rsidRPr="00764AC1">
                  <w:rPr>
                    <w:rFonts w:ascii="Calibri" w:hAnsi="Calibri"/>
                    <w:sz w:val="16"/>
                    <w:szCs w:val="16"/>
                  </w:rPr>
                  <w:t>Indonesia</w:t>
                </w:r>
              </w:smartTag>
            </w:smartTag>
            <w:r w:rsidRPr="00764AC1">
              <w:rPr>
                <w:rFonts w:ascii="Calibri" w:hAnsi="Calibri"/>
                <w:sz w:val="16"/>
                <w:szCs w:val="16"/>
              </w:rPr>
              <w:t xml:space="preserve"> decreased child malnutrition by 2.8 percentage points. In Nusa Tenggara </w:t>
            </w:r>
            <w:proofErr w:type="spellStart"/>
            <w:r w:rsidRPr="00764AC1">
              <w:rPr>
                <w:rFonts w:ascii="Calibri" w:hAnsi="Calibri"/>
                <w:sz w:val="16"/>
                <w:szCs w:val="16"/>
              </w:rPr>
              <w:t>Timur</w:t>
            </w:r>
            <w:proofErr w:type="spellEnd"/>
            <w:r w:rsidRPr="00764AC1">
              <w:rPr>
                <w:rFonts w:ascii="Calibri" w:hAnsi="Calibri"/>
                <w:sz w:val="16"/>
                <w:szCs w:val="16"/>
              </w:rPr>
              <w:t xml:space="preserve"> (NTT) Province underweight rates were reduced by 8.7 percentage points and severe underweight rates were reduced by 5.6 percentage points.</w:t>
            </w:r>
          </w:p>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Through Australian support to WFP in </w:t>
            </w:r>
            <w:smartTag w:uri="urn:schemas-microsoft-com:office:smarttags" w:element="country-region">
              <w:smartTag w:uri="urn:schemas-microsoft-com:office:smarttags" w:element="place">
                <w:r w:rsidRPr="00764AC1">
                  <w:rPr>
                    <w:rFonts w:ascii="Calibri" w:hAnsi="Calibri"/>
                    <w:sz w:val="16"/>
                    <w:szCs w:val="16"/>
                  </w:rPr>
                  <w:t>Cambodia</w:t>
                </w:r>
              </w:smartTag>
            </w:smartTag>
            <w:r w:rsidRPr="00764AC1">
              <w:rPr>
                <w:rFonts w:ascii="Calibri" w:hAnsi="Calibri"/>
                <w:sz w:val="16"/>
                <w:szCs w:val="16"/>
              </w:rPr>
              <w:t>, 145,833 unemployed people received food through food for work projects</w:t>
            </w:r>
          </w:p>
        </w:tc>
      </w:tr>
      <w:tr w:rsidR="00006923" w:rsidRPr="00764AC1" w:rsidTr="00FA13E0">
        <w:trPr>
          <w:cantSplit/>
        </w:trPr>
        <w:tc>
          <w:tcPr>
            <w:tcW w:w="2840" w:type="dxa"/>
            <w:shd w:val="clear" w:color="auto" w:fill="auto"/>
          </w:tcPr>
          <w:p w:rsidR="00006923" w:rsidRPr="00764AC1" w:rsidRDefault="00006923" w:rsidP="00764AC1">
            <w:pPr>
              <w:numPr>
                <w:ilvl w:val="0"/>
                <w:numId w:val="18"/>
              </w:numPr>
              <w:spacing w:before="120"/>
              <w:rPr>
                <w:rFonts w:ascii="Calibri" w:hAnsi="Calibri" w:cs="Arial"/>
                <w:sz w:val="16"/>
                <w:szCs w:val="16"/>
              </w:rPr>
            </w:pPr>
            <w:r w:rsidRPr="00764AC1">
              <w:rPr>
                <w:rFonts w:ascii="Calibri" w:hAnsi="Calibri" w:cs="Arial"/>
                <w:sz w:val="16"/>
                <w:szCs w:val="16"/>
              </w:rPr>
              <w:t>Improved targeting of beneficiaries within social protection programs</w:t>
            </w:r>
          </w:p>
        </w:tc>
        <w:tc>
          <w:tcPr>
            <w:tcW w:w="6448" w:type="dxa"/>
            <w:shd w:val="clear" w:color="auto" w:fill="auto"/>
          </w:tcPr>
          <w:p w:rsidR="00006923" w:rsidRPr="00764AC1" w:rsidRDefault="00006923" w:rsidP="00764AC1">
            <w:pPr>
              <w:numPr>
                <w:ilvl w:val="0"/>
                <w:numId w:val="20"/>
              </w:numPr>
              <w:spacing w:before="60"/>
              <w:ind w:left="0" w:firstLine="170"/>
              <w:rPr>
                <w:rFonts w:ascii="Calibri" w:hAnsi="Calibri"/>
                <w:sz w:val="16"/>
                <w:szCs w:val="16"/>
              </w:rPr>
            </w:pPr>
            <w:smartTag w:uri="urn:schemas-microsoft-com:office:smarttags" w:element="country-region">
              <w:smartTag w:uri="urn:schemas-microsoft-com:office:smarttags" w:element="place">
                <w:r w:rsidRPr="00764AC1">
                  <w:rPr>
                    <w:rFonts w:ascii="Calibri" w:hAnsi="Calibri"/>
                    <w:sz w:val="16"/>
                    <w:szCs w:val="16"/>
                  </w:rPr>
                  <w:t>Australia</w:t>
                </w:r>
              </w:smartTag>
            </w:smartTag>
            <w:r w:rsidRPr="00764AC1">
              <w:rPr>
                <w:rFonts w:ascii="Calibri" w:hAnsi="Calibri"/>
                <w:sz w:val="16"/>
                <w:szCs w:val="16"/>
              </w:rPr>
              <w:t xml:space="preserve"> provided </w:t>
            </w:r>
            <w:r w:rsidR="00745B64" w:rsidRPr="00764AC1">
              <w:rPr>
                <w:rFonts w:ascii="Calibri" w:hAnsi="Calibri"/>
                <w:sz w:val="16"/>
                <w:szCs w:val="16"/>
              </w:rPr>
              <w:t>advice</w:t>
            </w:r>
            <w:r w:rsidRPr="00764AC1">
              <w:rPr>
                <w:rFonts w:ascii="Calibri" w:hAnsi="Calibri"/>
                <w:sz w:val="16"/>
                <w:szCs w:val="16"/>
              </w:rPr>
              <w:t xml:space="preserve"> to the Philippines National Household Targeting System for Poverty Reduction; leakages to the non-poor were reduced from 40-60% to 15% and the system is now being used to target health subsidies to the poorest</w:t>
            </w:r>
          </w:p>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Australian support in </w:t>
            </w:r>
            <w:smartTag w:uri="urn:schemas-microsoft-com:office:smarttags" w:element="country-region">
              <w:smartTag w:uri="urn:schemas-microsoft-com:office:smarttags" w:element="place">
                <w:r w:rsidRPr="00764AC1">
                  <w:rPr>
                    <w:rFonts w:ascii="Calibri" w:hAnsi="Calibri"/>
                    <w:sz w:val="16"/>
                    <w:szCs w:val="16"/>
                  </w:rPr>
                  <w:t>Cambodia</w:t>
                </w:r>
              </w:smartTag>
            </w:smartTag>
            <w:r w:rsidRPr="00764AC1">
              <w:rPr>
                <w:rFonts w:ascii="Calibri" w:hAnsi="Calibri"/>
                <w:sz w:val="16"/>
                <w:szCs w:val="16"/>
              </w:rPr>
              <w:t xml:space="preserve"> has resulted in an improved national targeting methodology to identify poor households; this claims very high accuracy rates of less than 5% inclusion and exclusion errors.</w:t>
            </w:r>
          </w:p>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In </w:t>
            </w:r>
            <w:smartTag w:uri="urn:schemas-microsoft-com:office:smarttags" w:element="country-region">
              <w:r w:rsidRPr="00764AC1">
                <w:rPr>
                  <w:rFonts w:ascii="Calibri" w:hAnsi="Calibri"/>
                  <w:sz w:val="16"/>
                  <w:szCs w:val="16"/>
                </w:rPr>
                <w:t>Indonesia</w:t>
              </w:r>
            </w:smartTag>
            <w:r w:rsidRPr="00764AC1">
              <w:rPr>
                <w:rFonts w:ascii="Calibri" w:hAnsi="Calibri"/>
                <w:sz w:val="16"/>
                <w:szCs w:val="16"/>
              </w:rPr>
              <w:t xml:space="preserve">, </w:t>
            </w:r>
            <w:smartTag w:uri="urn:schemas-microsoft-com:office:smarttags" w:element="country-region">
              <w:smartTag w:uri="urn:schemas-microsoft-com:office:smarttags" w:element="place">
                <w:r w:rsidRPr="00764AC1">
                  <w:rPr>
                    <w:rFonts w:ascii="Calibri" w:hAnsi="Calibri"/>
                    <w:sz w:val="16"/>
                    <w:szCs w:val="16"/>
                  </w:rPr>
                  <w:t>Australia</w:t>
                </w:r>
              </w:smartTag>
            </w:smartTag>
            <w:r w:rsidRPr="00764AC1">
              <w:rPr>
                <w:rFonts w:ascii="Calibri" w:hAnsi="Calibri"/>
                <w:sz w:val="16"/>
                <w:szCs w:val="16"/>
              </w:rPr>
              <w:t xml:space="preserve"> has helped develop improved targeting methods – including proxy-means-testing and community approaches to targeting – that will improve the accuracy of the national targeting system impacting up to 100 million poor and vulnerable households</w:t>
            </w:r>
          </w:p>
        </w:tc>
      </w:tr>
      <w:tr w:rsidR="00006923" w:rsidRPr="00764AC1" w:rsidTr="00FA13E0">
        <w:trPr>
          <w:cantSplit/>
        </w:trPr>
        <w:tc>
          <w:tcPr>
            <w:tcW w:w="2840" w:type="dxa"/>
            <w:shd w:val="clear" w:color="auto" w:fill="auto"/>
          </w:tcPr>
          <w:p w:rsidR="00006923" w:rsidRPr="00764AC1" w:rsidRDefault="00006923" w:rsidP="00764AC1">
            <w:pPr>
              <w:numPr>
                <w:ilvl w:val="0"/>
                <w:numId w:val="18"/>
              </w:numPr>
              <w:spacing w:before="120"/>
              <w:rPr>
                <w:rFonts w:ascii="Calibri" w:hAnsi="Calibri" w:cs="Arial"/>
                <w:sz w:val="16"/>
                <w:szCs w:val="16"/>
              </w:rPr>
            </w:pPr>
            <w:r w:rsidRPr="00764AC1">
              <w:rPr>
                <w:rFonts w:ascii="Calibri" w:hAnsi="Calibri" w:cs="Arial"/>
                <w:sz w:val="16"/>
                <w:szCs w:val="16"/>
              </w:rPr>
              <w:t>Reduction in the use of strategies to cope with food insecurity that entrench poverty.</w:t>
            </w:r>
          </w:p>
        </w:tc>
        <w:tc>
          <w:tcPr>
            <w:tcW w:w="6448" w:type="dxa"/>
            <w:shd w:val="clear" w:color="auto" w:fill="auto"/>
          </w:tcPr>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Data from the </w:t>
            </w:r>
            <w:proofErr w:type="spellStart"/>
            <w:r w:rsidRPr="00764AC1">
              <w:rPr>
                <w:rFonts w:ascii="Calibri" w:hAnsi="Calibri"/>
                <w:sz w:val="16"/>
                <w:szCs w:val="16"/>
              </w:rPr>
              <w:t>AusAID</w:t>
            </w:r>
            <w:proofErr w:type="spellEnd"/>
            <w:r w:rsidRPr="00764AC1">
              <w:rPr>
                <w:rFonts w:ascii="Calibri" w:hAnsi="Calibri"/>
                <w:sz w:val="16"/>
                <w:szCs w:val="16"/>
              </w:rPr>
              <w:t>-supported CFPR program in Bangladesh is not yet available, but evidence from prior years found the daily food calorie intake of participants increased from 1742kcal/person in 2002 to 2097kcal/person in 2004 (after graduation) and to 2248kcal in 2006 (2 years after graduation) for 100,000 beneficiaries.</w:t>
            </w:r>
          </w:p>
          <w:p w:rsidR="00006923" w:rsidRPr="00764AC1" w:rsidRDefault="00006923" w:rsidP="00764AC1">
            <w:pPr>
              <w:numPr>
                <w:ilvl w:val="0"/>
                <w:numId w:val="20"/>
              </w:numPr>
              <w:spacing w:before="60"/>
              <w:ind w:left="0" w:firstLine="170"/>
              <w:rPr>
                <w:rFonts w:ascii="Calibri" w:hAnsi="Calibri"/>
                <w:sz w:val="16"/>
                <w:szCs w:val="16"/>
              </w:rPr>
            </w:pPr>
            <w:r w:rsidRPr="00764AC1">
              <w:rPr>
                <w:rFonts w:ascii="Calibri" w:hAnsi="Calibri"/>
                <w:sz w:val="16"/>
                <w:szCs w:val="16"/>
              </w:rPr>
              <w:t xml:space="preserve">Australian support through WFP in </w:t>
            </w:r>
            <w:smartTag w:uri="urn:schemas-microsoft-com:office:smarttags" w:element="country-region">
              <w:smartTag w:uri="urn:schemas-microsoft-com:office:smarttags" w:element="place">
                <w:r w:rsidRPr="00764AC1">
                  <w:rPr>
                    <w:rFonts w:ascii="Calibri" w:hAnsi="Calibri"/>
                    <w:sz w:val="16"/>
                    <w:szCs w:val="16"/>
                  </w:rPr>
                  <w:t>Cambodia</w:t>
                </w:r>
              </w:smartTag>
            </w:smartTag>
            <w:r w:rsidRPr="00764AC1">
              <w:rPr>
                <w:rFonts w:ascii="Calibri" w:hAnsi="Calibri"/>
                <w:sz w:val="16"/>
                <w:szCs w:val="16"/>
              </w:rPr>
              <w:t xml:space="preserve"> ensured 559,600 students received school feeding and regularly attended classes, and 92,400 girl students received both school meals and take home rations.</w:t>
            </w:r>
          </w:p>
        </w:tc>
      </w:tr>
    </w:tbl>
    <w:p w:rsidR="00006923" w:rsidRPr="00006923" w:rsidRDefault="00006923" w:rsidP="007A0A70">
      <w:pPr>
        <w:pStyle w:val="H4A"/>
        <w:spacing w:before="240"/>
      </w:pPr>
      <w:r w:rsidRPr="00006923">
        <w:t>Some further examples elaborate what success looked like in 2009-10</w:t>
      </w:r>
    </w:p>
    <w:p w:rsidR="00006923" w:rsidRPr="00006923" w:rsidRDefault="00006923" w:rsidP="0029179C">
      <w:pPr>
        <w:spacing w:after="120"/>
        <w:rPr>
          <w:rFonts w:ascii="Calibri" w:hAnsi="Calibri" w:cs="Arial"/>
          <w:szCs w:val="20"/>
        </w:rPr>
      </w:pPr>
      <w:r w:rsidRPr="00006923">
        <w:rPr>
          <w:rFonts w:ascii="Calibri" w:hAnsi="Calibri"/>
          <w:b/>
          <w:szCs w:val="20"/>
        </w:rPr>
        <w:t xml:space="preserve">Overcoming global policy barriers to financial inclusion – </w:t>
      </w:r>
      <w:r w:rsidRPr="00006923">
        <w:rPr>
          <w:rFonts w:ascii="Calibri" w:hAnsi="Calibri"/>
          <w:szCs w:val="20"/>
        </w:rPr>
        <w:t>A</w:t>
      </w:r>
      <w:r w:rsidRPr="00006923">
        <w:rPr>
          <w:rFonts w:ascii="Calibri" w:hAnsi="Calibri"/>
          <w:b/>
          <w:szCs w:val="20"/>
        </w:rPr>
        <w:t xml:space="preserve"> </w:t>
      </w:r>
      <w:r w:rsidRPr="00006923">
        <w:rPr>
          <w:rFonts w:ascii="Calibri" w:hAnsi="Calibri"/>
          <w:szCs w:val="20"/>
        </w:rPr>
        <w:t xml:space="preserve">key barrier to </w:t>
      </w:r>
      <w:r w:rsidRPr="00006923">
        <w:rPr>
          <w:rFonts w:ascii="Calibri" w:hAnsi="Calibri" w:cs="Arial"/>
          <w:szCs w:val="20"/>
        </w:rPr>
        <w:t xml:space="preserve">expanding access to financial services is that policy makers globally have no guidance on how to incorporate innovative, technology driven models into their financial systems. Another barrier is that ‘global </w:t>
      </w:r>
      <w:r w:rsidRPr="00006923">
        <w:rPr>
          <w:rFonts w:ascii="Calibri" w:hAnsi="Calibri" w:cs="Arial"/>
          <w:szCs w:val="20"/>
        </w:rPr>
        <w:lastRenderedPageBreak/>
        <w:t xml:space="preserve">standards’ for financial systems are designed for developed economies and often exclude poor people.  In September 2009 the G20 established a Financial Inclusion Experts Group and the Access through Innovation Sub-Group was Co-Chaired by </w:t>
      </w:r>
      <w:smartTag w:uri="urn:schemas-microsoft-com:office:smarttags" w:element="country-region">
        <w:r w:rsidRPr="00006923">
          <w:rPr>
            <w:rFonts w:ascii="Calibri" w:hAnsi="Calibri" w:cs="Arial"/>
            <w:szCs w:val="20"/>
          </w:rPr>
          <w:t>Australia</w:t>
        </w:r>
      </w:smartTag>
      <w:r w:rsidRPr="00006923">
        <w:rPr>
          <w:rFonts w:ascii="Calibri" w:hAnsi="Calibri" w:cs="Arial"/>
          <w:szCs w:val="20"/>
        </w:rPr>
        <w:t xml:space="preserve"> and </w:t>
      </w:r>
      <w:smartTag w:uri="urn:schemas-microsoft-com:office:smarttags" w:element="country-region">
        <w:smartTag w:uri="urn:schemas-microsoft-com:office:smarttags" w:element="place">
          <w:r w:rsidRPr="00006923">
            <w:rPr>
              <w:rFonts w:ascii="Calibri" w:hAnsi="Calibri" w:cs="Arial"/>
              <w:szCs w:val="20"/>
            </w:rPr>
            <w:t>Brazil</w:t>
          </w:r>
        </w:smartTag>
      </w:smartTag>
      <w:r w:rsidRPr="00006923">
        <w:rPr>
          <w:rFonts w:ascii="Calibri" w:hAnsi="Calibri" w:cs="Arial"/>
          <w:szCs w:val="20"/>
        </w:rPr>
        <w:t xml:space="preserve">. </w:t>
      </w:r>
      <w:proofErr w:type="spellStart"/>
      <w:r w:rsidRPr="00006923">
        <w:rPr>
          <w:rFonts w:ascii="Calibri" w:hAnsi="Calibri" w:cs="Arial"/>
          <w:szCs w:val="20"/>
        </w:rPr>
        <w:t>AusAID</w:t>
      </w:r>
      <w:proofErr w:type="spellEnd"/>
      <w:r w:rsidRPr="00006923">
        <w:rPr>
          <w:rFonts w:ascii="Calibri" w:hAnsi="Calibri" w:cs="Arial"/>
          <w:szCs w:val="20"/>
        </w:rPr>
        <w:t xml:space="preserve"> advisers supported the Australian Treasury Co-Chair and were instrumental in overcoming these two major policy barriers.  Firstly, G20 Leaders adopted Principles for Innovative Financial Inclusion (Toronto Summit, June 2010) which guide innovation in the financial system that enables poor people’s access to financial services. Examples include ensuring coordination between central banks and the telecommunication industry, and revising regulations to allow banks to use agents to reach remote areas. G20 countries committed to implement these principles in </w:t>
      </w:r>
      <w:smartTag w:uri="urn:schemas-microsoft-com:office:smarttags" w:element="City">
        <w:smartTag w:uri="urn:schemas-microsoft-com:office:smarttags" w:element="place">
          <w:r w:rsidRPr="00006923">
            <w:rPr>
              <w:rFonts w:ascii="Calibri" w:hAnsi="Calibri" w:cs="Arial"/>
              <w:szCs w:val="20"/>
            </w:rPr>
            <w:t>Seoul</w:t>
          </w:r>
        </w:smartTag>
      </w:smartTag>
      <w:r w:rsidRPr="00006923">
        <w:rPr>
          <w:rFonts w:ascii="Calibri" w:hAnsi="Calibri" w:cs="Arial"/>
          <w:szCs w:val="20"/>
        </w:rPr>
        <w:t>, and the policy teams at CGAP and AFI are already implementing these with non-G20 countries. Secondly, financial inclusion is now explicitly on the agenda of the five Global Financial System Standard Setting Bodies.  Work has begun to simplify and coordinate their standards to remove barriers to financial inclusion, such as reducing the identity requirements to open accounts.</w:t>
      </w:r>
    </w:p>
    <w:p w:rsidR="00006923" w:rsidRPr="00006923" w:rsidRDefault="00006923" w:rsidP="0029179C">
      <w:pPr>
        <w:spacing w:after="120"/>
        <w:rPr>
          <w:rFonts w:ascii="Calibri" w:hAnsi="Calibri"/>
          <w:szCs w:val="20"/>
        </w:rPr>
      </w:pPr>
      <w:r w:rsidRPr="00006923">
        <w:rPr>
          <w:rFonts w:ascii="Calibri" w:hAnsi="Calibri"/>
          <w:b/>
          <w:szCs w:val="20"/>
        </w:rPr>
        <w:t xml:space="preserve">Graduating the extreme poor and keeping them out of poverty – </w:t>
      </w:r>
      <w:proofErr w:type="spellStart"/>
      <w:r w:rsidRPr="00006923">
        <w:rPr>
          <w:rFonts w:ascii="Calibri" w:hAnsi="Calibri"/>
          <w:szCs w:val="20"/>
        </w:rPr>
        <w:t>AusAID</w:t>
      </w:r>
      <w:proofErr w:type="spellEnd"/>
      <w:r w:rsidRPr="00006923">
        <w:rPr>
          <w:rFonts w:ascii="Calibri" w:hAnsi="Calibri"/>
          <w:szCs w:val="20"/>
        </w:rPr>
        <w:t xml:space="preserve"> supports a highly successful social protection model in </w:t>
      </w:r>
      <w:smartTag w:uri="urn:schemas-microsoft-com:office:smarttags" w:element="country-region">
        <w:smartTag w:uri="urn:schemas-microsoft-com:office:smarttags" w:element="place">
          <w:r w:rsidRPr="00006923">
            <w:rPr>
              <w:rFonts w:ascii="Calibri" w:hAnsi="Calibri"/>
              <w:szCs w:val="20"/>
            </w:rPr>
            <w:t>Bangladesh</w:t>
          </w:r>
        </w:smartTag>
      </w:smartTag>
      <w:r w:rsidRPr="00006923">
        <w:rPr>
          <w:rFonts w:ascii="Calibri" w:hAnsi="Calibri"/>
          <w:szCs w:val="20"/>
        </w:rPr>
        <w:t xml:space="preserve"> that targets the ultra-poor. The Challenging the Frontiers of Poverty Reduction (CFPR) program offers loans or productive assets (such as livestock, agricultural implements or micro-enterprise equipment), a subsistence allowance of US$0.40 per day, and two years free access to health care as well as assistance for water, sanitation and housing. In its first phase nearly 100 </w:t>
      </w:r>
      <w:proofErr w:type="spellStart"/>
      <w:r w:rsidRPr="00006923">
        <w:rPr>
          <w:rFonts w:ascii="Calibri" w:hAnsi="Calibri"/>
          <w:szCs w:val="20"/>
        </w:rPr>
        <w:t>percent</w:t>
      </w:r>
      <w:proofErr w:type="spellEnd"/>
      <w:r w:rsidRPr="00006923">
        <w:rPr>
          <w:rFonts w:ascii="Calibri" w:hAnsi="Calibri"/>
          <w:szCs w:val="20"/>
        </w:rPr>
        <w:t xml:space="preserve"> of the 100,000 beneficiary households graduated out of extreme poverty and have sustained those benefits two years later. An independent study found that the daily food calorie intake of CFPR participants increased from 1,742kcal/person before participating in CFPR to 2,097kcal/person in 2004 when they graduated, and continued to increase to 2,248kcal in 2006 two years after graduation. The second phase targets over 4 million extreme poor and a mid-term review in 2009 found that the program is on-track to deliver this outcome. The CFPR model is now being piloted by CGAP in nine countries in Africa, Asia and the </w:t>
      </w:r>
      <w:smartTag w:uri="urn:schemas-microsoft-com:office:smarttags" w:element="place">
        <w:r w:rsidRPr="00006923">
          <w:rPr>
            <w:rFonts w:ascii="Calibri" w:hAnsi="Calibri"/>
            <w:szCs w:val="20"/>
          </w:rPr>
          <w:t>Caribbean</w:t>
        </w:r>
      </w:smartTag>
      <w:r w:rsidRPr="00006923">
        <w:rPr>
          <w:rFonts w:ascii="Calibri" w:hAnsi="Calibri"/>
          <w:szCs w:val="20"/>
        </w:rPr>
        <w:t>.</w:t>
      </w:r>
    </w:p>
    <w:p w:rsidR="00006923" w:rsidRPr="00006923" w:rsidRDefault="00745B64" w:rsidP="0029179C">
      <w:pPr>
        <w:spacing w:after="120"/>
        <w:rPr>
          <w:rFonts w:ascii="Calibri" w:hAnsi="Calibri" w:cs="Arial"/>
          <w:szCs w:val="20"/>
        </w:rPr>
      </w:pPr>
      <w:r>
        <w:rPr>
          <w:rFonts w:ascii="Calibri" w:hAnsi="Calibri"/>
          <w:b/>
          <w:szCs w:val="20"/>
        </w:rPr>
        <w:t>Reforming research institutions to focus on development results</w:t>
      </w:r>
      <w:r w:rsidR="00006923" w:rsidRPr="00006923">
        <w:rPr>
          <w:rFonts w:ascii="Calibri" w:hAnsi="Calibri"/>
          <w:b/>
          <w:szCs w:val="20"/>
        </w:rPr>
        <w:t xml:space="preserve"> – </w:t>
      </w:r>
      <w:r w:rsidR="00006923" w:rsidRPr="00006923">
        <w:rPr>
          <w:rFonts w:ascii="Calibri" w:hAnsi="Calibri"/>
          <w:szCs w:val="20"/>
        </w:rPr>
        <w:t>In</w:t>
      </w:r>
      <w:r w:rsidR="00006923" w:rsidRPr="00006923">
        <w:rPr>
          <w:rFonts w:ascii="Calibri" w:hAnsi="Calibri"/>
          <w:b/>
          <w:szCs w:val="20"/>
        </w:rPr>
        <w:t xml:space="preserve"> </w:t>
      </w:r>
      <w:r w:rsidR="00006923" w:rsidRPr="00006923">
        <w:rPr>
          <w:rFonts w:ascii="Calibri" w:hAnsi="Calibri"/>
          <w:szCs w:val="20"/>
        </w:rPr>
        <w:t xml:space="preserve">2006 PNG’s research system was described as fragmented, gender-blind, and largely irrelevant to the needs and opportunities of poor smallholders.  Australian support enabled key agencies in that system to identify the reasons why their impact at a household level was so limited, and to begin reforms to increase impact.  Key institutional changes include these agencies forging new partnerships to reach smallholders, a business culture maintaining a clear line of sight from research to impact, an increased focus on policy research and analysis, and consistent consideration of gender and HIV/AIDS issues across the research agenda.  One </w:t>
      </w:r>
      <w:r w:rsidR="00006923" w:rsidRPr="00006923">
        <w:rPr>
          <w:rFonts w:ascii="Calibri" w:hAnsi="Calibri" w:cs="Arial"/>
          <w:szCs w:val="20"/>
        </w:rPr>
        <w:t xml:space="preserve">example involves partnerships between coffee and cocoa research agencies and a local NGO that helps smallholders consolidate and market their produce.  Higher prices received are complemented by technical advice from lead farmers and the research agencies resulting in productivity increases and a more than doubling of cash income, paid to both women and men.  </w:t>
      </w:r>
      <w:proofErr w:type="spellStart"/>
      <w:r w:rsidR="00006923" w:rsidRPr="00006923">
        <w:rPr>
          <w:rFonts w:ascii="Calibri" w:hAnsi="Calibri" w:cs="Arial"/>
          <w:szCs w:val="20"/>
        </w:rPr>
        <w:t>GoPNG</w:t>
      </w:r>
      <w:proofErr w:type="spellEnd"/>
      <w:r w:rsidR="00006923" w:rsidRPr="00006923">
        <w:rPr>
          <w:rFonts w:ascii="Calibri" w:hAnsi="Calibri" w:cs="Arial"/>
          <w:szCs w:val="20"/>
        </w:rPr>
        <w:t xml:space="preserve"> has established a national committee to replicate the competitive research grant model piloted under this program into a national scheme that will be crucial to sustain this increasingly high performing research system.  </w:t>
      </w:r>
    </w:p>
    <w:p w:rsidR="00006923" w:rsidRPr="00006923" w:rsidRDefault="00745B64" w:rsidP="0029179C">
      <w:pPr>
        <w:spacing w:after="120"/>
        <w:rPr>
          <w:rFonts w:ascii="Calibri" w:hAnsi="Calibri"/>
          <w:szCs w:val="20"/>
        </w:rPr>
      </w:pPr>
      <w:r>
        <w:rPr>
          <w:rFonts w:ascii="Calibri" w:hAnsi="Calibri"/>
          <w:b/>
          <w:szCs w:val="20"/>
        </w:rPr>
        <w:t>Encourag</w:t>
      </w:r>
      <w:r w:rsidRPr="00006923">
        <w:rPr>
          <w:rFonts w:ascii="Calibri" w:hAnsi="Calibri"/>
          <w:b/>
          <w:szCs w:val="20"/>
        </w:rPr>
        <w:t xml:space="preserve">ing </w:t>
      </w:r>
      <w:r w:rsidR="00006923" w:rsidRPr="00006923">
        <w:rPr>
          <w:rFonts w:ascii="Calibri" w:hAnsi="Calibri"/>
          <w:b/>
          <w:szCs w:val="20"/>
        </w:rPr>
        <w:t>commercial business models that benefit the poor –</w:t>
      </w:r>
      <w:r>
        <w:rPr>
          <w:rFonts w:ascii="Calibri" w:hAnsi="Calibri"/>
          <w:szCs w:val="20"/>
        </w:rPr>
        <w:t xml:space="preserve"> </w:t>
      </w:r>
      <w:proofErr w:type="spellStart"/>
      <w:r w:rsidR="00006923" w:rsidRPr="00006923">
        <w:rPr>
          <w:rFonts w:ascii="Calibri" w:hAnsi="Calibri"/>
          <w:szCs w:val="20"/>
        </w:rPr>
        <w:t>AusAID</w:t>
      </w:r>
      <w:proofErr w:type="spellEnd"/>
      <w:r w:rsidR="00006923" w:rsidRPr="00006923">
        <w:rPr>
          <w:rFonts w:ascii="Calibri" w:hAnsi="Calibri"/>
          <w:szCs w:val="20"/>
        </w:rPr>
        <w:t xml:space="preserve"> determined that</w:t>
      </w:r>
      <w:r w:rsidR="00006923" w:rsidRPr="00006923">
        <w:rPr>
          <w:rFonts w:ascii="Calibri" w:hAnsi="Calibri"/>
          <w:b/>
          <w:szCs w:val="20"/>
        </w:rPr>
        <w:t xml:space="preserve"> </w:t>
      </w:r>
      <w:r w:rsidR="00006923" w:rsidRPr="00006923">
        <w:rPr>
          <w:rFonts w:ascii="Calibri" w:hAnsi="Calibri"/>
          <w:szCs w:val="20"/>
        </w:rPr>
        <w:t xml:space="preserve">many businesses in the Asia Pacific region could see commercial opportunity in different markets important to the poor, but barriers such as limited information, high risks and availability of commercial financing precluded them from realising these opportunities.  </w:t>
      </w:r>
      <w:proofErr w:type="spellStart"/>
      <w:r w:rsidR="00006923" w:rsidRPr="00006923">
        <w:rPr>
          <w:rFonts w:ascii="Calibri" w:hAnsi="Calibri"/>
          <w:szCs w:val="20"/>
        </w:rPr>
        <w:t>AusAID</w:t>
      </w:r>
      <w:proofErr w:type="spellEnd"/>
      <w:r w:rsidR="00006923" w:rsidRPr="00006923">
        <w:rPr>
          <w:rFonts w:ascii="Calibri" w:hAnsi="Calibri"/>
          <w:szCs w:val="20"/>
        </w:rPr>
        <w:t xml:space="preserve"> piloted an enterprise challenge fund to overcome some of these and has had some successes: An additional 560,000 rural poor households are expected to access sustained mobile money services in </w:t>
      </w:r>
      <w:smartTag w:uri="urn:schemas-microsoft-com:office:smarttags" w:element="country-region">
        <w:smartTag w:uri="urn:schemas-microsoft-com:office:smarttags" w:element="place">
          <w:r w:rsidR="00006923" w:rsidRPr="00006923">
            <w:rPr>
              <w:rFonts w:ascii="Calibri" w:hAnsi="Calibri"/>
              <w:szCs w:val="20"/>
            </w:rPr>
            <w:t>Cambodia</w:t>
          </w:r>
        </w:smartTag>
      </w:smartTag>
      <w:r w:rsidR="00006923" w:rsidRPr="00006923">
        <w:rPr>
          <w:rFonts w:ascii="Calibri" w:hAnsi="Calibri"/>
          <w:szCs w:val="20"/>
        </w:rPr>
        <w:t xml:space="preserve">, and this </w:t>
      </w:r>
      <w:proofErr w:type="spellStart"/>
      <w:r w:rsidR="00006923" w:rsidRPr="00006923">
        <w:rPr>
          <w:rFonts w:ascii="Calibri" w:hAnsi="Calibri"/>
          <w:szCs w:val="20"/>
        </w:rPr>
        <w:t>AusAID</w:t>
      </w:r>
      <w:proofErr w:type="spellEnd"/>
      <w:r w:rsidR="00006923" w:rsidRPr="00006923">
        <w:rPr>
          <w:rFonts w:ascii="Calibri" w:hAnsi="Calibri"/>
          <w:szCs w:val="20"/>
        </w:rPr>
        <w:t xml:space="preserve"> support is estimated to generate an economic internal rate of return of 92%.  </w:t>
      </w:r>
      <w:proofErr w:type="spellStart"/>
      <w:r w:rsidR="00006923" w:rsidRPr="00006923">
        <w:rPr>
          <w:rFonts w:ascii="Calibri" w:hAnsi="Calibri"/>
          <w:szCs w:val="20"/>
        </w:rPr>
        <w:t>Natures</w:t>
      </w:r>
      <w:proofErr w:type="spellEnd"/>
      <w:r w:rsidR="00006923" w:rsidRPr="00006923">
        <w:rPr>
          <w:rFonts w:ascii="Calibri" w:hAnsi="Calibri"/>
          <w:szCs w:val="20"/>
        </w:rPr>
        <w:t xml:space="preserve"> Way Cooperative in </w:t>
      </w:r>
      <w:smartTag w:uri="urn:schemas-microsoft-com:office:smarttags" w:element="place">
        <w:smartTag w:uri="urn:schemas-microsoft-com:office:smarttags" w:element="country-region">
          <w:r w:rsidR="00006923" w:rsidRPr="00006923">
            <w:rPr>
              <w:rFonts w:ascii="Calibri" w:hAnsi="Calibri"/>
              <w:szCs w:val="20"/>
            </w:rPr>
            <w:t>Fiji</w:t>
          </w:r>
        </w:smartTag>
      </w:smartTag>
      <w:r w:rsidR="00006923" w:rsidRPr="00006923">
        <w:rPr>
          <w:rFonts w:ascii="Calibri" w:hAnsi="Calibri"/>
          <w:szCs w:val="20"/>
        </w:rPr>
        <w:t xml:space="preserve"> ha</w:t>
      </w:r>
      <w:r w:rsidR="00D4474F">
        <w:rPr>
          <w:rFonts w:ascii="Calibri" w:hAnsi="Calibri"/>
          <w:szCs w:val="20"/>
        </w:rPr>
        <w:t>s</w:t>
      </w:r>
      <w:r w:rsidR="00006923" w:rsidRPr="00006923">
        <w:rPr>
          <w:rFonts w:ascii="Calibri" w:hAnsi="Calibri"/>
          <w:szCs w:val="20"/>
        </w:rPr>
        <w:t xml:space="preserve"> doubled </w:t>
      </w:r>
      <w:proofErr w:type="spellStart"/>
      <w:r w:rsidR="00D4474F">
        <w:rPr>
          <w:rFonts w:ascii="Calibri" w:hAnsi="Calibri"/>
          <w:szCs w:val="20"/>
        </w:rPr>
        <w:t>it’s</w:t>
      </w:r>
      <w:proofErr w:type="spellEnd"/>
      <w:r w:rsidR="00006923" w:rsidRPr="00006923">
        <w:rPr>
          <w:rFonts w:ascii="Calibri" w:hAnsi="Calibri"/>
          <w:szCs w:val="20"/>
        </w:rPr>
        <w:t xml:space="preserve"> quarantine treatment capacity and developed an industry outreach program to increase fruit and vegetable quality with </w:t>
      </w:r>
      <w:proofErr w:type="spellStart"/>
      <w:r w:rsidR="00006923" w:rsidRPr="00006923">
        <w:rPr>
          <w:rFonts w:ascii="Calibri" w:hAnsi="Calibri"/>
          <w:szCs w:val="20"/>
        </w:rPr>
        <w:t>AusAID</w:t>
      </w:r>
      <w:proofErr w:type="spellEnd"/>
      <w:r w:rsidR="00006923" w:rsidRPr="00006923">
        <w:rPr>
          <w:rFonts w:ascii="Calibri" w:hAnsi="Calibri"/>
          <w:szCs w:val="20"/>
        </w:rPr>
        <w:t xml:space="preserve"> support; an interim assessment suggests this project will generate an economic internal rate of return of 25%.</w:t>
      </w:r>
    </w:p>
    <w:p w:rsidR="00006923" w:rsidRPr="00006923" w:rsidRDefault="00006923" w:rsidP="0029179C">
      <w:pPr>
        <w:spacing w:after="120"/>
        <w:rPr>
          <w:rFonts w:ascii="Calibri" w:hAnsi="Calibri"/>
          <w:szCs w:val="20"/>
        </w:rPr>
      </w:pPr>
      <w:r w:rsidRPr="00006923">
        <w:rPr>
          <w:rFonts w:ascii="Calibri" w:hAnsi="Calibri"/>
          <w:b/>
          <w:szCs w:val="20"/>
        </w:rPr>
        <w:t>Innovating by making cash transfers to poor communities rather than households -</w:t>
      </w:r>
      <w:r w:rsidRPr="00006923">
        <w:rPr>
          <w:rFonts w:ascii="Calibri" w:hAnsi="Calibri"/>
          <w:szCs w:val="20"/>
        </w:rPr>
        <w:t xml:space="preserve"> </w:t>
      </w:r>
      <w:proofErr w:type="spellStart"/>
      <w:r w:rsidRPr="00006923">
        <w:rPr>
          <w:rFonts w:ascii="Calibri" w:hAnsi="Calibri"/>
          <w:szCs w:val="20"/>
        </w:rPr>
        <w:t>AusAID</w:t>
      </w:r>
      <w:proofErr w:type="spellEnd"/>
      <w:r w:rsidRPr="00006923">
        <w:rPr>
          <w:rFonts w:ascii="Calibri" w:hAnsi="Calibri"/>
          <w:szCs w:val="20"/>
        </w:rPr>
        <w:t xml:space="preserve">, Government of Indonesia and World Bank supported pilots of an innovative community-based </w:t>
      </w:r>
      <w:r w:rsidRPr="00006923">
        <w:rPr>
          <w:rFonts w:ascii="Calibri" w:hAnsi="Calibri"/>
          <w:szCs w:val="20"/>
        </w:rPr>
        <w:lastRenderedPageBreak/>
        <w:t xml:space="preserve">conditional cash transfer program run through the decade-old national PNPM community development network. Since 2008 the pilot has been implemented in 178 sub-districts reaching 3.1 million people, representing 8.4% of </w:t>
      </w:r>
      <w:smartTag w:uri="urn:schemas-microsoft-com:office:smarttags" w:element="country-region">
        <w:smartTag w:uri="urn:schemas-microsoft-com:office:smarttags" w:element="place">
          <w:r w:rsidRPr="00006923">
            <w:rPr>
              <w:rFonts w:ascii="Calibri" w:hAnsi="Calibri"/>
              <w:szCs w:val="20"/>
            </w:rPr>
            <w:t>Indonesia</w:t>
          </w:r>
        </w:smartTag>
      </w:smartTag>
      <w:r w:rsidRPr="00006923">
        <w:rPr>
          <w:rFonts w:ascii="Calibri" w:hAnsi="Calibri"/>
          <w:szCs w:val="20"/>
        </w:rPr>
        <w:t>’s poor. A randomised impact evaluation in 2010 found that the pilot had a statistically significant positive impact on the 12 indicators it was designed to address, with the greatest impact in areas with low baseline health and education indicators. The strongest improvements were among the health indicators and the main long-term impact was a decrease in malnutrition, particularly in areas with a higher malnutrition rate prior to project implementation. Education indicators also showed improvements, mainly in increased school participation among the primary school-age group.</w:t>
      </w:r>
    </w:p>
    <w:p w:rsidR="00006923" w:rsidRPr="00006923" w:rsidRDefault="00006923" w:rsidP="0029179C">
      <w:pPr>
        <w:spacing w:after="120"/>
        <w:rPr>
          <w:rFonts w:ascii="Calibri" w:hAnsi="Calibri"/>
          <w:b/>
          <w:i/>
          <w:szCs w:val="20"/>
        </w:rPr>
      </w:pPr>
      <w:r w:rsidRPr="00006923">
        <w:rPr>
          <w:rFonts w:ascii="Calibri" w:hAnsi="Calibri"/>
          <w:b/>
          <w:i/>
          <w:szCs w:val="20"/>
        </w:rPr>
        <w:t xml:space="preserve">Rapid responses to the food crisis: </w:t>
      </w:r>
      <w:r w:rsidRPr="00006923">
        <w:rPr>
          <w:rFonts w:ascii="Calibri" w:hAnsi="Calibri"/>
          <w:szCs w:val="20"/>
        </w:rPr>
        <w:t xml:space="preserve">Our support to the World Bank’s Global Food Crisis Response Program (GFRP) helped protect poor people from the worst of the food crisis and enable smallholders to grow more food.  For example 372,318 people received food and cash transfers from GFRP supported projects in </w:t>
      </w:r>
      <w:smartTag w:uri="urn:schemas-microsoft-com:office:smarttags" w:element="country-region">
        <w:r w:rsidRPr="00006923">
          <w:rPr>
            <w:rFonts w:ascii="Calibri" w:hAnsi="Calibri"/>
            <w:szCs w:val="20"/>
          </w:rPr>
          <w:t>Senegal</w:t>
        </w:r>
      </w:smartTag>
      <w:r w:rsidRPr="00006923">
        <w:rPr>
          <w:rFonts w:ascii="Calibri" w:hAnsi="Calibri"/>
          <w:szCs w:val="20"/>
        </w:rPr>
        <w:t xml:space="preserve"> and </w:t>
      </w:r>
      <w:smartTag w:uri="urn:schemas-microsoft-com:office:smarttags" w:element="country-region">
        <w:smartTag w:uri="urn:schemas-microsoft-com:office:smarttags" w:element="place">
          <w:r w:rsidRPr="00006923">
            <w:rPr>
              <w:rFonts w:ascii="Calibri" w:hAnsi="Calibri"/>
              <w:szCs w:val="20"/>
            </w:rPr>
            <w:t>Cambodia</w:t>
          </w:r>
        </w:smartTag>
      </w:smartTag>
      <w:r w:rsidRPr="00006923">
        <w:rPr>
          <w:rFonts w:ascii="Calibri" w:hAnsi="Calibri"/>
          <w:szCs w:val="20"/>
        </w:rPr>
        <w:t xml:space="preserve">. A total of 11,717 people were employed as part of cash/food for work programs in </w:t>
      </w:r>
      <w:smartTag w:uri="urn:schemas-microsoft-com:office:smarttags" w:element="country-region">
        <w:r w:rsidRPr="00006923">
          <w:rPr>
            <w:rFonts w:ascii="Calibri" w:hAnsi="Calibri"/>
            <w:szCs w:val="20"/>
          </w:rPr>
          <w:t>Sierra Leone</w:t>
        </w:r>
      </w:smartTag>
      <w:r w:rsidRPr="00006923">
        <w:rPr>
          <w:rFonts w:ascii="Calibri" w:hAnsi="Calibri"/>
          <w:szCs w:val="20"/>
        </w:rPr>
        <w:t xml:space="preserve"> and </w:t>
      </w:r>
      <w:smartTag w:uri="urn:schemas-microsoft-com:office:smarttags" w:element="country-region">
        <w:smartTag w:uri="urn:schemas-microsoft-com:office:smarttags" w:element="place">
          <w:r w:rsidRPr="00006923">
            <w:rPr>
              <w:rFonts w:ascii="Calibri" w:hAnsi="Calibri"/>
              <w:szCs w:val="20"/>
            </w:rPr>
            <w:t>Cambodia</w:t>
          </w:r>
        </w:smartTag>
      </w:smartTag>
      <w:r w:rsidRPr="00006923">
        <w:rPr>
          <w:rFonts w:ascii="Calibri" w:hAnsi="Calibri"/>
          <w:szCs w:val="20"/>
        </w:rPr>
        <w:t xml:space="preserve">. These transfers provided supplemental income to offset the higher cost of food for poor households. Nutrition interventions mitigated the food price spike consequences on childhood development: 65,861 children benefitted from school feeding programs in </w:t>
      </w:r>
      <w:smartTag w:uri="urn:schemas-microsoft-com:office:smarttags" w:element="country-region">
        <w:r w:rsidRPr="00006923">
          <w:rPr>
            <w:rFonts w:ascii="Calibri" w:hAnsi="Calibri"/>
            <w:szCs w:val="20"/>
          </w:rPr>
          <w:t>Cambodia</w:t>
        </w:r>
      </w:smartTag>
      <w:r w:rsidRPr="00006923">
        <w:rPr>
          <w:rFonts w:ascii="Calibri" w:hAnsi="Calibri"/>
          <w:szCs w:val="20"/>
        </w:rPr>
        <w:t xml:space="preserve">; community nutrition programs in </w:t>
      </w:r>
      <w:smartTag w:uri="urn:schemas-microsoft-com:office:smarttags" w:element="country-region">
        <w:smartTag w:uri="urn:schemas-microsoft-com:office:smarttags" w:element="place">
          <w:r w:rsidRPr="00006923">
            <w:rPr>
              <w:rFonts w:ascii="Calibri" w:hAnsi="Calibri"/>
              <w:szCs w:val="20"/>
            </w:rPr>
            <w:t>Senegal</w:t>
          </w:r>
        </w:smartTag>
      </w:smartTag>
      <w:r w:rsidRPr="00006923">
        <w:rPr>
          <w:rFonts w:ascii="Calibri" w:hAnsi="Calibri"/>
          <w:szCs w:val="20"/>
        </w:rPr>
        <w:t xml:space="preserve"> provided monthly growth monitoring for children under two, nutrition education for mothers, provision of nutritional supplements, and de-worming.  The GFRP also financed projects supporting next season supply response to raise farmer incomes, increase local food availability, and to subsequently lower food prices. Interventions included rapid support to clients facing constraints to seed and fertilizer availability, distribution, affordability, and utilization. 4,867 tons of fertilizers and 4,803 tons of seeds have been distributed to 374,457 farmers in </w:t>
      </w:r>
      <w:smartTag w:uri="urn:schemas-microsoft-com:office:smarttags" w:element="country-region">
        <w:r w:rsidRPr="00006923">
          <w:rPr>
            <w:rFonts w:ascii="Calibri" w:hAnsi="Calibri"/>
            <w:szCs w:val="20"/>
          </w:rPr>
          <w:t>Zimbabwe</w:t>
        </w:r>
      </w:smartTag>
      <w:r w:rsidRPr="00006923">
        <w:rPr>
          <w:rFonts w:ascii="Calibri" w:hAnsi="Calibri"/>
          <w:szCs w:val="20"/>
        </w:rPr>
        <w:t xml:space="preserve"> and </w:t>
      </w:r>
      <w:smartTag w:uri="urn:schemas-microsoft-com:office:smarttags" w:element="country-region">
        <w:smartTag w:uri="urn:schemas-microsoft-com:office:smarttags" w:element="place">
          <w:r w:rsidRPr="00006923">
            <w:rPr>
              <w:rFonts w:ascii="Calibri" w:hAnsi="Calibri"/>
              <w:szCs w:val="20"/>
            </w:rPr>
            <w:t>Cambodia</w:t>
          </w:r>
        </w:smartTag>
      </w:smartTag>
      <w:r w:rsidRPr="00006923">
        <w:rPr>
          <w:rFonts w:ascii="Calibri" w:hAnsi="Calibri"/>
          <w:szCs w:val="20"/>
        </w:rPr>
        <w:t xml:space="preserve">. These operations are having an impact on yields. Maize yields increased by 70 </w:t>
      </w:r>
      <w:proofErr w:type="spellStart"/>
      <w:r w:rsidRPr="00006923">
        <w:rPr>
          <w:rFonts w:ascii="Calibri" w:hAnsi="Calibri"/>
          <w:szCs w:val="20"/>
        </w:rPr>
        <w:t>percent</w:t>
      </w:r>
      <w:proofErr w:type="spellEnd"/>
      <w:r w:rsidRPr="00006923">
        <w:rPr>
          <w:rFonts w:ascii="Calibri" w:hAnsi="Calibri"/>
          <w:szCs w:val="20"/>
        </w:rPr>
        <w:t xml:space="preserve"> due to the distribution of hybrid seed through the Zimbabwe Emergency Agricultural Input Project (ZEAIP). Harvest data indicates that ZEAIP contributed to about 60 </w:t>
      </w:r>
      <w:proofErr w:type="spellStart"/>
      <w:r w:rsidRPr="00006923">
        <w:rPr>
          <w:rFonts w:ascii="Calibri" w:hAnsi="Calibri"/>
          <w:szCs w:val="20"/>
        </w:rPr>
        <w:t>percent</w:t>
      </w:r>
      <w:proofErr w:type="spellEnd"/>
      <w:r w:rsidRPr="00006923">
        <w:rPr>
          <w:rFonts w:ascii="Calibri" w:hAnsi="Calibri"/>
          <w:szCs w:val="20"/>
        </w:rPr>
        <w:t xml:space="preserve"> of the total maize production in the project area.  Smallholder yields in </w:t>
      </w:r>
      <w:smartTag w:uri="urn:schemas-microsoft-com:office:smarttags" w:element="country-region">
        <w:smartTag w:uri="urn:schemas-microsoft-com:office:smarttags" w:element="place">
          <w:r w:rsidRPr="00006923">
            <w:rPr>
              <w:rFonts w:ascii="Calibri" w:hAnsi="Calibri"/>
              <w:szCs w:val="20"/>
            </w:rPr>
            <w:t>Cambodia</w:t>
          </w:r>
        </w:smartTag>
      </w:smartTag>
      <w:r w:rsidRPr="00006923">
        <w:rPr>
          <w:rFonts w:ascii="Calibri" w:hAnsi="Calibri"/>
          <w:szCs w:val="20"/>
        </w:rPr>
        <w:t xml:space="preserve"> increased by about 45 </w:t>
      </w:r>
      <w:proofErr w:type="spellStart"/>
      <w:r w:rsidRPr="00006923">
        <w:rPr>
          <w:rFonts w:ascii="Calibri" w:hAnsi="Calibri"/>
          <w:szCs w:val="20"/>
        </w:rPr>
        <w:t>percent</w:t>
      </w:r>
      <w:proofErr w:type="spellEnd"/>
      <w:r w:rsidRPr="00006923">
        <w:rPr>
          <w:rFonts w:ascii="Calibri" w:hAnsi="Calibri"/>
          <w:szCs w:val="20"/>
        </w:rPr>
        <w:t xml:space="preserve"> following seed and fertilizer emergency assistance. This helped raise farm income and food availability, thus dampening the negative effects of the global food prices spike on vulnerable households.</w:t>
      </w:r>
    </w:p>
    <w:p w:rsidR="009A5FEB" w:rsidRPr="00BB6A35" w:rsidRDefault="002B0EB5" w:rsidP="0029179C">
      <w:pPr>
        <w:pStyle w:val="Heading2"/>
        <w:keepLines/>
        <w:spacing w:before="0" w:after="120"/>
      </w:pPr>
      <w:bookmarkStart w:id="10" w:name="_Toc360699276"/>
      <w:bookmarkStart w:id="11" w:name="_Toc360703385"/>
      <w:r>
        <w:t>Portfolio Review</w:t>
      </w:r>
      <w:bookmarkEnd w:id="10"/>
      <w:bookmarkEnd w:id="11"/>
    </w:p>
    <w:p w:rsidR="00213E79" w:rsidRPr="007A0A70" w:rsidRDefault="00213E79" w:rsidP="007A0A70">
      <w:pPr>
        <w:pStyle w:val="H3A"/>
        <w:rPr>
          <w:b w:val="0"/>
          <w:bCs/>
        </w:rPr>
      </w:pPr>
      <w:bookmarkStart w:id="12" w:name="_Toc360699277"/>
      <w:bookmarkStart w:id="13" w:name="_Toc360703386"/>
      <w:r w:rsidRPr="007A0A70">
        <w:rPr>
          <w:b w:val="0"/>
          <w:bCs/>
        </w:rPr>
        <w:t>Portfolio Review</w:t>
      </w:r>
      <w:bookmarkEnd w:id="12"/>
      <w:bookmarkEnd w:id="13"/>
    </w:p>
    <w:p w:rsidR="00006923" w:rsidRPr="00006923" w:rsidRDefault="00006923" w:rsidP="007A0A70">
      <w:pPr>
        <w:pStyle w:val="H4A"/>
      </w:pPr>
      <w:r w:rsidRPr="00006923">
        <w:t xml:space="preserve">Quality scores show improvements in Sustainability and M&amp;E, but Gender still a challenge </w:t>
      </w:r>
    </w:p>
    <w:p w:rsidR="00006923" w:rsidRPr="00006923" w:rsidRDefault="00006923" w:rsidP="0029179C">
      <w:pPr>
        <w:spacing w:after="120"/>
        <w:rPr>
          <w:rFonts w:ascii="Calibri" w:hAnsi="Calibri"/>
        </w:rPr>
      </w:pPr>
      <w:proofErr w:type="spellStart"/>
      <w:r w:rsidRPr="00006923">
        <w:rPr>
          <w:rFonts w:ascii="Calibri" w:hAnsi="Calibri"/>
        </w:rPr>
        <w:t>AusAID’s</w:t>
      </w:r>
      <w:proofErr w:type="spellEnd"/>
      <w:r w:rsidRPr="00006923">
        <w:rPr>
          <w:rFonts w:ascii="Calibri" w:hAnsi="Calibri"/>
        </w:rPr>
        <w:t xml:space="preserve"> internal performance monitoring processes </w:t>
      </w:r>
      <w:r w:rsidR="00745B64">
        <w:rPr>
          <w:rFonts w:ascii="Calibri" w:hAnsi="Calibri"/>
        </w:rPr>
        <w:t>show a</w:t>
      </w:r>
      <w:r w:rsidRPr="00006923">
        <w:rPr>
          <w:rFonts w:ascii="Calibri" w:hAnsi="Calibri"/>
        </w:rPr>
        <w:t>n increasing proportion of RD programs are completing Q</w:t>
      </w:r>
      <w:r w:rsidR="00745B64">
        <w:rPr>
          <w:rFonts w:ascii="Calibri" w:hAnsi="Calibri"/>
        </w:rPr>
        <w:t>uality At Implementation (QAI) reports</w:t>
      </w:r>
      <w:r w:rsidRPr="00006923">
        <w:rPr>
          <w:rFonts w:ascii="Calibri" w:hAnsi="Calibri"/>
        </w:rPr>
        <w:t xml:space="preserve"> (a total of 38 QAIs were available for 2009-10, up from 29 in the two previous years) which permits some broad trends to be observed across the portfolio (Table 2).  Whilst consistency of scoring and interpretation will always be a challenge, the QAI summaries provide a useful basis from which closer scrutiny of specific issues can be made, for example through more detailed portfolio and program reviews.  </w:t>
      </w:r>
    </w:p>
    <w:p w:rsidR="00CB5060" w:rsidRDefault="00006923" w:rsidP="0029179C">
      <w:pPr>
        <w:spacing w:after="120"/>
        <w:rPr>
          <w:rFonts w:ascii="Calibri" w:hAnsi="Calibri"/>
          <w:szCs w:val="20"/>
        </w:rPr>
      </w:pPr>
      <w:r w:rsidRPr="00006923">
        <w:rPr>
          <w:rFonts w:ascii="Calibri" w:hAnsi="Calibri"/>
        </w:rPr>
        <w:t xml:space="preserve">Sustainability was identified as a key challenge for RD programs in the 2007-08 Annual Review of Development Effectiveness.  Sustainability QAI scores have consistently improved since then, from 69 per cent satisfactory in 2007-08 to 83 in 2008-09 and now 87 per cent.  The ability of RD programs to effectively measure progress towards objectives has also improved strongly, from 62 per cent in 2007-08, to 59 per cent last year and now 84 per cent.  The extent to which RD programs consistently advance gender equality remains a challenge; this was not assessed in prior years, but 21 per cent of initiatives received an unsatisfactory rating and there were no very high quality scores in 2009-10.  The </w:t>
      </w:r>
      <w:r w:rsidRPr="00006923">
        <w:rPr>
          <w:rFonts w:ascii="Calibri" w:hAnsi="Calibri"/>
          <w:szCs w:val="20"/>
        </w:rPr>
        <w:t>scores for efficiency and effectiveness also suggest that greater clarity about the results we are seeking to obtain</w:t>
      </w:r>
      <w:r w:rsidR="00C94154">
        <w:rPr>
          <w:rFonts w:ascii="Calibri" w:hAnsi="Calibri"/>
          <w:szCs w:val="20"/>
        </w:rPr>
        <w:t xml:space="preserve"> is needed</w:t>
      </w:r>
      <w:r w:rsidRPr="00006923">
        <w:rPr>
          <w:rFonts w:ascii="Calibri" w:hAnsi="Calibri"/>
          <w:szCs w:val="20"/>
        </w:rPr>
        <w:t>, and the most efficient way of obtaining those in ways that will be sustained.</w:t>
      </w:r>
    </w:p>
    <w:p w:rsidR="00632212" w:rsidRDefault="00CB5060" w:rsidP="00CB5060">
      <w:pPr>
        <w:rPr>
          <w:rFonts w:ascii="Calibri" w:hAnsi="Calibri"/>
          <w:szCs w:val="20"/>
        </w:rPr>
      </w:pPr>
      <w:r>
        <w:rPr>
          <w:rFonts w:ascii="Calibri" w:hAnsi="Calibri"/>
          <w:szCs w:val="20"/>
        </w:rPr>
        <w:br w:type="page"/>
      </w:r>
    </w:p>
    <w:p w:rsidR="0072752A" w:rsidRDefault="00632212" w:rsidP="0072752A">
      <w:pPr>
        <w:pStyle w:val="Caption1"/>
      </w:pPr>
      <w:proofErr w:type="gramStart"/>
      <w:r w:rsidRPr="0072752A">
        <w:lastRenderedPageBreak/>
        <w:t>Table 2.</w:t>
      </w:r>
      <w:proofErr w:type="gramEnd"/>
      <w:r w:rsidRPr="0072752A">
        <w:t xml:space="preserve"> Quality at Implementation Reports – Rating of Objectives 2009-10</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725"/>
        <w:gridCol w:w="564"/>
        <w:gridCol w:w="813"/>
        <w:gridCol w:w="565"/>
        <w:gridCol w:w="813"/>
        <w:gridCol w:w="565"/>
        <w:gridCol w:w="813"/>
        <w:gridCol w:w="565"/>
        <w:gridCol w:w="813"/>
        <w:gridCol w:w="565"/>
        <w:gridCol w:w="813"/>
        <w:gridCol w:w="565"/>
      </w:tblGrid>
      <w:tr w:rsidR="002F57CD" w:rsidRPr="00764AC1" w:rsidTr="00CB5060">
        <w:trPr>
          <w:cantSplit/>
          <w:trHeight w:val="382"/>
          <w:tblHeader/>
        </w:trPr>
        <w:tc>
          <w:tcPr>
            <w:tcW w:w="1545" w:type="dxa"/>
            <w:vMerge w:val="restart"/>
            <w:shd w:val="clear" w:color="auto" w:fill="CCCCCC"/>
          </w:tcPr>
          <w:p w:rsidR="00632212" w:rsidRPr="00764AC1" w:rsidRDefault="00632212" w:rsidP="00764AC1">
            <w:pPr>
              <w:keepNext/>
              <w:jc w:val="center"/>
              <w:rPr>
                <w:rFonts w:ascii="Calibri" w:hAnsi="Calibri"/>
                <w:b/>
                <w:sz w:val="16"/>
                <w:szCs w:val="16"/>
              </w:rPr>
            </w:pPr>
          </w:p>
        </w:tc>
        <w:tc>
          <w:tcPr>
            <w:tcW w:w="1288" w:type="dxa"/>
            <w:gridSpan w:val="2"/>
            <w:shd w:val="clear" w:color="auto" w:fill="CCCCCC"/>
          </w:tcPr>
          <w:p w:rsidR="00632212" w:rsidRPr="00764AC1" w:rsidRDefault="00632212" w:rsidP="00764AC1">
            <w:pPr>
              <w:keepNext/>
              <w:jc w:val="center"/>
              <w:rPr>
                <w:rFonts w:ascii="Calibri" w:hAnsi="Calibri"/>
                <w:b/>
                <w:sz w:val="16"/>
                <w:szCs w:val="16"/>
              </w:rPr>
            </w:pPr>
            <w:r w:rsidRPr="00764AC1">
              <w:rPr>
                <w:rFonts w:ascii="Calibri" w:hAnsi="Calibri"/>
                <w:b/>
                <w:sz w:val="16"/>
                <w:szCs w:val="16"/>
              </w:rPr>
              <w:t>Relevance</w:t>
            </w:r>
          </w:p>
        </w:tc>
        <w:tc>
          <w:tcPr>
            <w:tcW w:w="1378" w:type="dxa"/>
            <w:gridSpan w:val="2"/>
            <w:shd w:val="clear" w:color="auto" w:fill="CCCCCC"/>
          </w:tcPr>
          <w:p w:rsidR="00632212" w:rsidRPr="00764AC1" w:rsidRDefault="00632212" w:rsidP="00764AC1">
            <w:pPr>
              <w:keepNext/>
              <w:jc w:val="center"/>
              <w:rPr>
                <w:rFonts w:ascii="Calibri" w:hAnsi="Calibri"/>
                <w:b/>
                <w:sz w:val="16"/>
                <w:szCs w:val="16"/>
              </w:rPr>
            </w:pPr>
            <w:r w:rsidRPr="00764AC1">
              <w:rPr>
                <w:rFonts w:ascii="Calibri" w:hAnsi="Calibri"/>
                <w:b/>
                <w:sz w:val="16"/>
                <w:szCs w:val="16"/>
              </w:rPr>
              <w:t>Effectiveness</w:t>
            </w:r>
          </w:p>
        </w:tc>
        <w:tc>
          <w:tcPr>
            <w:tcW w:w="1378" w:type="dxa"/>
            <w:gridSpan w:val="2"/>
            <w:shd w:val="clear" w:color="auto" w:fill="CCCCCC"/>
          </w:tcPr>
          <w:p w:rsidR="00632212" w:rsidRPr="00764AC1" w:rsidRDefault="00632212" w:rsidP="00764AC1">
            <w:pPr>
              <w:keepNext/>
              <w:jc w:val="center"/>
              <w:rPr>
                <w:rFonts w:ascii="Calibri" w:hAnsi="Calibri"/>
                <w:b/>
                <w:sz w:val="16"/>
                <w:szCs w:val="16"/>
              </w:rPr>
            </w:pPr>
            <w:r w:rsidRPr="00764AC1">
              <w:rPr>
                <w:rFonts w:ascii="Calibri" w:hAnsi="Calibri"/>
                <w:b/>
                <w:sz w:val="16"/>
                <w:szCs w:val="16"/>
              </w:rPr>
              <w:t>Efficiency</w:t>
            </w:r>
          </w:p>
        </w:tc>
        <w:tc>
          <w:tcPr>
            <w:tcW w:w="1378" w:type="dxa"/>
            <w:gridSpan w:val="2"/>
            <w:shd w:val="clear" w:color="auto" w:fill="CCCCCC"/>
          </w:tcPr>
          <w:p w:rsidR="00632212" w:rsidRPr="00764AC1" w:rsidRDefault="00632212" w:rsidP="00764AC1">
            <w:pPr>
              <w:keepNext/>
              <w:jc w:val="center"/>
              <w:rPr>
                <w:rFonts w:ascii="Calibri" w:hAnsi="Calibri"/>
                <w:b/>
                <w:sz w:val="16"/>
                <w:szCs w:val="16"/>
              </w:rPr>
            </w:pPr>
            <w:r w:rsidRPr="00764AC1">
              <w:rPr>
                <w:rFonts w:ascii="Calibri" w:hAnsi="Calibri"/>
                <w:b/>
                <w:sz w:val="16"/>
                <w:szCs w:val="16"/>
              </w:rPr>
              <w:t>Monitoring and Evaluation</w:t>
            </w:r>
          </w:p>
        </w:tc>
        <w:tc>
          <w:tcPr>
            <w:tcW w:w="1378" w:type="dxa"/>
            <w:gridSpan w:val="2"/>
            <w:shd w:val="clear" w:color="auto" w:fill="CCCCCC"/>
          </w:tcPr>
          <w:p w:rsidR="00632212" w:rsidRPr="00764AC1" w:rsidRDefault="00632212" w:rsidP="00764AC1">
            <w:pPr>
              <w:keepNext/>
              <w:jc w:val="center"/>
              <w:rPr>
                <w:rFonts w:ascii="Calibri" w:hAnsi="Calibri"/>
                <w:b/>
                <w:sz w:val="16"/>
                <w:szCs w:val="16"/>
              </w:rPr>
            </w:pPr>
            <w:r w:rsidRPr="00764AC1">
              <w:rPr>
                <w:rFonts w:ascii="Calibri" w:hAnsi="Calibri"/>
                <w:b/>
                <w:sz w:val="16"/>
                <w:szCs w:val="16"/>
              </w:rPr>
              <w:t>Sustainability</w:t>
            </w:r>
          </w:p>
        </w:tc>
        <w:tc>
          <w:tcPr>
            <w:tcW w:w="1378" w:type="dxa"/>
            <w:gridSpan w:val="2"/>
            <w:shd w:val="clear" w:color="auto" w:fill="CCCCCC"/>
          </w:tcPr>
          <w:p w:rsidR="00632212" w:rsidRPr="00764AC1" w:rsidRDefault="00632212" w:rsidP="00764AC1">
            <w:pPr>
              <w:keepNext/>
              <w:jc w:val="center"/>
              <w:rPr>
                <w:rFonts w:ascii="Calibri" w:hAnsi="Calibri"/>
                <w:b/>
                <w:sz w:val="16"/>
                <w:szCs w:val="16"/>
              </w:rPr>
            </w:pPr>
            <w:r w:rsidRPr="00764AC1">
              <w:rPr>
                <w:rFonts w:ascii="Calibri" w:hAnsi="Calibri"/>
                <w:b/>
                <w:sz w:val="16"/>
                <w:szCs w:val="16"/>
              </w:rPr>
              <w:t>Gender Equality</w:t>
            </w:r>
          </w:p>
        </w:tc>
      </w:tr>
      <w:tr w:rsidR="002F57CD" w:rsidRPr="00764AC1" w:rsidTr="00CB5060">
        <w:trPr>
          <w:cantSplit/>
          <w:trHeight w:val="145"/>
          <w:tblHeader/>
        </w:trPr>
        <w:tc>
          <w:tcPr>
            <w:tcW w:w="1545" w:type="dxa"/>
            <w:vMerge/>
            <w:shd w:val="clear" w:color="auto" w:fill="CCCCCC"/>
          </w:tcPr>
          <w:p w:rsidR="00632212" w:rsidRPr="00764AC1" w:rsidRDefault="00632212" w:rsidP="007B23FD">
            <w:pPr>
              <w:rPr>
                <w:rFonts w:ascii="Calibri" w:hAnsi="Calibri"/>
                <w:b/>
                <w:sz w:val="16"/>
                <w:szCs w:val="16"/>
              </w:rPr>
            </w:pPr>
          </w:p>
        </w:tc>
        <w:tc>
          <w:tcPr>
            <w:tcW w:w="725" w:type="dxa"/>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No.</w:t>
            </w:r>
          </w:p>
        </w:tc>
        <w:tc>
          <w:tcPr>
            <w:tcW w:w="564" w:type="dxa"/>
            <w:tcBorders>
              <w:bottom w:val="single" w:sz="4" w:space="0" w:color="auto"/>
            </w:tcBorders>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w:t>
            </w:r>
          </w:p>
        </w:tc>
        <w:tc>
          <w:tcPr>
            <w:tcW w:w="813" w:type="dxa"/>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No.</w:t>
            </w:r>
          </w:p>
        </w:tc>
        <w:tc>
          <w:tcPr>
            <w:tcW w:w="565" w:type="dxa"/>
            <w:tcBorders>
              <w:bottom w:val="single" w:sz="4" w:space="0" w:color="auto"/>
            </w:tcBorders>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w:t>
            </w:r>
          </w:p>
        </w:tc>
        <w:tc>
          <w:tcPr>
            <w:tcW w:w="813" w:type="dxa"/>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No.</w:t>
            </w:r>
          </w:p>
        </w:tc>
        <w:tc>
          <w:tcPr>
            <w:tcW w:w="565" w:type="dxa"/>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w:t>
            </w:r>
          </w:p>
        </w:tc>
        <w:tc>
          <w:tcPr>
            <w:tcW w:w="813" w:type="dxa"/>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No.</w:t>
            </w:r>
          </w:p>
        </w:tc>
        <w:tc>
          <w:tcPr>
            <w:tcW w:w="565" w:type="dxa"/>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w:t>
            </w:r>
          </w:p>
        </w:tc>
        <w:tc>
          <w:tcPr>
            <w:tcW w:w="813" w:type="dxa"/>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No.</w:t>
            </w:r>
          </w:p>
        </w:tc>
        <w:tc>
          <w:tcPr>
            <w:tcW w:w="565" w:type="dxa"/>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w:t>
            </w:r>
          </w:p>
        </w:tc>
        <w:tc>
          <w:tcPr>
            <w:tcW w:w="813" w:type="dxa"/>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No.</w:t>
            </w:r>
          </w:p>
        </w:tc>
        <w:tc>
          <w:tcPr>
            <w:tcW w:w="565" w:type="dxa"/>
            <w:shd w:val="clear" w:color="auto" w:fill="CCCCCC"/>
          </w:tcPr>
          <w:p w:rsidR="00632212" w:rsidRPr="00764AC1" w:rsidRDefault="00632212" w:rsidP="00764AC1">
            <w:pPr>
              <w:jc w:val="center"/>
              <w:rPr>
                <w:rFonts w:ascii="Calibri" w:hAnsi="Calibri"/>
                <w:b/>
                <w:sz w:val="16"/>
                <w:szCs w:val="16"/>
              </w:rPr>
            </w:pPr>
            <w:r w:rsidRPr="00764AC1">
              <w:rPr>
                <w:rFonts w:ascii="Calibri" w:hAnsi="Calibri"/>
                <w:b/>
                <w:sz w:val="16"/>
                <w:szCs w:val="16"/>
              </w:rPr>
              <w:t>%</w:t>
            </w:r>
          </w:p>
        </w:tc>
      </w:tr>
      <w:tr w:rsidR="002F57CD" w:rsidRPr="00764AC1" w:rsidTr="00CB5060">
        <w:trPr>
          <w:cantSplit/>
          <w:trHeight w:val="486"/>
        </w:trPr>
        <w:tc>
          <w:tcPr>
            <w:tcW w:w="1545" w:type="dxa"/>
            <w:shd w:val="clear" w:color="auto" w:fill="auto"/>
          </w:tcPr>
          <w:p w:rsidR="00632212" w:rsidRPr="00764AC1" w:rsidRDefault="00632212" w:rsidP="007B23FD">
            <w:pPr>
              <w:rPr>
                <w:rFonts w:ascii="Calibri" w:hAnsi="Calibri"/>
                <w:sz w:val="16"/>
                <w:szCs w:val="16"/>
              </w:rPr>
            </w:pPr>
            <w:r w:rsidRPr="00764AC1">
              <w:rPr>
                <w:rFonts w:ascii="Calibri" w:hAnsi="Calibri"/>
                <w:sz w:val="16"/>
                <w:szCs w:val="16"/>
              </w:rPr>
              <w:t>Very high quality</w:t>
            </w:r>
          </w:p>
        </w:tc>
        <w:tc>
          <w:tcPr>
            <w:tcW w:w="725"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11</w:t>
            </w:r>
          </w:p>
        </w:tc>
        <w:tc>
          <w:tcPr>
            <w:tcW w:w="564"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29</w:t>
            </w:r>
          </w:p>
        </w:tc>
        <w:tc>
          <w:tcPr>
            <w:tcW w:w="813"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2</w:t>
            </w:r>
          </w:p>
        </w:tc>
        <w:tc>
          <w:tcPr>
            <w:tcW w:w="565"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spacing w:line="360" w:lineRule="auto"/>
              <w:jc w:val="center"/>
              <w:rPr>
                <w:rFonts w:ascii="Calibri" w:hAnsi="Calibri"/>
                <w:sz w:val="16"/>
                <w:szCs w:val="16"/>
              </w:rPr>
            </w:pPr>
            <w:r w:rsidRPr="00764AC1">
              <w:rPr>
                <w:rFonts w:ascii="Calibri" w:hAnsi="Calibri"/>
                <w:sz w:val="16"/>
                <w:szCs w:val="16"/>
              </w:rPr>
              <w:t>5</w:t>
            </w:r>
          </w:p>
        </w:tc>
        <w:tc>
          <w:tcPr>
            <w:tcW w:w="813"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w:t>
            </w:r>
          </w:p>
        </w:tc>
        <w:tc>
          <w:tcPr>
            <w:tcW w:w="565"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3</w:t>
            </w:r>
          </w:p>
        </w:tc>
        <w:tc>
          <w:tcPr>
            <w:tcW w:w="813"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w:t>
            </w:r>
          </w:p>
        </w:tc>
        <w:tc>
          <w:tcPr>
            <w:tcW w:w="565"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3</w:t>
            </w:r>
          </w:p>
        </w:tc>
        <w:tc>
          <w:tcPr>
            <w:tcW w:w="813"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w:t>
            </w:r>
          </w:p>
        </w:tc>
        <w:tc>
          <w:tcPr>
            <w:tcW w:w="565"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3</w:t>
            </w:r>
          </w:p>
        </w:tc>
        <w:tc>
          <w:tcPr>
            <w:tcW w:w="813"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565"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0</w:t>
            </w:r>
          </w:p>
        </w:tc>
      </w:tr>
      <w:tr w:rsidR="002F57CD" w:rsidRPr="00764AC1" w:rsidTr="00CB5060">
        <w:trPr>
          <w:cantSplit/>
          <w:trHeight w:val="197"/>
        </w:trPr>
        <w:tc>
          <w:tcPr>
            <w:tcW w:w="1545" w:type="dxa"/>
            <w:shd w:val="clear" w:color="auto" w:fill="auto"/>
          </w:tcPr>
          <w:p w:rsidR="00632212" w:rsidRPr="00764AC1" w:rsidRDefault="00632212" w:rsidP="007B23FD">
            <w:pPr>
              <w:rPr>
                <w:rFonts w:ascii="Calibri" w:hAnsi="Calibri"/>
                <w:sz w:val="16"/>
                <w:szCs w:val="16"/>
              </w:rPr>
            </w:pPr>
            <w:r w:rsidRPr="00764AC1">
              <w:rPr>
                <w:rFonts w:ascii="Calibri" w:hAnsi="Calibri"/>
                <w:sz w:val="16"/>
                <w:szCs w:val="16"/>
              </w:rPr>
              <w:t>Good quality</w:t>
            </w:r>
          </w:p>
        </w:tc>
        <w:tc>
          <w:tcPr>
            <w:tcW w:w="725"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18</w:t>
            </w:r>
          </w:p>
        </w:tc>
        <w:tc>
          <w:tcPr>
            <w:tcW w:w="564"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47</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16</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42</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12</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31</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9</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23</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17</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45</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14</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37</w:t>
            </w:r>
          </w:p>
        </w:tc>
      </w:tr>
      <w:tr w:rsidR="002F57CD" w:rsidRPr="00764AC1" w:rsidTr="00CB5060">
        <w:trPr>
          <w:cantSplit/>
          <w:trHeight w:val="914"/>
        </w:trPr>
        <w:tc>
          <w:tcPr>
            <w:tcW w:w="1545" w:type="dxa"/>
            <w:tcBorders>
              <w:bottom w:val="single" w:sz="4" w:space="0" w:color="auto"/>
            </w:tcBorders>
            <w:shd w:val="clear" w:color="auto" w:fill="auto"/>
          </w:tcPr>
          <w:p w:rsidR="00632212" w:rsidRPr="00764AC1" w:rsidRDefault="00632212" w:rsidP="007B23FD">
            <w:pPr>
              <w:rPr>
                <w:rFonts w:ascii="Calibri" w:hAnsi="Calibri"/>
                <w:sz w:val="16"/>
                <w:szCs w:val="16"/>
              </w:rPr>
            </w:pPr>
            <w:r w:rsidRPr="00764AC1">
              <w:rPr>
                <w:rFonts w:ascii="Calibri" w:hAnsi="Calibri"/>
                <w:sz w:val="16"/>
                <w:szCs w:val="16"/>
              </w:rPr>
              <w:t>Adequate (needs work to improve)</w:t>
            </w:r>
          </w:p>
        </w:tc>
        <w:tc>
          <w:tcPr>
            <w:tcW w:w="725" w:type="dxa"/>
            <w:tcBorders>
              <w:bottom w:val="single" w:sz="4" w:space="0" w:color="auto"/>
            </w:tcBorders>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8</w:t>
            </w:r>
          </w:p>
        </w:tc>
        <w:tc>
          <w:tcPr>
            <w:tcW w:w="564" w:type="dxa"/>
            <w:tcBorders>
              <w:bottom w:val="single" w:sz="4" w:space="0" w:color="auto"/>
            </w:tcBorders>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21</w:t>
            </w:r>
          </w:p>
        </w:tc>
        <w:tc>
          <w:tcPr>
            <w:tcW w:w="813" w:type="dxa"/>
            <w:tcBorders>
              <w:bottom w:val="single" w:sz="4" w:space="0" w:color="auto"/>
            </w:tcBorders>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16</w:t>
            </w:r>
          </w:p>
        </w:tc>
        <w:tc>
          <w:tcPr>
            <w:tcW w:w="565" w:type="dxa"/>
            <w:tcBorders>
              <w:bottom w:val="single" w:sz="4" w:space="0" w:color="auto"/>
            </w:tcBorders>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42</w:t>
            </w:r>
          </w:p>
        </w:tc>
        <w:tc>
          <w:tcPr>
            <w:tcW w:w="813" w:type="dxa"/>
            <w:tcBorders>
              <w:bottom w:val="single" w:sz="4" w:space="0" w:color="auto"/>
            </w:tcBorders>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15</w:t>
            </w:r>
          </w:p>
        </w:tc>
        <w:tc>
          <w:tcPr>
            <w:tcW w:w="565" w:type="dxa"/>
            <w:tcBorders>
              <w:bottom w:val="single" w:sz="4" w:space="0" w:color="auto"/>
            </w:tcBorders>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40</w:t>
            </w:r>
          </w:p>
        </w:tc>
        <w:tc>
          <w:tcPr>
            <w:tcW w:w="813" w:type="dxa"/>
            <w:tcBorders>
              <w:bottom w:val="single" w:sz="4" w:space="0" w:color="auto"/>
            </w:tcBorders>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22</w:t>
            </w:r>
          </w:p>
        </w:tc>
        <w:tc>
          <w:tcPr>
            <w:tcW w:w="565" w:type="dxa"/>
            <w:tcBorders>
              <w:bottom w:val="single" w:sz="4" w:space="0" w:color="auto"/>
            </w:tcBorders>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58</w:t>
            </w:r>
          </w:p>
        </w:tc>
        <w:tc>
          <w:tcPr>
            <w:tcW w:w="813" w:type="dxa"/>
            <w:tcBorders>
              <w:bottom w:val="single" w:sz="4" w:space="0" w:color="auto"/>
            </w:tcBorders>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15</w:t>
            </w:r>
          </w:p>
        </w:tc>
        <w:tc>
          <w:tcPr>
            <w:tcW w:w="565" w:type="dxa"/>
            <w:tcBorders>
              <w:bottom w:val="single" w:sz="4" w:space="0" w:color="auto"/>
            </w:tcBorders>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39</w:t>
            </w:r>
          </w:p>
        </w:tc>
        <w:tc>
          <w:tcPr>
            <w:tcW w:w="813" w:type="dxa"/>
            <w:tcBorders>
              <w:bottom w:val="single" w:sz="4" w:space="0" w:color="auto"/>
            </w:tcBorders>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16</w:t>
            </w:r>
          </w:p>
        </w:tc>
        <w:tc>
          <w:tcPr>
            <w:tcW w:w="565" w:type="dxa"/>
            <w:tcBorders>
              <w:bottom w:val="single" w:sz="4" w:space="0" w:color="auto"/>
            </w:tcBorders>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42</w:t>
            </w:r>
          </w:p>
        </w:tc>
      </w:tr>
      <w:tr w:rsidR="002F57CD" w:rsidRPr="00764AC1" w:rsidTr="00CB5060">
        <w:trPr>
          <w:cantSplit/>
          <w:trHeight w:val="843"/>
        </w:trPr>
        <w:tc>
          <w:tcPr>
            <w:tcW w:w="1545" w:type="dxa"/>
            <w:shd w:val="clear" w:color="auto" w:fill="C0C0C0"/>
          </w:tcPr>
          <w:p w:rsidR="00632212" w:rsidRPr="00764AC1" w:rsidRDefault="00632212" w:rsidP="00764AC1">
            <w:pPr>
              <w:jc w:val="center"/>
              <w:rPr>
                <w:rFonts w:ascii="Calibri" w:hAnsi="Calibri"/>
                <w:i/>
                <w:sz w:val="16"/>
                <w:szCs w:val="16"/>
              </w:rPr>
            </w:pPr>
            <w:r w:rsidRPr="00764AC1">
              <w:rPr>
                <w:rFonts w:ascii="Calibri" w:hAnsi="Calibri"/>
                <w:i/>
                <w:sz w:val="16"/>
                <w:szCs w:val="16"/>
              </w:rPr>
              <w:t>Sub-total Satisfactory</w:t>
            </w:r>
          </w:p>
        </w:tc>
        <w:tc>
          <w:tcPr>
            <w:tcW w:w="725"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37</w:t>
            </w:r>
          </w:p>
        </w:tc>
        <w:tc>
          <w:tcPr>
            <w:tcW w:w="564"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97</w:t>
            </w:r>
          </w:p>
        </w:tc>
        <w:tc>
          <w:tcPr>
            <w:tcW w:w="813"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38</w:t>
            </w:r>
          </w:p>
        </w:tc>
        <w:tc>
          <w:tcPr>
            <w:tcW w:w="565"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89</w:t>
            </w:r>
          </w:p>
        </w:tc>
        <w:tc>
          <w:tcPr>
            <w:tcW w:w="813"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28</w:t>
            </w:r>
          </w:p>
        </w:tc>
        <w:tc>
          <w:tcPr>
            <w:tcW w:w="565"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74</w:t>
            </w:r>
          </w:p>
        </w:tc>
        <w:tc>
          <w:tcPr>
            <w:tcW w:w="813"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32</w:t>
            </w:r>
          </w:p>
        </w:tc>
        <w:tc>
          <w:tcPr>
            <w:tcW w:w="565"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84</w:t>
            </w:r>
          </w:p>
        </w:tc>
        <w:tc>
          <w:tcPr>
            <w:tcW w:w="813"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33</w:t>
            </w:r>
          </w:p>
        </w:tc>
        <w:tc>
          <w:tcPr>
            <w:tcW w:w="565"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87</w:t>
            </w:r>
          </w:p>
        </w:tc>
        <w:tc>
          <w:tcPr>
            <w:tcW w:w="813"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30</w:t>
            </w:r>
          </w:p>
        </w:tc>
        <w:tc>
          <w:tcPr>
            <w:tcW w:w="565" w:type="dxa"/>
            <w:shd w:val="clear" w:color="auto" w:fill="C0C0C0"/>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79</w:t>
            </w:r>
          </w:p>
        </w:tc>
      </w:tr>
      <w:tr w:rsidR="002F57CD" w:rsidRPr="00764AC1" w:rsidTr="00CB5060">
        <w:trPr>
          <w:cantSplit/>
          <w:trHeight w:val="578"/>
        </w:trPr>
        <w:tc>
          <w:tcPr>
            <w:tcW w:w="1545" w:type="dxa"/>
            <w:shd w:val="clear" w:color="auto" w:fill="auto"/>
          </w:tcPr>
          <w:p w:rsidR="00632212" w:rsidRPr="00764AC1" w:rsidRDefault="00632212" w:rsidP="007B23FD">
            <w:pPr>
              <w:rPr>
                <w:rFonts w:ascii="Calibri" w:hAnsi="Calibri"/>
                <w:sz w:val="16"/>
                <w:szCs w:val="16"/>
              </w:rPr>
            </w:pPr>
            <w:r w:rsidRPr="00764AC1">
              <w:rPr>
                <w:rFonts w:ascii="Calibri" w:hAnsi="Calibri"/>
                <w:sz w:val="16"/>
                <w:szCs w:val="16"/>
              </w:rPr>
              <w:t>Less than adequate</w:t>
            </w:r>
          </w:p>
        </w:tc>
        <w:tc>
          <w:tcPr>
            <w:tcW w:w="725"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564"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813"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3</w:t>
            </w:r>
          </w:p>
        </w:tc>
        <w:tc>
          <w:tcPr>
            <w:tcW w:w="565"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8</w:t>
            </w:r>
          </w:p>
        </w:tc>
        <w:tc>
          <w:tcPr>
            <w:tcW w:w="813"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10</w:t>
            </w:r>
          </w:p>
        </w:tc>
        <w:tc>
          <w:tcPr>
            <w:tcW w:w="565"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26</w:t>
            </w:r>
          </w:p>
        </w:tc>
        <w:tc>
          <w:tcPr>
            <w:tcW w:w="813"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5</w:t>
            </w:r>
          </w:p>
        </w:tc>
        <w:tc>
          <w:tcPr>
            <w:tcW w:w="565"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13</w:t>
            </w:r>
          </w:p>
        </w:tc>
        <w:tc>
          <w:tcPr>
            <w:tcW w:w="813"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5</w:t>
            </w:r>
          </w:p>
        </w:tc>
        <w:tc>
          <w:tcPr>
            <w:tcW w:w="565"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13</w:t>
            </w:r>
          </w:p>
        </w:tc>
        <w:tc>
          <w:tcPr>
            <w:tcW w:w="813" w:type="dxa"/>
            <w:shd w:val="clear" w:color="auto" w:fill="CCFFFF"/>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7</w:t>
            </w:r>
          </w:p>
          <w:p w:rsidR="00632212" w:rsidRPr="00764AC1" w:rsidRDefault="00632212" w:rsidP="00764AC1">
            <w:pPr>
              <w:jc w:val="center"/>
              <w:rPr>
                <w:rFonts w:ascii="Calibri" w:hAnsi="Calibri"/>
                <w:sz w:val="16"/>
                <w:szCs w:val="16"/>
              </w:rPr>
            </w:pPr>
          </w:p>
        </w:tc>
        <w:tc>
          <w:tcPr>
            <w:tcW w:w="565" w:type="dxa"/>
            <w:shd w:val="clear" w:color="auto" w:fill="FFFF99"/>
          </w:tcPr>
          <w:p w:rsidR="00632212" w:rsidRPr="00764AC1" w:rsidRDefault="00632212" w:rsidP="00764AC1">
            <w:pPr>
              <w:jc w:val="center"/>
              <w:rPr>
                <w:rFonts w:ascii="Calibri" w:hAnsi="Calibri"/>
                <w:sz w:val="16"/>
                <w:szCs w:val="16"/>
              </w:rPr>
            </w:pPr>
          </w:p>
          <w:p w:rsidR="00632212" w:rsidRPr="00764AC1" w:rsidRDefault="00632212" w:rsidP="00764AC1">
            <w:pPr>
              <w:jc w:val="center"/>
              <w:rPr>
                <w:rFonts w:ascii="Calibri" w:hAnsi="Calibri"/>
                <w:sz w:val="16"/>
                <w:szCs w:val="16"/>
              </w:rPr>
            </w:pPr>
            <w:r w:rsidRPr="00764AC1">
              <w:rPr>
                <w:rFonts w:ascii="Calibri" w:hAnsi="Calibri"/>
                <w:sz w:val="16"/>
                <w:szCs w:val="16"/>
              </w:rPr>
              <w:t>18</w:t>
            </w:r>
          </w:p>
        </w:tc>
      </w:tr>
      <w:tr w:rsidR="002F57CD" w:rsidRPr="00764AC1" w:rsidTr="00CB5060">
        <w:trPr>
          <w:cantSplit/>
          <w:trHeight w:val="197"/>
        </w:trPr>
        <w:tc>
          <w:tcPr>
            <w:tcW w:w="1545" w:type="dxa"/>
            <w:shd w:val="clear" w:color="auto" w:fill="auto"/>
          </w:tcPr>
          <w:p w:rsidR="00632212" w:rsidRPr="00764AC1" w:rsidRDefault="00632212" w:rsidP="007B23FD">
            <w:pPr>
              <w:rPr>
                <w:rFonts w:ascii="Calibri" w:hAnsi="Calibri"/>
                <w:sz w:val="16"/>
                <w:szCs w:val="16"/>
              </w:rPr>
            </w:pPr>
            <w:r w:rsidRPr="00764AC1">
              <w:rPr>
                <w:rFonts w:ascii="Calibri" w:hAnsi="Calibri"/>
                <w:sz w:val="16"/>
                <w:szCs w:val="16"/>
              </w:rPr>
              <w:t>Poor quality</w:t>
            </w:r>
          </w:p>
        </w:tc>
        <w:tc>
          <w:tcPr>
            <w:tcW w:w="725"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1</w:t>
            </w:r>
          </w:p>
        </w:tc>
        <w:tc>
          <w:tcPr>
            <w:tcW w:w="564"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3</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1</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3</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1</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3</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 xml:space="preserve">0   </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1</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3</w:t>
            </w:r>
          </w:p>
        </w:tc>
      </w:tr>
      <w:tr w:rsidR="002F57CD" w:rsidRPr="00764AC1" w:rsidTr="00CB5060">
        <w:trPr>
          <w:cantSplit/>
          <w:trHeight w:val="197"/>
        </w:trPr>
        <w:tc>
          <w:tcPr>
            <w:tcW w:w="1545" w:type="dxa"/>
            <w:shd w:val="clear" w:color="auto" w:fill="auto"/>
          </w:tcPr>
          <w:p w:rsidR="00632212" w:rsidRPr="00764AC1" w:rsidRDefault="00632212" w:rsidP="007B23FD">
            <w:pPr>
              <w:rPr>
                <w:rFonts w:ascii="Calibri" w:hAnsi="Calibri"/>
                <w:sz w:val="16"/>
                <w:szCs w:val="16"/>
              </w:rPr>
            </w:pPr>
            <w:r w:rsidRPr="00764AC1">
              <w:rPr>
                <w:rFonts w:ascii="Calibri" w:hAnsi="Calibri"/>
                <w:sz w:val="16"/>
                <w:szCs w:val="16"/>
              </w:rPr>
              <w:t>Very poor quality</w:t>
            </w:r>
          </w:p>
        </w:tc>
        <w:tc>
          <w:tcPr>
            <w:tcW w:w="725"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564"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813" w:type="dxa"/>
            <w:shd w:val="clear" w:color="auto" w:fill="CCFFFF"/>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c>
          <w:tcPr>
            <w:tcW w:w="565" w:type="dxa"/>
            <w:shd w:val="clear" w:color="auto" w:fill="FFFF99"/>
          </w:tcPr>
          <w:p w:rsidR="00632212" w:rsidRPr="00764AC1" w:rsidRDefault="00632212" w:rsidP="00764AC1">
            <w:pPr>
              <w:jc w:val="center"/>
              <w:rPr>
                <w:rFonts w:ascii="Calibri" w:hAnsi="Calibri"/>
                <w:sz w:val="16"/>
                <w:szCs w:val="16"/>
              </w:rPr>
            </w:pPr>
            <w:r w:rsidRPr="00764AC1">
              <w:rPr>
                <w:rFonts w:ascii="Calibri" w:hAnsi="Calibri"/>
                <w:sz w:val="16"/>
                <w:szCs w:val="16"/>
              </w:rPr>
              <w:t>0</w:t>
            </w:r>
          </w:p>
        </w:tc>
      </w:tr>
      <w:tr w:rsidR="002F57CD" w:rsidRPr="00764AC1" w:rsidTr="00CB5060">
        <w:trPr>
          <w:cantSplit/>
          <w:trHeight w:val="70"/>
        </w:trPr>
        <w:tc>
          <w:tcPr>
            <w:tcW w:w="1545" w:type="dxa"/>
            <w:shd w:val="clear" w:color="auto" w:fill="CCCCCC"/>
          </w:tcPr>
          <w:p w:rsidR="00632212" w:rsidRPr="00764AC1" w:rsidRDefault="00632212" w:rsidP="007B23FD">
            <w:pPr>
              <w:rPr>
                <w:rFonts w:ascii="Calibri" w:hAnsi="Calibri"/>
                <w:b/>
                <w:i/>
                <w:sz w:val="16"/>
                <w:szCs w:val="16"/>
              </w:rPr>
            </w:pPr>
            <w:r w:rsidRPr="00764AC1">
              <w:rPr>
                <w:rFonts w:ascii="Calibri" w:hAnsi="Calibri"/>
                <w:i/>
                <w:sz w:val="16"/>
                <w:szCs w:val="16"/>
              </w:rPr>
              <w:t>Sub-total unsatisfactory</w:t>
            </w:r>
          </w:p>
        </w:tc>
        <w:tc>
          <w:tcPr>
            <w:tcW w:w="725"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1</w:t>
            </w:r>
          </w:p>
        </w:tc>
        <w:tc>
          <w:tcPr>
            <w:tcW w:w="564"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3</w:t>
            </w:r>
          </w:p>
        </w:tc>
        <w:tc>
          <w:tcPr>
            <w:tcW w:w="813"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4</w:t>
            </w:r>
          </w:p>
        </w:tc>
        <w:tc>
          <w:tcPr>
            <w:tcW w:w="565"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11</w:t>
            </w:r>
          </w:p>
        </w:tc>
        <w:tc>
          <w:tcPr>
            <w:tcW w:w="813"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10</w:t>
            </w:r>
          </w:p>
        </w:tc>
        <w:tc>
          <w:tcPr>
            <w:tcW w:w="565"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26</w:t>
            </w:r>
          </w:p>
        </w:tc>
        <w:tc>
          <w:tcPr>
            <w:tcW w:w="813"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6</w:t>
            </w:r>
          </w:p>
        </w:tc>
        <w:tc>
          <w:tcPr>
            <w:tcW w:w="565"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16</w:t>
            </w:r>
          </w:p>
        </w:tc>
        <w:tc>
          <w:tcPr>
            <w:tcW w:w="813"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5</w:t>
            </w:r>
          </w:p>
        </w:tc>
        <w:tc>
          <w:tcPr>
            <w:tcW w:w="565"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13</w:t>
            </w:r>
          </w:p>
        </w:tc>
        <w:tc>
          <w:tcPr>
            <w:tcW w:w="813"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8</w:t>
            </w:r>
          </w:p>
        </w:tc>
        <w:tc>
          <w:tcPr>
            <w:tcW w:w="565" w:type="dxa"/>
            <w:shd w:val="clear" w:color="auto" w:fill="CCCCCC"/>
          </w:tcPr>
          <w:p w:rsidR="00632212" w:rsidRPr="00764AC1" w:rsidRDefault="00632212" w:rsidP="00764AC1">
            <w:pPr>
              <w:jc w:val="center"/>
              <w:rPr>
                <w:rFonts w:ascii="Calibri" w:hAnsi="Calibri"/>
                <w:b/>
                <w:sz w:val="16"/>
                <w:szCs w:val="16"/>
              </w:rPr>
            </w:pPr>
          </w:p>
          <w:p w:rsidR="00632212" w:rsidRPr="00764AC1" w:rsidRDefault="00632212" w:rsidP="00764AC1">
            <w:pPr>
              <w:jc w:val="center"/>
              <w:rPr>
                <w:rFonts w:ascii="Calibri" w:hAnsi="Calibri"/>
                <w:b/>
                <w:sz w:val="16"/>
                <w:szCs w:val="16"/>
              </w:rPr>
            </w:pPr>
            <w:r w:rsidRPr="00764AC1">
              <w:rPr>
                <w:rFonts w:ascii="Calibri" w:hAnsi="Calibri"/>
                <w:b/>
                <w:sz w:val="16"/>
                <w:szCs w:val="16"/>
              </w:rPr>
              <w:t>21</w:t>
            </w:r>
          </w:p>
        </w:tc>
      </w:tr>
    </w:tbl>
    <w:p w:rsidR="00006923" w:rsidRPr="00006923" w:rsidRDefault="00006923" w:rsidP="007A0A70">
      <w:pPr>
        <w:pStyle w:val="H4A"/>
        <w:spacing w:before="240"/>
      </w:pPr>
      <w:r w:rsidRPr="00006923">
        <w:t>But initial findings from an external review suggest sustainability and scale persist as key challenges</w:t>
      </w:r>
    </w:p>
    <w:p w:rsidR="00614815" w:rsidRDefault="00006923" w:rsidP="0029179C">
      <w:pPr>
        <w:spacing w:after="120"/>
        <w:rPr>
          <w:rFonts w:ascii="Calibri" w:hAnsi="Calibri"/>
          <w:szCs w:val="20"/>
        </w:rPr>
      </w:pPr>
      <w:r w:rsidRPr="00006923">
        <w:rPr>
          <w:rFonts w:ascii="Calibri" w:hAnsi="Calibri"/>
          <w:szCs w:val="20"/>
        </w:rPr>
        <w:t xml:space="preserve">Initial findings from an ongoing ODE review of RD, that examined 19 initiatives in five countries, are more critical than the self-ratings given above.  This analysis found too many RD programs delivering temporary benefits to relatively few households.  </w:t>
      </w:r>
      <w:r w:rsidR="00745B64">
        <w:rPr>
          <w:rFonts w:ascii="Calibri" w:hAnsi="Calibri"/>
          <w:szCs w:val="20"/>
        </w:rPr>
        <w:t>More</w:t>
      </w:r>
      <w:r w:rsidRPr="00006923">
        <w:rPr>
          <w:rFonts w:ascii="Calibri" w:hAnsi="Calibri"/>
          <w:szCs w:val="20"/>
        </w:rPr>
        <w:t xml:space="preserve"> attention </w:t>
      </w:r>
      <w:r w:rsidR="00745B64">
        <w:rPr>
          <w:rFonts w:ascii="Calibri" w:hAnsi="Calibri"/>
          <w:szCs w:val="20"/>
        </w:rPr>
        <w:t>needed to be</w:t>
      </w:r>
      <w:r w:rsidRPr="00006923">
        <w:rPr>
          <w:rFonts w:ascii="Calibri" w:hAnsi="Calibri"/>
          <w:szCs w:val="20"/>
        </w:rPr>
        <w:t xml:space="preserve"> given to how these benefits might be scaled out to large numbers of beneficiaries, </w:t>
      </w:r>
      <w:r w:rsidR="00745B64">
        <w:rPr>
          <w:rFonts w:ascii="Calibri" w:hAnsi="Calibri"/>
          <w:szCs w:val="20"/>
        </w:rPr>
        <w:t>and</w:t>
      </w:r>
      <w:r w:rsidR="00745B64" w:rsidRPr="00006923">
        <w:rPr>
          <w:rFonts w:ascii="Calibri" w:hAnsi="Calibri"/>
          <w:szCs w:val="20"/>
        </w:rPr>
        <w:t xml:space="preserve"> </w:t>
      </w:r>
      <w:r w:rsidRPr="00006923">
        <w:rPr>
          <w:rFonts w:ascii="Calibri" w:hAnsi="Calibri"/>
          <w:szCs w:val="20"/>
        </w:rPr>
        <w:t>how benefits could be sustained when program funding cease</w:t>
      </w:r>
      <w:r w:rsidR="00745B64">
        <w:rPr>
          <w:rFonts w:ascii="Calibri" w:hAnsi="Calibri"/>
          <w:szCs w:val="20"/>
        </w:rPr>
        <w:t>d</w:t>
      </w:r>
      <w:r w:rsidRPr="00006923">
        <w:rPr>
          <w:rFonts w:ascii="Calibri" w:hAnsi="Calibri"/>
          <w:szCs w:val="20"/>
        </w:rPr>
        <w:t xml:space="preserve">.  In a few cases where RD programs had focused explicitly on sustainability from the outset, and where existing players in government or the private </w:t>
      </w:r>
      <w:r w:rsidR="00C71716" w:rsidRPr="00006923">
        <w:rPr>
          <w:rFonts w:ascii="Calibri" w:hAnsi="Calibri"/>
          <w:szCs w:val="20"/>
        </w:rPr>
        <w:t>sector –</w:t>
      </w:r>
      <w:r w:rsidRPr="00006923">
        <w:rPr>
          <w:rFonts w:ascii="Calibri" w:hAnsi="Calibri"/>
          <w:szCs w:val="20"/>
        </w:rPr>
        <w:t xml:space="preserve"> beyond the RD project or program – had incentives to maintain and expand activities after the project, significant and sustainable benefits were being achieved or expected. </w:t>
      </w:r>
    </w:p>
    <w:p w:rsidR="00006923" w:rsidRPr="00006923" w:rsidRDefault="00006923" w:rsidP="0029179C">
      <w:pPr>
        <w:spacing w:after="120"/>
        <w:rPr>
          <w:rFonts w:ascii="Calibri" w:hAnsi="Calibri"/>
          <w:szCs w:val="20"/>
        </w:rPr>
      </w:pPr>
      <w:r w:rsidRPr="00006923">
        <w:rPr>
          <w:rFonts w:ascii="Calibri" w:hAnsi="Calibri"/>
          <w:szCs w:val="20"/>
        </w:rPr>
        <w:t xml:space="preserve">One positive example was research work in the oil palm sector of PNG.  This research resulted in a revised payment mechanism that incentivised more productive performance and was more gender equitable.  By encouraging the labour market to work more effectively, it provides a sound basis for sustained output growth, higher and more equitably distributed incomes, potentially impacting on 250,000 people.  The review also pointed to the potential of the new rice value chain program in </w:t>
      </w:r>
      <w:smartTag w:uri="urn:schemas-microsoft-com:office:smarttags" w:element="country-region">
        <w:smartTag w:uri="urn:schemas-microsoft-com:office:smarttags" w:element="place">
          <w:r w:rsidRPr="00006923">
            <w:rPr>
              <w:rFonts w:ascii="Calibri" w:hAnsi="Calibri"/>
              <w:szCs w:val="20"/>
            </w:rPr>
            <w:t>Cambodia</w:t>
          </w:r>
        </w:smartTag>
      </w:smartTag>
      <w:r w:rsidRPr="00006923">
        <w:rPr>
          <w:rFonts w:ascii="Calibri" w:hAnsi="Calibri"/>
          <w:szCs w:val="20"/>
        </w:rPr>
        <w:t xml:space="preserve"> to impact large numbers of poor rice and vegetable farmers.  This program is designed to perform detailed analysis of rice and vegetable systems, craft interventions on the basis of that analysis, choose appropriate partnerships, monitor implementation and respond to changing circumstances.  It builds on lessons from prior </w:t>
      </w:r>
      <w:proofErr w:type="spellStart"/>
      <w:r w:rsidRPr="00006923">
        <w:rPr>
          <w:rFonts w:ascii="Calibri" w:hAnsi="Calibri"/>
          <w:szCs w:val="20"/>
        </w:rPr>
        <w:t>AusAID</w:t>
      </w:r>
      <w:proofErr w:type="spellEnd"/>
      <w:r w:rsidRPr="00006923">
        <w:rPr>
          <w:rFonts w:ascii="Calibri" w:hAnsi="Calibri"/>
          <w:szCs w:val="20"/>
        </w:rPr>
        <w:t xml:space="preserve"> interventions, seeking partnerships with a range of actors, including but not limited to government, and is concerned with leaving behind a more functional rice and vegetable system, rather than building a research or extension organisation in isolation. </w:t>
      </w:r>
    </w:p>
    <w:p w:rsidR="00BC3B6D" w:rsidRPr="00BC3B6D" w:rsidRDefault="00006923" w:rsidP="0029179C">
      <w:pPr>
        <w:spacing w:after="120"/>
        <w:rPr>
          <w:rFonts w:ascii="Arial" w:hAnsi="Arial"/>
          <w:lang w:eastAsia="en-US"/>
        </w:rPr>
      </w:pPr>
      <w:r w:rsidRPr="00006923">
        <w:rPr>
          <w:rFonts w:ascii="Calibri" w:hAnsi="Calibri"/>
          <w:szCs w:val="20"/>
        </w:rPr>
        <w:t xml:space="preserve">Closer scrutiny of the justifications for high QAI scores given on sustainability suggests </w:t>
      </w:r>
      <w:r w:rsidR="00BB26FC">
        <w:rPr>
          <w:rFonts w:ascii="Calibri" w:hAnsi="Calibri"/>
          <w:szCs w:val="20"/>
        </w:rPr>
        <w:t>this is a growing area of focus</w:t>
      </w:r>
      <w:r w:rsidRPr="00006923">
        <w:rPr>
          <w:rFonts w:ascii="Calibri" w:hAnsi="Calibri"/>
          <w:szCs w:val="20"/>
        </w:rPr>
        <w:t xml:space="preserve">.  There is </w:t>
      </w:r>
      <w:r w:rsidR="00BB26FC">
        <w:rPr>
          <w:rFonts w:ascii="Calibri" w:hAnsi="Calibri"/>
          <w:szCs w:val="20"/>
        </w:rPr>
        <w:t>deeper</w:t>
      </w:r>
      <w:r w:rsidR="00BB26FC" w:rsidRPr="00006923">
        <w:rPr>
          <w:rFonts w:ascii="Calibri" w:hAnsi="Calibri"/>
          <w:szCs w:val="20"/>
        </w:rPr>
        <w:t xml:space="preserve"> </w:t>
      </w:r>
      <w:r w:rsidRPr="00006923">
        <w:rPr>
          <w:rFonts w:ascii="Calibri" w:hAnsi="Calibri"/>
          <w:szCs w:val="20"/>
        </w:rPr>
        <w:t xml:space="preserve">consideration of what will happen when the program or its funding ends, and there is </w:t>
      </w:r>
      <w:r w:rsidR="00BB26FC">
        <w:rPr>
          <w:rFonts w:ascii="Calibri" w:hAnsi="Calibri"/>
          <w:szCs w:val="20"/>
        </w:rPr>
        <w:t>more</w:t>
      </w:r>
      <w:r w:rsidRPr="00006923">
        <w:rPr>
          <w:rFonts w:ascii="Calibri" w:hAnsi="Calibri"/>
          <w:szCs w:val="20"/>
        </w:rPr>
        <w:t xml:space="preserve"> consideration of the capacity and incentives that relevant actors – government agencies and the private sector – will have to sustain benefits to poor people.  However, some QAIs still score sustainability high, despite acknowledging that the sustained flow of benefits to the poor is at risk without continued </w:t>
      </w:r>
      <w:r w:rsidRPr="00213E79">
        <w:rPr>
          <w:rFonts w:ascii="Calibri" w:hAnsi="Calibri"/>
          <w:szCs w:val="20"/>
        </w:rPr>
        <w:t xml:space="preserve">external financing, or more seriously, without a major shift in partner government commitment </w:t>
      </w:r>
      <w:r w:rsidRPr="00213E79">
        <w:rPr>
          <w:rFonts w:ascii="Calibri" w:hAnsi="Calibri"/>
          <w:lang w:eastAsia="en-US"/>
        </w:rPr>
        <w:t>to continue the program.</w:t>
      </w:r>
    </w:p>
    <w:p w:rsidR="00BC3B6D" w:rsidRPr="00BC3B6D" w:rsidRDefault="00BB26FC" w:rsidP="007A0A70">
      <w:pPr>
        <w:pStyle w:val="H4A"/>
        <w:rPr>
          <w:lang w:eastAsia="en-US"/>
        </w:rPr>
      </w:pPr>
      <w:r>
        <w:rPr>
          <w:lang w:eastAsia="en-US"/>
        </w:rPr>
        <w:t>The</w:t>
      </w:r>
      <w:r w:rsidRPr="00BC3B6D">
        <w:rPr>
          <w:lang w:eastAsia="en-US"/>
        </w:rPr>
        <w:t xml:space="preserve"> </w:t>
      </w:r>
      <w:r w:rsidR="00006923" w:rsidRPr="00BC3B6D">
        <w:rPr>
          <w:lang w:eastAsia="en-US"/>
        </w:rPr>
        <w:t>social protection portfolio review suggests sustainability and scale are challenges here too</w:t>
      </w:r>
    </w:p>
    <w:p w:rsidR="00006923" w:rsidRPr="00006923" w:rsidRDefault="00BB26FC" w:rsidP="0029179C">
      <w:pPr>
        <w:spacing w:after="120"/>
        <w:rPr>
          <w:rFonts w:ascii="Calibri" w:hAnsi="Calibri"/>
          <w:szCs w:val="20"/>
        </w:rPr>
      </w:pPr>
      <w:proofErr w:type="spellStart"/>
      <w:r>
        <w:rPr>
          <w:rFonts w:ascii="Calibri" w:hAnsi="Calibri"/>
          <w:lang w:eastAsia="en-US"/>
        </w:rPr>
        <w:t>AusAID’s</w:t>
      </w:r>
      <w:proofErr w:type="spellEnd"/>
      <w:r w:rsidR="00006923" w:rsidRPr="00213E79">
        <w:rPr>
          <w:rFonts w:ascii="Calibri" w:hAnsi="Calibri"/>
          <w:lang w:eastAsia="en-US"/>
        </w:rPr>
        <w:t xml:space="preserve"> current internal review of </w:t>
      </w:r>
      <w:proofErr w:type="spellStart"/>
      <w:r w:rsidR="00006923" w:rsidRPr="00213E79">
        <w:rPr>
          <w:rFonts w:ascii="Calibri" w:hAnsi="Calibri"/>
          <w:lang w:eastAsia="en-US"/>
        </w:rPr>
        <w:t>AusAID’s</w:t>
      </w:r>
      <w:proofErr w:type="spellEnd"/>
      <w:r w:rsidR="00006923" w:rsidRPr="00213E79">
        <w:rPr>
          <w:rFonts w:ascii="Calibri" w:hAnsi="Calibri"/>
          <w:lang w:eastAsia="en-US"/>
        </w:rPr>
        <w:t xml:space="preserve"> social protection portfolio identifies 240 current</w:t>
      </w:r>
      <w:r w:rsidR="00006923" w:rsidRPr="00213E79">
        <w:rPr>
          <w:rFonts w:ascii="Calibri" w:hAnsi="Calibri"/>
          <w:szCs w:val="20"/>
          <w:lang w:eastAsia="en-US"/>
        </w:rPr>
        <w:t xml:space="preserve"> projects</w:t>
      </w:r>
      <w:r w:rsidR="00006923" w:rsidRPr="00213E79">
        <w:rPr>
          <w:rFonts w:ascii="Calibri" w:hAnsi="Calibri"/>
          <w:szCs w:val="20"/>
        </w:rPr>
        <w:t xml:space="preserve"> that could loosely be described as social protection and 141 projects that include some </w:t>
      </w:r>
      <w:r w:rsidR="00006923" w:rsidRPr="00213E79">
        <w:rPr>
          <w:rFonts w:ascii="Calibri" w:hAnsi="Calibri"/>
          <w:szCs w:val="20"/>
        </w:rPr>
        <w:lastRenderedPageBreak/>
        <w:t xml:space="preserve">form of transfer – for example cash, food or inputs – to the poor and vulnerable.  </w:t>
      </w:r>
      <w:r>
        <w:rPr>
          <w:rFonts w:ascii="Calibri" w:hAnsi="Calibri"/>
          <w:szCs w:val="20"/>
        </w:rPr>
        <w:t>P</w:t>
      </w:r>
      <w:r w:rsidR="00006923" w:rsidRPr="00213E79">
        <w:rPr>
          <w:rFonts w:ascii="Calibri" w:hAnsi="Calibri"/>
          <w:szCs w:val="20"/>
        </w:rPr>
        <w:t>rogramming is dominated by projects that increase food security.  Most transfers are delivered as emergency responses or RD projects that link to livelihoods.  However, the review demonstrates that social protection activities cut across a range of</w:t>
      </w:r>
      <w:r w:rsidR="00006923" w:rsidRPr="00006923">
        <w:rPr>
          <w:rFonts w:ascii="Calibri" w:hAnsi="Calibri"/>
          <w:szCs w:val="20"/>
        </w:rPr>
        <w:t xml:space="preserve"> themes with more than 70 projects with social protection components under the health, community development, infrastructure and education sectors.  There are regional patterns – with projects linking social protection and livelihoods prevalent in South Asia, social protection and health / education in </w:t>
      </w:r>
      <w:smartTag w:uri="urn:schemas-microsoft-com:office:smarttags" w:element="country-region">
        <w:r w:rsidR="00006923" w:rsidRPr="00006923">
          <w:rPr>
            <w:rFonts w:ascii="Calibri" w:hAnsi="Calibri"/>
            <w:szCs w:val="20"/>
          </w:rPr>
          <w:t>Indonesia</w:t>
        </w:r>
      </w:smartTag>
      <w:r w:rsidR="00006923" w:rsidRPr="00006923">
        <w:rPr>
          <w:rFonts w:ascii="Calibri" w:hAnsi="Calibri"/>
          <w:szCs w:val="20"/>
        </w:rPr>
        <w:t xml:space="preserve"> and the Pacific, and social protection and undernourishment in </w:t>
      </w:r>
      <w:smartTag w:uri="urn:schemas-microsoft-com:office:smarttags" w:element="place">
        <w:r w:rsidR="00006923" w:rsidRPr="00006923">
          <w:rPr>
            <w:rFonts w:ascii="Calibri" w:hAnsi="Calibri"/>
            <w:szCs w:val="20"/>
          </w:rPr>
          <w:t>Africa</w:t>
        </w:r>
      </w:smartTag>
      <w:r w:rsidR="00006923" w:rsidRPr="00006923">
        <w:rPr>
          <w:rFonts w:ascii="Calibri" w:hAnsi="Calibri"/>
          <w:szCs w:val="20"/>
        </w:rPr>
        <w:t>.</w:t>
      </w:r>
    </w:p>
    <w:p w:rsidR="00006923" w:rsidRPr="00006923" w:rsidRDefault="00006923" w:rsidP="0029179C">
      <w:pPr>
        <w:spacing w:after="120"/>
        <w:rPr>
          <w:rFonts w:ascii="Calibri" w:hAnsi="Calibri"/>
          <w:szCs w:val="20"/>
        </w:rPr>
      </w:pPr>
      <w:r w:rsidRPr="00006923">
        <w:rPr>
          <w:rFonts w:ascii="Calibri" w:hAnsi="Calibri"/>
          <w:szCs w:val="20"/>
        </w:rPr>
        <w:t xml:space="preserve">In terms of program quality in social protection, the review was not designed to draw firm conclusions about outcomes.  Our social protection </w:t>
      </w:r>
      <w:r w:rsidR="00885D6E">
        <w:rPr>
          <w:rFonts w:ascii="Calibri" w:hAnsi="Calibri"/>
          <w:szCs w:val="20"/>
        </w:rPr>
        <w:t>investments are recent</w:t>
      </w:r>
      <w:r w:rsidRPr="00006923">
        <w:rPr>
          <w:rFonts w:ascii="Calibri" w:hAnsi="Calibri"/>
          <w:szCs w:val="20"/>
        </w:rPr>
        <w:t xml:space="preserve"> and as yet there is no clear picture of the impact our social protection is having</w:t>
      </w:r>
      <w:r w:rsidR="00BB26FC">
        <w:rPr>
          <w:rFonts w:ascii="Calibri" w:hAnsi="Calibri"/>
          <w:szCs w:val="20"/>
        </w:rPr>
        <w:t xml:space="preserve"> on graduating poor people out of poverty.  </w:t>
      </w:r>
      <w:r w:rsidRPr="00006923">
        <w:rPr>
          <w:rFonts w:ascii="Calibri" w:hAnsi="Calibri"/>
          <w:szCs w:val="20"/>
        </w:rPr>
        <w:t xml:space="preserve">Many of our interventions </w:t>
      </w:r>
      <w:r w:rsidR="00BB26FC">
        <w:rPr>
          <w:rFonts w:ascii="Calibri" w:hAnsi="Calibri"/>
          <w:szCs w:val="20"/>
        </w:rPr>
        <w:t xml:space="preserve">to date </w:t>
      </w:r>
      <w:r w:rsidRPr="00006923">
        <w:rPr>
          <w:rFonts w:ascii="Calibri" w:hAnsi="Calibri"/>
          <w:szCs w:val="20"/>
        </w:rPr>
        <w:t xml:space="preserve">are short term and </w:t>
      </w:r>
      <w:r w:rsidR="00BB26FC">
        <w:rPr>
          <w:rFonts w:ascii="Calibri" w:hAnsi="Calibri"/>
          <w:szCs w:val="20"/>
        </w:rPr>
        <w:t xml:space="preserve">on a limited scale.  </w:t>
      </w:r>
      <w:r w:rsidRPr="00006923">
        <w:rPr>
          <w:rFonts w:ascii="Calibri" w:hAnsi="Calibri"/>
          <w:szCs w:val="20"/>
        </w:rPr>
        <w:t>Except for short-term transfers in response to emergencies, our programming rarely ‘touches the ground’ directly</w:t>
      </w:r>
      <w:r w:rsidR="00BB26FC">
        <w:rPr>
          <w:rFonts w:ascii="Calibri" w:hAnsi="Calibri"/>
          <w:szCs w:val="20"/>
        </w:rPr>
        <w:t>.  The focus to date has been about</w:t>
      </w:r>
      <w:r w:rsidRPr="00006923">
        <w:rPr>
          <w:rFonts w:ascii="Calibri" w:hAnsi="Calibri"/>
          <w:szCs w:val="20"/>
        </w:rPr>
        <w:t xml:space="preserve"> supporting institution building and policy development </w:t>
      </w:r>
      <w:r w:rsidR="00BB26FC">
        <w:rPr>
          <w:rFonts w:ascii="Calibri" w:hAnsi="Calibri"/>
          <w:szCs w:val="20"/>
        </w:rPr>
        <w:t xml:space="preserve">rather </w:t>
      </w:r>
      <w:r w:rsidRPr="00006923">
        <w:rPr>
          <w:rFonts w:ascii="Calibri" w:hAnsi="Calibri"/>
          <w:szCs w:val="20"/>
        </w:rPr>
        <w:t>than directly supporting governments to deliver social protection to the poor and vulnerable. Half of our funding to social transfer projects is delivered through multilaterals</w:t>
      </w:r>
      <w:r w:rsidR="00BB26FC">
        <w:rPr>
          <w:rFonts w:ascii="Calibri" w:hAnsi="Calibri"/>
          <w:szCs w:val="20"/>
        </w:rPr>
        <w:t xml:space="preserve">, making us dependent on their </w:t>
      </w:r>
      <w:r w:rsidRPr="00006923">
        <w:rPr>
          <w:rFonts w:ascii="Calibri" w:hAnsi="Calibri"/>
          <w:szCs w:val="20"/>
        </w:rPr>
        <w:t xml:space="preserve">technical and managerial capacity in social protection </w:t>
      </w:r>
      <w:r w:rsidR="00BB26FC">
        <w:rPr>
          <w:rFonts w:ascii="Calibri" w:hAnsi="Calibri"/>
          <w:szCs w:val="20"/>
        </w:rPr>
        <w:t>which</w:t>
      </w:r>
      <w:r w:rsidRPr="00006923">
        <w:rPr>
          <w:rFonts w:ascii="Calibri" w:hAnsi="Calibri"/>
          <w:szCs w:val="20"/>
        </w:rPr>
        <w:t xml:space="preserve"> is lacking in </w:t>
      </w:r>
      <w:proofErr w:type="spellStart"/>
      <w:r w:rsidRPr="00006923">
        <w:rPr>
          <w:rFonts w:ascii="Calibri" w:hAnsi="Calibri"/>
          <w:szCs w:val="20"/>
        </w:rPr>
        <w:t>AusAID</w:t>
      </w:r>
      <w:proofErr w:type="spellEnd"/>
      <w:r w:rsidRPr="00006923">
        <w:rPr>
          <w:rFonts w:ascii="Calibri" w:hAnsi="Calibri"/>
          <w:szCs w:val="20"/>
        </w:rPr>
        <w:t xml:space="preserve">.  Even </w:t>
      </w:r>
      <w:r w:rsidR="00BB26FC">
        <w:rPr>
          <w:rFonts w:ascii="Calibri" w:hAnsi="Calibri"/>
          <w:szCs w:val="20"/>
        </w:rPr>
        <w:t>at a country level</w:t>
      </w:r>
      <w:r w:rsidRPr="00006923">
        <w:rPr>
          <w:rFonts w:ascii="Calibri" w:hAnsi="Calibri"/>
          <w:szCs w:val="20"/>
        </w:rPr>
        <w:t xml:space="preserve">, hardly any of our support is to governments to deliver social protection.  Further reflection on how </w:t>
      </w:r>
      <w:proofErr w:type="spellStart"/>
      <w:r w:rsidR="00C94154">
        <w:rPr>
          <w:rFonts w:ascii="Calibri" w:hAnsi="Calibri"/>
          <w:szCs w:val="20"/>
        </w:rPr>
        <w:t>AusAID</w:t>
      </w:r>
      <w:proofErr w:type="spellEnd"/>
      <w:r w:rsidR="00C94154">
        <w:rPr>
          <w:rFonts w:ascii="Calibri" w:hAnsi="Calibri"/>
          <w:szCs w:val="20"/>
        </w:rPr>
        <w:t xml:space="preserve"> </w:t>
      </w:r>
      <w:r w:rsidRPr="00006923">
        <w:rPr>
          <w:rFonts w:ascii="Calibri" w:hAnsi="Calibri"/>
          <w:szCs w:val="20"/>
        </w:rPr>
        <w:t>engage</w:t>
      </w:r>
      <w:r w:rsidR="00C94154">
        <w:rPr>
          <w:rFonts w:ascii="Calibri" w:hAnsi="Calibri"/>
          <w:szCs w:val="20"/>
        </w:rPr>
        <w:t>s</w:t>
      </w:r>
      <w:r w:rsidRPr="00006923">
        <w:rPr>
          <w:rFonts w:ascii="Calibri" w:hAnsi="Calibri"/>
          <w:szCs w:val="20"/>
        </w:rPr>
        <w:t xml:space="preserve"> in social protection is necessary, particularly in view of best-practice guidelines that emphasise support for government-owned and government-driven programmes.</w:t>
      </w:r>
    </w:p>
    <w:p w:rsidR="00006923" w:rsidRPr="00006923" w:rsidRDefault="00006923" w:rsidP="007A0A70">
      <w:pPr>
        <w:pStyle w:val="H4A"/>
      </w:pPr>
      <w:r w:rsidRPr="00006923">
        <w:t>An overview of APPRs is broadly positive, but also points to some challenges</w:t>
      </w:r>
    </w:p>
    <w:p w:rsidR="00006923" w:rsidRPr="00006923" w:rsidRDefault="00006923" w:rsidP="0029179C">
      <w:pPr>
        <w:spacing w:after="120"/>
        <w:rPr>
          <w:rFonts w:ascii="Calibri" w:hAnsi="Calibri"/>
          <w:b/>
          <w:i/>
          <w:szCs w:val="20"/>
        </w:rPr>
      </w:pPr>
      <w:r w:rsidRPr="00006923">
        <w:rPr>
          <w:rFonts w:ascii="Calibri" w:hAnsi="Calibri"/>
          <w:szCs w:val="20"/>
        </w:rPr>
        <w:t xml:space="preserve">The summary scores from 2009-10 APPRs present a broadly positive picture (see Table 3, page </w:t>
      </w:r>
      <w:r w:rsidRPr="00006923">
        <w:rPr>
          <w:rFonts w:ascii="Calibri" w:hAnsi="Calibri"/>
          <w:szCs w:val="20"/>
        </w:rPr>
        <w:fldChar w:fldCharType="begin"/>
      </w:r>
      <w:r w:rsidRPr="00006923">
        <w:rPr>
          <w:rFonts w:ascii="Calibri" w:hAnsi="Calibri"/>
          <w:szCs w:val="20"/>
        </w:rPr>
        <w:instrText xml:space="preserve"> PAGEREF _Ref279749739 \h </w:instrText>
      </w:r>
      <w:r w:rsidRPr="00006923">
        <w:rPr>
          <w:rFonts w:ascii="Calibri" w:hAnsi="Calibri"/>
          <w:szCs w:val="20"/>
        </w:rPr>
      </w:r>
      <w:r w:rsidRPr="00006923">
        <w:rPr>
          <w:rFonts w:ascii="Calibri" w:hAnsi="Calibri"/>
          <w:szCs w:val="20"/>
        </w:rPr>
        <w:fldChar w:fldCharType="separate"/>
      </w:r>
      <w:r w:rsidR="007E665D">
        <w:rPr>
          <w:rFonts w:ascii="Calibri" w:hAnsi="Calibri"/>
          <w:noProof/>
          <w:szCs w:val="20"/>
        </w:rPr>
        <w:t>11</w:t>
      </w:r>
      <w:r w:rsidRPr="00006923">
        <w:rPr>
          <w:rFonts w:ascii="Calibri" w:hAnsi="Calibri"/>
          <w:szCs w:val="20"/>
        </w:rPr>
        <w:fldChar w:fldCharType="end"/>
      </w:r>
      <w:r w:rsidRPr="00006923">
        <w:rPr>
          <w:rFonts w:ascii="Calibri" w:hAnsi="Calibri"/>
          <w:szCs w:val="20"/>
        </w:rPr>
        <w:t xml:space="preserve">).  All ratings are green or amber with the exception of the ‘improving smallholder agri-business practices’ aspect of the Indonesia RD portfolio where a lack of management coherence, a theory of sustainable change, and attention to gender meant mixed results and have resulted in a program re-design.  Most ratings have remained unchanged or improved.  Only one rating – in </w:t>
      </w:r>
      <w:smartTag w:uri="urn:schemas-microsoft-com:office:smarttags" w:element="country-region">
        <w:smartTag w:uri="urn:schemas-microsoft-com:office:smarttags" w:element="place">
          <w:r w:rsidRPr="00006923">
            <w:rPr>
              <w:rFonts w:ascii="Calibri" w:hAnsi="Calibri"/>
              <w:szCs w:val="20"/>
            </w:rPr>
            <w:t>Laos</w:t>
          </w:r>
        </w:smartTag>
      </w:smartTag>
      <w:r w:rsidRPr="00006923">
        <w:rPr>
          <w:rFonts w:ascii="Calibri" w:hAnsi="Calibri"/>
          <w:szCs w:val="20"/>
        </w:rPr>
        <w:t xml:space="preserve">, where government attention to pro-poor trade opportunities has diminished and </w:t>
      </w:r>
      <w:proofErr w:type="spellStart"/>
      <w:r w:rsidRPr="00006923">
        <w:rPr>
          <w:rFonts w:ascii="Calibri" w:hAnsi="Calibri"/>
          <w:szCs w:val="20"/>
        </w:rPr>
        <w:t>AusAID’s</w:t>
      </w:r>
      <w:proofErr w:type="spellEnd"/>
      <w:r w:rsidRPr="00006923">
        <w:rPr>
          <w:rFonts w:ascii="Calibri" w:hAnsi="Calibri"/>
          <w:szCs w:val="20"/>
        </w:rPr>
        <w:t xml:space="preserve"> internal resourcing mean achievement of objectives is threatened – has declined.  </w:t>
      </w:r>
    </w:p>
    <w:p w:rsidR="0046667A" w:rsidRDefault="00006923" w:rsidP="002F57CD">
      <w:pPr>
        <w:spacing w:after="240"/>
        <w:rPr>
          <w:rFonts w:ascii="Calibri" w:hAnsi="Calibri"/>
          <w:szCs w:val="20"/>
        </w:rPr>
      </w:pPr>
      <w:r w:rsidRPr="00006923">
        <w:rPr>
          <w:rFonts w:ascii="Calibri" w:hAnsi="Calibri"/>
          <w:szCs w:val="20"/>
        </w:rPr>
        <w:t>The APPRs report considerable effort is going into increasing agricultural productivity and increasing household incomes.  A frequent theme is the delivery of assistance to households whilst program funding is available that enables temporary successes, but inevitably makes impact at scale and sustainability beyond the intervention period a challenge.  A small but growing emphasis on enhanced access to financial services is evident too, though with a notable emphasis on sustainability that involves extending the reach of commercially viable organisations.  Another challenge for RD programs to emerge from APPR reporting is the importance of having a clear program logic to frame how expect</w:t>
      </w:r>
      <w:r w:rsidR="00C94154">
        <w:rPr>
          <w:rFonts w:ascii="Calibri" w:hAnsi="Calibri"/>
          <w:szCs w:val="20"/>
        </w:rPr>
        <w:t>ed</w:t>
      </w:r>
      <w:r w:rsidRPr="00006923">
        <w:rPr>
          <w:rFonts w:ascii="Calibri" w:hAnsi="Calibri"/>
          <w:szCs w:val="20"/>
        </w:rPr>
        <w:t xml:space="preserve"> RD results</w:t>
      </w:r>
      <w:r w:rsidR="00C94154">
        <w:rPr>
          <w:rFonts w:ascii="Calibri" w:hAnsi="Calibri"/>
          <w:szCs w:val="20"/>
        </w:rPr>
        <w:t xml:space="preserve"> will be achieved</w:t>
      </w:r>
      <w:r w:rsidRPr="00006923">
        <w:rPr>
          <w:rFonts w:ascii="Calibri" w:hAnsi="Calibri"/>
          <w:szCs w:val="20"/>
        </w:rPr>
        <w:t>, and the need to continually test the assumptions in that logic to ensure those results will indeed obtain.</w:t>
      </w:r>
    </w:p>
    <w:p w:rsidR="00213E79" w:rsidRPr="00213E79" w:rsidRDefault="00213E79" w:rsidP="007A0A70">
      <w:pPr>
        <w:pStyle w:val="H3A"/>
      </w:pPr>
      <w:bookmarkStart w:id="14" w:name="_Toc360699278"/>
      <w:bookmarkStart w:id="15" w:name="_Toc360703387"/>
      <w:r w:rsidRPr="00213E79">
        <w:t>Conclusions and recommended actions</w:t>
      </w:r>
      <w:bookmarkEnd w:id="14"/>
      <w:bookmarkEnd w:id="15"/>
    </w:p>
    <w:p w:rsidR="00006923" w:rsidRPr="00213E79" w:rsidRDefault="00601861" w:rsidP="007A0A70">
      <w:pPr>
        <w:pStyle w:val="H4A"/>
      </w:pPr>
      <w:r>
        <w:t>Australia is</w:t>
      </w:r>
      <w:r w:rsidR="00006923" w:rsidRPr="00213E79">
        <w:t xml:space="preserve"> making a positive difference but key challenges remain </w:t>
      </w:r>
    </w:p>
    <w:p w:rsidR="00601861" w:rsidRPr="00006923" w:rsidRDefault="00601861" w:rsidP="00601861">
      <w:pPr>
        <w:spacing w:after="120"/>
        <w:rPr>
          <w:rFonts w:ascii="Calibri" w:hAnsi="Calibri"/>
          <w:szCs w:val="20"/>
        </w:rPr>
      </w:pPr>
      <w:r w:rsidRPr="00006923">
        <w:rPr>
          <w:rFonts w:ascii="Calibri" w:hAnsi="Calibri"/>
          <w:b/>
          <w:szCs w:val="20"/>
        </w:rPr>
        <w:t>Whilst staff capacity is growing, particularly around social protection issues and the importance of sustainable and pro-poor rural growth, this needs to accelerate and develop into a wider understanding of what is and is not good practice</w:t>
      </w:r>
      <w:r w:rsidRPr="00006923">
        <w:rPr>
          <w:rFonts w:ascii="Calibri" w:hAnsi="Calibri"/>
          <w:szCs w:val="20"/>
        </w:rPr>
        <w:t>.  Effective RD scale up will be dependent upon a commensurate development of staff capacity and associated incentives through workforce planning.</w:t>
      </w:r>
      <w:r>
        <w:rPr>
          <w:rFonts w:ascii="Calibri" w:hAnsi="Calibri"/>
          <w:szCs w:val="20"/>
        </w:rPr>
        <w:t xml:space="preserve">  In addition to deepening technical and dev</w:t>
      </w:r>
      <w:r w:rsidR="00C94154">
        <w:rPr>
          <w:rFonts w:ascii="Calibri" w:hAnsi="Calibri"/>
          <w:szCs w:val="20"/>
        </w:rPr>
        <w:t xml:space="preserve">elopment skills in our staff, </w:t>
      </w:r>
      <w:proofErr w:type="spellStart"/>
      <w:r w:rsidR="00C94154">
        <w:rPr>
          <w:rFonts w:ascii="Calibri" w:hAnsi="Calibri"/>
          <w:szCs w:val="20"/>
        </w:rPr>
        <w:t>AusAID</w:t>
      </w:r>
      <w:proofErr w:type="spellEnd"/>
      <w:r w:rsidR="00C94154">
        <w:rPr>
          <w:rFonts w:ascii="Calibri" w:hAnsi="Calibri"/>
          <w:szCs w:val="20"/>
        </w:rPr>
        <w:t xml:space="preserve"> </w:t>
      </w:r>
      <w:r>
        <w:rPr>
          <w:rFonts w:ascii="Calibri" w:hAnsi="Calibri"/>
          <w:szCs w:val="20"/>
        </w:rPr>
        <w:t>need</w:t>
      </w:r>
      <w:r w:rsidR="00C94154">
        <w:rPr>
          <w:rFonts w:ascii="Calibri" w:hAnsi="Calibri"/>
          <w:szCs w:val="20"/>
        </w:rPr>
        <w:t>s</w:t>
      </w:r>
      <w:r>
        <w:rPr>
          <w:rFonts w:ascii="Calibri" w:hAnsi="Calibri"/>
          <w:szCs w:val="20"/>
        </w:rPr>
        <w:t xml:space="preserve"> </w:t>
      </w:r>
      <w:r w:rsidRPr="00006923">
        <w:rPr>
          <w:rFonts w:ascii="Calibri" w:hAnsi="Calibri"/>
          <w:szCs w:val="20"/>
        </w:rPr>
        <w:t xml:space="preserve">more </w:t>
      </w:r>
      <w:r>
        <w:rPr>
          <w:rFonts w:ascii="Calibri" w:hAnsi="Calibri"/>
          <w:szCs w:val="20"/>
        </w:rPr>
        <w:t xml:space="preserve">people who are </w:t>
      </w:r>
      <w:r w:rsidRPr="00006923">
        <w:rPr>
          <w:rFonts w:ascii="Calibri" w:hAnsi="Calibri"/>
          <w:szCs w:val="20"/>
        </w:rPr>
        <w:t xml:space="preserve">able to influence policy debates and engage effectively with multilateral partners.  </w:t>
      </w:r>
    </w:p>
    <w:p w:rsidR="00006923" w:rsidRPr="00006923" w:rsidRDefault="00601861" w:rsidP="00601861">
      <w:pPr>
        <w:spacing w:after="120"/>
        <w:rPr>
          <w:rFonts w:ascii="Calibri" w:hAnsi="Calibri"/>
          <w:szCs w:val="20"/>
        </w:rPr>
      </w:pPr>
      <w:r>
        <w:rPr>
          <w:rFonts w:ascii="Calibri" w:hAnsi="Calibri"/>
          <w:b/>
          <w:szCs w:val="20"/>
        </w:rPr>
        <w:t>A</w:t>
      </w:r>
      <w:r w:rsidR="00006923" w:rsidRPr="00006923">
        <w:rPr>
          <w:rFonts w:ascii="Calibri" w:hAnsi="Calibri"/>
          <w:b/>
          <w:szCs w:val="20"/>
        </w:rPr>
        <w:t>chiev</w:t>
      </w:r>
      <w:r>
        <w:rPr>
          <w:rFonts w:ascii="Calibri" w:hAnsi="Calibri"/>
          <w:b/>
          <w:szCs w:val="20"/>
        </w:rPr>
        <w:t>ing</w:t>
      </w:r>
      <w:r w:rsidR="00006923" w:rsidRPr="00006923">
        <w:rPr>
          <w:rFonts w:ascii="Calibri" w:hAnsi="Calibri"/>
          <w:b/>
          <w:szCs w:val="20"/>
        </w:rPr>
        <w:t xml:space="preserve"> positive changes in RD that are sustained and affect large numbers of the poor</w:t>
      </w:r>
      <w:r>
        <w:rPr>
          <w:rFonts w:ascii="Calibri" w:hAnsi="Calibri"/>
          <w:b/>
          <w:szCs w:val="20"/>
        </w:rPr>
        <w:t xml:space="preserve"> remains a challenge</w:t>
      </w:r>
      <w:r w:rsidR="00006923" w:rsidRPr="00006923">
        <w:rPr>
          <w:rFonts w:ascii="Calibri" w:hAnsi="Calibri"/>
          <w:b/>
          <w:szCs w:val="20"/>
        </w:rPr>
        <w:t>.</w:t>
      </w:r>
      <w:r w:rsidR="00006923" w:rsidRPr="00006923">
        <w:rPr>
          <w:rFonts w:ascii="Calibri" w:hAnsi="Calibri"/>
          <w:szCs w:val="20"/>
        </w:rPr>
        <w:t xml:space="preserve">  Greater emphasis on scale and sustainability considerations at program outset is necessary.  In economic livelihoods that will often mean thinking about a greater role </w:t>
      </w:r>
      <w:r w:rsidR="00006923" w:rsidRPr="00006923">
        <w:rPr>
          <w:rFonts w:ascii="Calibri" w:hAnsi="Calibri"/>
          <w:szCs w:val="20"/>
        </w:rPr>
        <w:lastRenderedPageBreak/>
        <w:t xml:space="preserve">for the private sector in sustaining pro-poor outcomes. In social protection </w:t>
      </w:r>
      <w:r w:rsidR="00267C9A">
        <w:rPr>
          <w:rFonts w:ascii="Calibri" w:hAnsi="Calibri"/>
          <w:szCs w:val="20"/>
        </w:rPr>
        <w:t>a clearer vision of</w:t>
      </w:r>
      <w:r w:rsidR="00006923" w:rsidRPr="00006923">
        <w:rPr>
          <w:rFonts w:ascii="Calibri" w:hAnsi="Calibri"/>
          <w:szCs w:val="20"/>
        </w:rPr>
        <w:t xml:space="preserve"> how benefits and transfers can be sustained through government systems and budgets</w:t>
      </w:r>
      <w:r w:rsidR="00267C9A">
        <w:rPr>
          <w:rFonts w:ascii="Calibri" w:hAnsi="Calibri"/>
          <w:szCs w:val="20"/>
        </w:rPr>
        <w:t xml:space="preserve"> is required</w:t>
      </w:r>
      <w:r w:rsidR="00006923" w:rsidRPr="00006923">
        <w:rPr>
          <w:rFonts w:ascii="Calibri" w:hAnsi="Calibri"/>
          <w:szCs w:val="20"/>
        </w:rPr>
        <w:t xml:space="preserve">.  </w:t>
      </w:r>
      <w:r>
        <w:rPr>
          <w:rFonts w:ascii="Calibri" w:hAnsi="Calibri"/>
          <w:szCs w:val="20"/>
        </w:rPr>
        <w:t xml:space="preserve">In designing and delivering better programs in the future, </w:t>
      </w:r>
      <w:r w:rsidR="00006923" w:rsidRPr="00006923">
        <w:rPr>
          <w:rFonts w:ascii="Calibri" w:hAnsi="Calibri"/>
          <w:szCs w:val="20"/>
        </w:rPr>
        <w:t xml:space="preserve">greater clarity about the </w:t>
      </w:r>
      <w:r w:rsidR="00C94154">
        <w:rPr>
          <w:rFonts w:ascii="Calibri" w:hAnsi="Calibri"/>
          <w:szCs w:val="20"/>
        </w:rPr>
        <w:t>expected results</w:t>
      </w:r>
      <w:r w:rsidR="00006923" w:rsidRPr="00006923">
        <w:rPr>
          <w:rFonts w:ascii="Calibri" w:hAnsi="Calibri"/>
          <w:szCs w:val="20"/>
        </w:rPr>
        <w:t xml:space="preserve">, and the most efficient way of obtaining </w:t>
      </w:r>
      <w:r w:rsidR="00267C9A">
        <w:rPr>
          <w:rFonts w:ascii="Calibri" w:hAnsi="Calibri"/>
          <w:szCs w:val="20"/>
        </w:rPr>
        <w:t xml:space="preserve">and credibly measuring </w:t>
      </w:r>
      <w:r w:rsidR="00006923" w:rsidRPr="00006923">
        <w:rPr>
          <w:rFonts w:ascii="Calibri" w:hAnsi="Calibri"/>
          <w:szCs w:val="20"/>
        </w:rPr>
        <w:t>these</w:t>
      </w:r>
      <w:r w:rsidR="00267C9A">
        <w:rPr>
          <w:rFonts w:ascii="Calibri" w:hAnsi="Calibri"/>
          <w:szCs w:val="20"/>
        </w:rPr>
        <w:t xml:space="preserve"> is needed</w:t>
      </w:r>
      <w:r w:rsidR="00006923" w:rsidRPr="00006923">
        <w:rPr>
          <w:rFonts w:ascii="Calibri" w:hAnsi="Calibri"/>
          <w:szCs w:val="20"/>
        </w:rPr>
        <w:t xml:space="preserve">.  </w:t>
      </w:r>
      <w:r w:rsidR="00267C9A">
        <w:rPr>
          <w:rFonts w:ascii="Calibri" w:hAnsi="Calibri"/>
          <w:szCs w:val="20"/>
        </w:rPr>
        <w:t>The</w:t>
      </w:r>
      <w:r>
        <w:rPr>
          <w:rFonts w:ascii="Calibri" w:hAnsi="Calibri"/>
          <w:szCs w:val="20"/>
        </w:rPr>
        <w:t xml:space="preserve"> integration of gender and climate change considerations into programs </w:t>
      </w:r>
      <w:r w:rsidR="00267C9A">
        <w:rPr>
          <w:rFonts w:ascii="Calibri" w:hAnsi="Calibri"/>
          <w:szCs w:val="20"/>
        </w:rPr>
        <w:t>could</w:t>
      </w:r>
      <w:r>
        <w:rPr>
          <w:rFonts w:ascii="Calibri" w:hAnsi="Calibri"/>
          <w:szCs w:val="20"/>
        </w:rPr>
        <w:t xml:space="preserve"> be more systematic.  In particular, </w:t>
      </w:r>
      <w:r w:rsidR="00C94154">
        <w:rPr>
          <w:rFonts w:ascii="Calibri" w:hAnsi="Calibri"/>
          <w:szCs w:val="20"/>
        </w:rPr>
        <w:t>greater clarity</w:t>
      </w:r>
      <w:r w:rsidRPr="00006923">
        <w:rPr>
          <w:rFonts w:ascii="Calibri" w:hAnsi="Calibri"/>
          <w:szCs w:val="20"/>
        </w:rPr>
        <w:t xml:space="preserve"> on when a gender-targeted approach may be appropriate, and where a gender-sensitive approach is needed; too often programs get caught between the two and are unable to robustly justify which makes sense.</w:t>
      </w:r>
    </w:p>
    <w:p w:rsidR="00006923" w:rsidRPr="00006923" w:rsidRDefault="00006923" w:rsidP="00601861">
      <w:pPr>
        <w:spacing w:after="120"/>
        <w:rPr>
          <w:rFonts w:ascii="Calibri" w:hAnsi="Calibri"/>
          <w:szCs w:val="20"/>
        </w:rPr>
      </w:pPr>
      <w:r w:rsidRPr="00006923">
        <w:rPr>
          <w:rFonts w:ascii="Calibri" w:hAnsi="Calibri"/>
          <w:b/>
          <w:szCs w:val="20"/>
        </w:rPr>
        <w:t xml:space="preserve">At present much of </w:t>
      </w:r>
      <w:proofErr w:type="spellStart"/>
      <w:r w:rsidR="00267C9A">
        <w:rPr>
          <w:rFonts w:ascii="Calibri" w:hAnsi="Calibri"/>
          <w:b/>
          <w:szCs w:val="20"/>
        </w:rPr>
        <w:t>AusAID’s</w:t>
      </w:r>
      <w:proofErr w:type="spellEnd"/>
      <w:r w:rsidR="00267C9A">
        <w:rPr>
          <w:rFonts w:ascii="Calibri" w:hAnsi="Calibri"/>
          <w:b/>
          <w:szCs w:val="20"/>
        </w:rPr>
        <w:t xml:space="preserve"> </w:t>
      </w:r>
      <w:r w:rsidRPr="00006923">
        <w:rPr>
          <w:rFonts w:ascii="Calibri" w:hAnsi="Calibri"/>
          <w:b/>
          <w:szCs w:val="20"/>
        </w:rPr>
        <w:t>social protection programming is focused on short-term humanitarian relief</w:t>
      </w:r>
      <w:r w:rsidRPr="00006923">
        <w:rPr>
          <w:rFonts w:ascii="Calibri" w:hAnsi="Calibri"/>
          <w:szCs w:val="20"/>
        </w:rPr>
        <w:t xml:space="preserve">.  Lessons from our food price response demonstrate the importance of establishing long-term national social protection programmes that can be scaled-up at times of crisis.  </w:t>
      </w:r>
      <w:r w:rsidR="00267C9A">
        <w:rPr>
          <w:rFonts w:ascii="Calibri" w:hAnsi="Calibri"/>
          <w:szCs w:val="20"/>
        </w:rPr>
        <w:t>There is a</w:t>
      </w:r>
      <w:r w:rsidR="00267C9A" w:rsidRPr="00006923">
        <w:rPr>
          <w:rFonts w:ascii="Calibri" w:hAnsi="Calibri"/>
          <w:szCs w:val="20"/>
        </w:rPr>
        <w:t xml:space="preserve"> </w:t>
      </w:r>
      <w:r w:rsidRPr="00006923">
        <w:rPr>
          <w:rFonts w:ascii="Calibri" w:hAnsi="Calibri"/>
          <w:szCs w:val="20"/>
        </w:rPr>
        <w:t xml:space="preserve">need to harness the momentum from </w:t>
      </w:r>
      <w:smartTag w:uri="urn:schemas-microsoft-com:office:smarttags" w:element="country-region">
        <w:smartTag w:uri="urn:schemas-microsoft-com:office:smarttags" w:element="place">
          <w:r w:rsidR="00267C9A">
            <w:rPr>
              <w:rFonts w:ascii="Calibri" w:hAnsi="Calibri"/>
              <w:szCs w:val="20"/>
            </w:rPr>
            <w:t>Australia</w:t>
          </w:r>
        </w:smartTag>
      </w:smartTag>
      <w:r w:rsidR="00267C9A">
        <w:rPr>
          <w:rFonts w:ascii="Calibri" w:hAnsi="Calibri"/>
          <w:szCs w:val="20"/>
        </w:rPr>
        <w:t>’s</w:t>
      </w:r>
      <w:r w:rsidR="00267C9A" w:rsidRPr="00006923">
        <w:rPr>
          <w:rFonts w:ascii="Calibri" w:hAnsi="Calibri"/>
          <w:szCs w:val="20"/>
        </w:rPr>
        <w:t xml:space="preserve"> </w:t>
      </w:r>
      <w:r w:rsidRPr="00006923">
        <w:rPr>
          <w:rFonts w:ascii="Calibri" w:hAnsi="Calibri"/>
          <w:szCs w:val="20"/>
        </w:rPr>
        <w:t xml:space="preserve">food price response and translate this into clearer principles and ways of working so </w:t>
      </w:r>
      <w:r w:rsidR="00267C9A">
        <w:rPr>
          <w:rFonts w:ascii="Calibri" w:hAnsi="Calibri"/>
          <w:szCs w:val="20"/>
        </w:rPr>
        <w:t>as to</w:t>
      </w:r>
      <w:r w:rsidR="00267C9A" w:rsidRPr="00006923">
        <w:rPr>
          <w:rFonts w:ascii="Calibri" w:hAnsi="Calibri"/>
          <w:szCs w:val="20"/>
        </w:rPr>
        <w:t xml:space="preserve"> </w:t>
      </w:r>
      <w:r w:rsidRPr="00006923">
        <w:rPr>
          <w:rFonts w:ascii="Calibri" w:hAnsi="Calibri"/>
          <w:szCs w:val="20"/>
        </w:rPr>
        <w:t>provide real added-value in social protection rather than simply augmenting multilateral funds.</w:t>
      </w:r>
    </w:p>
    <w:p w:rsidR="0072752A" w:rsidRPr="00614815" w:rsidRDefault="00267C9A" w:rsidP="0072752A">
      <w:pPr>
        <w:pStyle w:val="Caption2"/>
      </w:pPr>
      <w:proofErr w:type="spellStart"/>
      <w:r>
        <w:t>AusAID</w:t>
      </w:r>
      <w:proofErr w:type="spellEnd"/>
      <w:r>
        <w:t xml:space="preserve"> needs to consolidate its RD effort into fewer larger programs, or portfolios of activities, all of which consistently deliver on the key eight outcomes. </w:t>
      </w:r>
      <w:r w:rsidR="00006923" w:rsidRPr="00006923">
        <w:t xml:space="preserve">In 2009-10 </w:t>
      </w:r>
      <w:proofErr w:type="spellStart"/>
      <w:r w:rsidR="00456BE3">
        <w:t>AusAID</w:t>
      </w:r>
      <w:proofErr w:type="spellEnd"/>
      <w:r w:rsidR="00456BE3">
        <w:t xml:space="preserve"> </w:t>
      </w:r>
      <w:r w:rsidR="00006923" w:rsidRPr="00006923">
        <w:t xml:space="preserve">managed only 11 initiatives that disbursed over A$5m that year. Too many of </w:t>
      </w:r>
      <w:r w:rsidR="00B234D4">
        <w:t xml:space="preserve">our smaller </w:t>
      </w:r>
      <w:r w:rsidR="00006923" w:rsidRPr="00006923">
        <w:t>activities</w:t>
      </w:r>
      <w:r w:rsidR="00B234D4">
        <w:t xml:space="preserve"> </w:t>
      </w:r>
      <w:r w:rsidR="00006923" w:rsidRPr="00006923">
        <w:t xml:space="preserve">relate only weakly to the eight RD outcomes.  To effectively manage a rapidly expanding RD investment, </w:t>
      </w:r>
      <w:proofErr w:type="spellStart"/>
      <w:r w:rsidR="00456BE3">
        <w:t>AusAID</w:t>
      </w:r>
      <w:proofErr w:type="spellEnd"/>
      <w:r w:rsidR="00006923" w:rsidRPr="00006923">
        <w:t xml:space="preserve"> need</w:t>
      </w:r>
      <w:r w:rsidR="00456BE3">
        <w:t>s</w:t>
      </w:r>
      <w:r w:rsidR="00006923" w:rsidRPr="00006923">
        <w:t xml:space="preserve"> to consolidate into fewer larger programs, or portfolios of activities with a consistent focus on the eight outcomes.  </w:t>
      </w:r>
      <w:r w:rsidR="00456BE3">
        <w:t xml:space="preserve">Deeper understanding is required of </w:t>
      </w:r>
      <w:r w:rsidR="00006923" w:rsidRPr="00006923">
        <w:t xml:space="preserve">how the proliferation of small activities occurs, and </w:t>
      </w:r>
      <w:r w:rsidR="00456BE3">
        <w:t xml:space="preserve">how to </w:t>
      </w:r>
      <w:r w:rsidR="00006923" w:rsidRPr="00006923">
        <w:t>manage this accordingly.</w:t>
      </w:r>
      <w:r w:rsidR="000F60B8">
        <w:br w:type="page"/>
      </w:r>
      <w:bookmarkStart w:id="16" w:name="_Ref279749739"/>
      <w:proofErr w:type="gramStart"/>
      <w:r w:rsidR="00006923" w:rsidRPr="0072752A">
        <w:lastRenderedPageBreak/>
        <w:t>Table 3.</w:t>
      </w:r>
      <w:proofErr w:type="gramEnd"/>
      <w:r w:rsidR="00006923" w:rsidRPr="0072752A">
        <w:t xml:space="preserve"> </w:t>
      </w:r>
      <w:proofErr w:type="gramStart"/>
      <w:r w:rsidR="00006923" w:rsidRPr="0072752A">
        <w:t>APPR progress ratings for RD objectives.</w:t>
      </w:r>
      <w:bookmarkEnd w:id="16"/>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715"/>
        <w:gridCol w:w="1374"/>
        <w:gridCol w:w="1311"/>
        <w:gridCol w:w="1382"/>
      </w:tblGrid>
      <w:tr w:rsidR="002F57CD" w:rsidRPr="00764AC1" w:rsidTr="00FA13E0">
        <w:trPr>
          <w:cantSplit/>
          <w:tblHeader/>
        </w:trPr>
        <w:tc>
          <w:tcPr>
            <w:tcW w:w="1817" w:type="dxa"/>
            <w:shd w:val="clear" w:color="auto" w:fill="CCCCCC"/>
          </w:tcPr>
          <w:p w:rsidR="00006923" w:rsidRPr="00764AC1" w:rsidRDefault="00006923" w:rsidP="00764AC1">
            <w:pPr>
              <w:jc w:val="center"/>
              <w:rPr>
                <w:rFonts w:ascii="Calibri" w:hAnsi="Calibri"/>
                <w:b/>
                <w:sz w:val="16"/>
                <w:szCs w:val="16"/>
              </w:rPr>
            </w:pPr>
            <w:r w:rsidRPr="00764AC1">
              <w:rPr>
                <w:rFonts w:ascii="Calibri" w:hAnsi="Calibri"/>
                <w:b/>
                <w:sz w:val="16"/>
                <w:szCs w:val="16"/>
              </w:rPr>
              <w:t>APPR</w:t>
            </w:r>
          </w:p>
        </w:tc>
        <w:tc>
          <w:tcPr>
            <w:tcW w:w="4765" w:type="dxa"/>
            <w:shd w:val="clear" w:color="auto" w:fill="CCCCCC"/>
          </w:tcPr>
          <w:p w:rsidR="00006923" w:rsidRPr="00764AC1" w:rsidRDefault="00006923" w:rsidP="00764AC1">
            <w:pPr>
              <w:jc w:val="center"/>
              <w:rPr>
                <w:rFonts w:ascii="Calibri" w:hAnsi="Calibri"/>
                <w:b/>
                <w:sz w:val="16"/>
                <w:szCs w:val="16"/>
              </w:rPr>
            </w:pPr>
            <w:r w:rsidRPr="00764AC1">
              <w:rPr>
                <w:rFonts w:ascii="Calibri" w:hAnsi="Calibri"/>
                <w:b/>
                <w:sz w:val="16"/>
                <w:szCs w:val="16"/>
              </w:rPr>
              <w:t>Rural Development Objectives</w:t>
            </w:r>
          </w:p>
        </w:tc>
        <w:tc>
          <w:tcPr>
            <w:tcW w:w="2462" w:type="dxa"/>
            <w:shd w:val="clear" w:color="auto" w:fill="CCCCCC"/>
          </w:tcPr>
          <w:p w:rsidR="00006923" w:rsidRPr="00764AC1" w:rsidRDefault="00006923" w:rsidP="00764AC1">
            <w:pPr>
              <w:jc w:val="center"/>
              <w:rPr>
                <w:rFonts w:ascii="Calibri" w:hAnsi="Calibri"/>
                <w:b/>
                <w:sz w:val="16"/>
                <w:szCs w:val="16"/>
              </w:rPr>
            </w:pPr>
            <w:r w:rsidRPr="00764AC1">
              <w:rPr>
                <w:rFonts w:ascii="Calibri" w:hAnsi="Calibri"/>
                <w:b/>
                <w:sz w:val="16"/>
                <w:szCs w:val="16"/>
              </w:rPr>
              <w:t>Rating 08/09</w:t>
            </w:r>
          </w:p>
        </w:tc>
        <w:tc>
          <w:tcPr>
            <w:tcW w:w="2288" w:type="dxa"/>
            <w:shd w:val="clear" w:color="auto" w:fill="CCCCCC"/>
          </w:tcPr>
          <w:p w:rsidR="00006923" w:rsidRPr="00764AC1" w:rsidRDefault="00006923" w:rsidP="006415EE">
            <w:pPr>
              <w:jc w:val="center"/>
              <w:rPr>
                <w:rFonts w:ascii="Calibri" w:hAnsi="Calibri"/>
                <w:b/>
                <w:sz w:val="16"/>
                <w:szCs w:val="16"/>
              </w:rPr>
            </w:pPr>
            <w:r w:rsidRPr="00764AC1">
              <w:rPr>
                <w:rFonts w:ascii="Calibri" w:hAnsi="Calibri"/>
                <w:b/>
                <w:sz w:val="16"/>
                <w:szCs w:val="16"/>
              </w:rPr>
              <w:t>Rating 09/10</w:t>
            </w:r>
          </w:p>
        </w:tc>
        <w:tc>
          <w:tcPr>
            <w:tcW w:w="2130" w:type="dxa"/>
            <w:shd w:val="clear" w:color="auto" w:fill="CCCCCC"/>
          </w:tcPr>
          <w:p w:rsidR="00006923" w:rsidRPr="00764AC1" w:rsidRDefault="00006923" w:rsidP="00764AC1">
            <w:pPr>
              <w:jc w:val="center"/>
              <w:rPr>
                <w:rFonts w:ascii="Calibri" w:hAnsi="Calibri"/>
                <w:b/>
                <w:sz w:val="16"/>
                <w:szCs w:val="16"/>
              </w:rPr>
            </w:pPr>
            <w:r w:rsidRPr="00764AC1">
              <w:rPr>
                <w:rFonts w:ascii="Calibri" w:hAnsi="Calibri"/>
                <w:b/>
                <w:sz w:val="16"/>
                <w:szCs w:val="16"/>
              </w:rPr>
              <w:t>Change</w:t>
            </w:r>
          </w:p>
        </w:tc>
      </w:tr>
      <w:tr w:rsidR="002F57CD" w:rsidRPr="00764AC1" w:rsidTr="00FA13E0">
        <w:trPr>
          <w:cantSplit/>
        </w:trPr>
        <w:tc>
          <w:tcPr>
            <w:tcW w:w="1817" w:type="dxa"/>
            <w:shd w:val="clear" w:color="auto" w:fill="auto"/>
          </w:tcPr>
          <w:p w:rsidR="00006923" w:rsidRPr="00764AC1" w:rsidRDefault="00006923" w:rsidP="00540196">
            <w:pPr>
              <w:rPr>
                <w:rFonts w:ascii="Calibri" w:hAnsi="Calibri"/>
                <w:sz w:val="16"/>
                <w:szCs w:val="16"/>
              </w:rPr>
            </w:pPr>
            <w:r w:rsidRPr="00764AC1">
              <w:rPr>
                <w:rFonts w:ascii="Calibri" w:hAnsi="Calibri"/>
                <w:sz w:val="16"/>
                <w:szCs w:val="16"/>
              </w:rPr>
              <w:t>Africa</w:t>
            </w:r>
          </w:p>
        </w:tc>
        <w:tc>
          <w:tcPr>
            <w:tcW w:w="4765" w:type="dxa"/>
            <w:shd w:val="clear" w:color="auto" w:fill="auto"/>
          </w:tcPr>
          <w:p w:rsidR="00006923" w:rsidRPr="00764AC1" w:rsidRDefault="00006923" w:rsidP="00540196">
            <w:pPr>
              <w:rPr>
                <w:rFonts w:ascii="Calibri" w:hAnsi="Calibri"/>
                <w:sz w:val="16"/>
                <w:szCs w:val="16"/>
              </w:rPr>
            </w:pPr>
            <w:r w:rsidRPr="00764AC1">
              <w:rPr>
                <w:rFonts w:ascii="Calibri" w:hAnsi="Calibri"/>
                <w:sz w:val="16"/>
                <w:szCs w:val="16"/>
              </w:rPr>
              <w:t xml:space="preserve">To support African countries in their efforts to make progress towards the MDGs (focusing on areas where </w:t>
            </w:r>
            <w:smartTag w:uri="urn:schemas-microsoft-com:office:smarttags" w:element="country-region">
              <w:smartTag w:uri="urn:schemas-microsoft-com:office:smarttags" w:element="place">
                <w:r w:rsidRPr="00764AC1">
                  <w:rPr>
                    <w:rFonts w:ascii="Calibri" w:hAnsi="Calibri"/>
                    <w:sz w:val="16"/>
                    <w:szCs w:val="16"/>
                  </w:rPr>
                  <w:t>Australia</w:t>
                </w:r>
              </w:smartTag>
            </w:smartTag>
            <w:r w:rsidRPr="00764AC1">
              <w:rPr>
                <w:rFonts w:ascii="Calibri" w:hAnsi="Calibri"/>
                <w:sz w:val="16"/>
                <w:szCs w:val="16"/>
              </w:rPr>
              <w:t xml:space="preserve"> has experience and/or expertise). </w:t>
            </w:r>
          </w:p>
        </w:tc>
        <w:tc>
          <w:tcPr>
            <w:tcW w:w="2462" w:type="dxa"/>
            <w:shd w:val="clear" w:color="auto" w:fill="auto"/>
          </w:tcPr>
          <w:p w:rsidR="00006923" w:rsidRPr="00764AC1" w:rsidRDefault="00006923" w:rsidP="00540196">
            <w:pPr>
              <w:rPr>
                <w:rFonts w:ascii="Calibri" w:hAnsi="Calibri"/>
                <w:sz w:val="16"/>
                <w:szCs w:val="16"/>
              </w:rPr>
            </w:pPr>
          </w:p>
          <w:p w:rsidR="00006923" w:rsidRPr="00764AC1" w:rsidRDefault="00006923" w:rsidP="00540196">
            <w:pPr>
              <w:rPr>
                <w:rFonts w:ascii="Calibri" w:hAnsi="Calibri"/>
                <w:sz w:val="16"/>
                <w:szCs w:val="16"/>
              </w:rPr>
            </w:pPr>
            <w:r w:rsidRPr="00764AC1">
              <w:rPr>
                <w:rFonts w:ascii="Calibri" w:hAnsi="Calibri"/>
                <w:sz w:val="16"/>
                <w:szCs w:val="16"/>
              </w:rPr>
              <w:t>n/a</w:t>
            </w:r>
          </w:p>
        </w:tc>
        <w:tc>
          <w:tcPr>
            <w:tcW w:w="2288" w:type="dxa"/>
            <w:shd w:val="clear" w:color="auto" w:fill="FF9900"/>
          </w:tcPr>
          <w:p w:rsidR="00006923" w:rsidRPr="00764AC1" w:rsidRDefault="00006923" w:rsidP="006415EE">
            <w:pPr>
              <w:jc w:val="center"/>
              <w:rPr>
                <w:rFonts w:ascii="Calibri" w:hAnsi="Calibri"/>
                <w:sz w:val="16"/>
                <w:szCs w:val="16"/>
              </w:rPr>
            </w:pPr>
          </w:p>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540196">
            <w:pPr>
              <w:rPr>
                <w:rFonts w:ascii="Calibri" w:hAnsi="Calibri"/>
                <w:sz w:val="16"/>
                <w:szCs w:val="16"/>
              </w:rPr>
            </w:pPr>
          </w:p>
          <w:p w:rsidR="00006923" w:rsidRPr="00764AC1" w:rsidRDefault="00006923" w:rsidP="00540196">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540196">
            <w:pPr>
              <w:rPr>
                <w:rFonts w:ascii="Calibri" w:hAnsi="Calibri"/>
                <w:sz w:val="16"/>
                <w:szCs w:val="16"/>
              </w:rPr>
            </w:pPr>
          </w:p>
        </w:tc>
        <w:tc>
          <w:tcPr>
            <w:tcW w:w="4765" w:type="dxa"/>
            <w:shd w:val="clear" w:color="auto" w:fill="auto"/>
          </w:tcPr>
          <w:p w:rsidR="00006923" w:rsidRPr="00764AC1" w:rsidRDefault="00006923" w:rsidP="00540196">
            <w:pPr>
              <w:rPr>
                <w:rFonts w:ascii="Calibri" w:hAnsi="Calibri"/>
                <w:sz w:val="16"/>
                <w:szCs w:val="16"/>
              </w:rPr>
            </w:pPr>
            <w:r w:rsidRPr="00764AC1">
              <w:rPr>
                <w:rFonts w:ascii="Calibri" w:hAnsi="Calibri"/>
                <w:sz w:val="16"/>
                <w:szCs w:val="16"/>
              </w:rPr>
              <w:t xml:space="preserve">To build relationships between Australia and Africa that will strengthen </w:t>
            </w:r>
            <w:r w:rsidR="00FA13E0" w:rsidRPr="00764AC1">
              <w:rPr>
                <w:rFonts w:ascii="Calibri" w:hAnsi="Calibri"/>
                <w:sz w:val="16"/>
                <w:szCs w:val="16"/>
              </w:rPr>
              <w:t>Africa’s</w:t>
            </w:r>
            <w:r w:rsidRPr="00764AC1">
              <w:rPr>
                <w:rFonts w:ascii="Calibri" w:hAnsi="Calibri"/>
                <w:sz w:val="16"/>
                <w:szCs w:val="16"/>
              </w:rPr>
              <w:t xml:space="preserve"> human resource capacity.</w:t>
            </w:r>
          </w:p>
        </w:tc>
        <w:tc>
          <w:tcPr>
            <w:tcW w:w="2462" w:type="dxa"/>
            <w:shd w:val="clear" w:color="auto" w:fill="auto"/>
          </w:tcPr>
          <w:p w:rsidR="00006923" w:rsidRPr="00764AC1" w:rsidRDefault="00006923" w:rsidP="00540196">
            <w:pPr>
              <w:rPr>
                <w:rFonts w:ascii="Calibri" w:hAnsi="Calibri"/>
                <w:sz w:val="16"/>
                <w:szCs w:val="16"/>
              </w:rPr>
            </w:pPr>
            <w:r w:rsidRPr="00764AC1">
              <w:rPr>
                <w:rFonts w:ascii="Calibri" w:hAnsi="Calibri"/>
                <w:sz w:val="16"/>
                <w:szCs w:val="16"/>
              </w:rPr>
              <w:t>n/a</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540196">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540196">
            <w:pPr>
              <w:rPr>
                <w:rFonts w:ascii="Calibri" w:hAnsi="Calibri"/>
                <w:sz w:val="16"/>
                <w:szCs w:val="16"/>
              </w:rPr>
            </w:pPr>
          </w:p>
        </w:tc>
        <w:tc>
          <w:tcPr>
            <w:tcW w:w="4765" w:type="dxa"/>
            <w:shd w:val="clear" w:color="auto" w:fill="auto"/>
          </w:tcPr>
          <w:p w:rsidR="00006923" w:rsidRPr="00764AC1" w:rsidRDefault="00006923" w:rsidP="00540196">
            <w:pPr>
              <w:rPr>
                <w:rFonts w:ascii="Calibri" w:hAnsi="Calibri"/>
                <w:sz w:val="16"/>
                <w:szCs w:val="16"/>
              </w:rPr>
            </w:pPr>
            <w:r w:rsidRPr="00764AC1">
              <w:rPr>
                <w:rFonts w:ascii="Calibri" w:hAnsi="Calibri"/>
                <w:sz w:val="16"/>
                <w:szCs w:val="16"/>
              </w:rPr>
              <w:t xml:space="preserve">To relieve human suffering through the provision of humanitarian assistances to protracted crises in </w:t>
            </w:r>
            <w:smartTag w:uri="urn:schemas-microsoft-com:office:smarttags" w:element="place">
              <w:r w:rsidRPr="00764AC1">
                <w:rPr>
                  <w:rFonts w:ascii="Calibri" w:hAnsi="Calibri"/>
                  <w:sz w:val="16"/>
                  <w:szCs w:val="16"/>
                </w:rPr>
                <w:t>Africa</w:t>
              </w:r>
            </w:smartTag>
          </w:p>
        </w:tc>
        <w:tc>
          <w:tcPr>
            <w:tcW w:w="2462" w:type="dxa"/>
            <w:shd w:val="clear" w:color="auto" w:fill="auto"/>
          </w:tcPr>
          <w:p w:rsidR="00006923" w:rsidRPr="00764AC1" w:rsidRDefault="00006923" w:rsidP="00540196">
            <w:pPr>
              <w:rPr>
                <w:rFonts w:ascii="Calibri" w:hAnsi="Calibri"/>
                <w:sz w:val="16"/>
                <w:szCs w:val="16"/>
              </w:rPr>
            </w:pPr>
            <w:r w:rsidRPr="00764AC1">
              <w:rPr>
                <w:rFonts w:ascii="Calibri" w:hAnsi="Calibri"/>
                <w:sz w:val="16"/>
                <w:szCs w:val="16"/>
              </w:rPr>
              <w:t>n/a</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540196">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540196">
            <w:pPr>
              <w:rPr>
                <w:rFonts w:ascii="Calibri" w:hAnsi="Calibri"/>
                <w:sz w:val="16"/>
                <w:szCs w:val="16"/>
              </w:rPr>
            </w:pPr>
            <w:r w:rsidRPr="00764AC1">
              <w:rPr>
                <w:rFonts w:ascii="Calibri" w:hAnsi="Calibri"/>
                <w:sz w:val="16"/>
                <w:szCs w:val="16"/>
              </w:rPr>
              <w:t>Laos</w:t>
            </w:r>
          </w:p>
        </w:tc>
        <w:tc>
          <w:tcPr>
            <w:tcW w:w="4765" w:type="dxa"/>
            <w:shd w:val="clear" w:color="auto" w:fill="auto"/>
          </w:tcPr>
          <w:p w:rsidR="00006923" w:rsidRPr="00764AC1" w:rsidRDefault="00006923" w:rsidP="00540196">
            <w:pPr>
              <w:rPr>
                <w:rFonts w:ascii="Calibri" w:hAnsi="Calibri"/>
                <w:sz w:val="16"/>
                <w:szCs w:val="16"/>
              </w:rPr>
            </w:pPr>
            <w:r w:rsidRPr="00764AC1">
              <w:rPr>
                <w:rFonts w:ascii="Calibri" w:hAnsi="Calibri"/>
                <w:sz w:val="16"/>
                <w:szCs w:val="16"/>
              </w:rPr>
              <w:t>Delivery and modelling of effective programs that result in equitable and sustainable improvements to livelihoods in targeted poor geographic areas.</w:t>
            </w:r>
          </w:p>
          <w:p w:rsidR="00006923" w:rsidRPr="00764AC1" w:rsidRDefault="00006923" w:rsidP="00540196">
            <w:pPr>
              <w:rPr>
                <w:rFonts w:ascii="Calibri" w:hAnsi="Calibri"/>
                <w:sz w:val="16"/>
                <w:szCs w:val="16"/>
              </w:rPr>
            </w:pPr>
          </w:p>
        </w:tc>
        <w:tc>
          <w:tcPr>
            <w:tcW w:w="2462"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540196">
            <w:pPr>
              <w:rPr>
                <w:rFonts w:ascii="Calibri" w:hAnsi="Calibri"/>
                <w:sz w:val="16"/>
                <w:szCs w:val="16"/>
              </w:rPr>
            </w:pPr>
          </w:p>
          <w:p w:rsidR="00006923" w:rsidRPr="00764AC1" w:rsidRDefault="00006923" w:rsidP="00540196">
            <w:pPr>
              <w:rPr>
                <w:rFonts w:ascii="Calibri" w:hAnsi="Calibri"/>
                <w:sz w:val="16"/>
                <w:szCs w:val="16"/>
              </w:rPr>
            </w:pPr>
            <w:r w:rsidRPr="00764AC1">
              <w:rPr>
                <w:rFonts w:ascii="Calibri" w:hAnsi="Calibri"/>
                <w:sz w:val="16"/>
                <w:szCs w:val="16"/>
              </w:rPr>
              <w:t>Improved</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Improved prioritisation, delivery efficiency and coordination of mine action activities.</w:t>
            </w:r>
          </w:p>
        </w:tc>
        <w:tc>
          <w:tcPr>
            <w:tcW w:w="2462"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Improved</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Policy and institutional impediments to trade and investment addressed in sectors that contribute to inclusive growth.</w:t>
            </w:r>
          </w:p>
        </w:tc>
        <w:tc>
          <w:tcPr>
            <w:tcW w:w="2462"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288"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Declined</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Indonesia</w:t>
            </w: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08/09 Promoting rural productivity.</w:t>
            </w:r>
          </w:p>
          <w:p w:rsidR="00006923" w:rsidRPr="00764AC1" w:rsidRDefault="00006923" w:rsidP="007B23FD">
            <w:pPr>
              <w:rPr>
                <w:rFonts w:ascii="Calibri" w:hAnsi="Calibri"/>
                <w:sz w:val="16"/>
                <w:szCs w:val="16"/>
              </w:rPr>
            </w:pPr>
          </w:p>
          <w:p w:rsidR="00006923" w:rsidRPr="00764AC1" w:rsidRDefault="00006923" w:rsidP="007B23FD">
            <w:pPr>
              <w:rPr>
                <w:rFonts w:ascii="Calibri" w:hAnsi="Calibri"/>
                <w:sz w:val="16"/>
                <w:szCs w:val="16"/>
              </w:rPr>
            </w:pPr>
          </w:p>
        </w:tc>
        <w:tc>
          <w:tcPr>
            <w:tcW w:w="2462"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288" w:type="dxa"/>
            <w:shd w:val="clear" w:color="auto" w:fill="auto"/>
          </w:tcPr>
          <w:p w:rsidR="00006923" w:rsidRPr="00764AC1" w:rsidRDefault="00006923" w:rsidP="006415EE">
            <w:pPr>
              <w:jc w:val="center"/>
              <w:rPr>
                <w:rFonts w:ascii="Calibri" w:hAnsi="Calibri"/>
                <w:sz w:val="16"/>
                <w:szCs w:val="16"/>
              </w:rPr>
            </w:pPr>
          </w:p>
          <w:p w:rsidR="00006923" w:rsidRPr="00764AC1" w:rsidRDefault="00006923" w:rsidP="006415EE">
            <w:pPr>
              <w:rPr>
                <w:rFonts w:ascii="Calibri" w:hAnsi="Calibri"/>
                <w:sz w:val="16"/>
                <w:szCs w:val="16"/>
              </w:rPr>
            </w:pPr>
            <w:r w:rsidRPr="00764AC1">
              <w:rPr>
                <w:rFonts w:ascii="Calibri" w:hAnsi="Calibri"/>
                <w:sz w:val="16"/>
                <w:szCs w:val="16"/>
              </w:rPr>
              <w:t>n/a</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vMerge w:val="restart"/>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 xml:space="preserve">Outcomes applying to provinces of NTT, NTB, Papua and </w:t>
            </w:r>
            <w:smartTag w:uri="urn:schemas-microsoft-com:office:smarttags" w:element="place">
              <w:r w:rsidRPr="00764AC1">
                <w:rPr>
                  <w:rFonts w:ascii="Calibri" w:hAnsi="Calibri"/>
                  <w:sz w:val="16"/>
                  <w:szCs w:val="16"/>
                </w:rPr>
                <w:t>West Papua</w:t>
              </w:r>
            </w:smartTag>
            <w:r w:rsidRPr="00764AC1">
              <w:rPr>
                <w:rFonts w:ascii="Calibri" w:hAnsi="Calibri"/>
                <w:sz w:val="16"/>
                <w:szCs w:val="16"/>
              </w:rPr>
              <w:t>.</w:t>
            </w:r>
          </w:p>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p>
          <w:p w:rsidR="00006923" w:rsidRPr="00764AC1" w:rsidRDefault="00006923" w:rsidP="007B23FD">
            <w:pPr>
              <w:rPr>
                <w:rFonts w:ascii="Calibri" w:hAnsi="Calibri"/>
                <w:sz w:val="16"/>
                <w:szCs w:val="16"/>
              </w:rPr>
            </w:pPr>
            <w:r w:rsidRPr="00764AC1">
              <w:rPr>
                <w:rFonts w:ascii="Calibri" w:hAnsi="Calibri"/>
                <w:sz w:val="16"/>
                <w:szCs w:val="16"/>
              </w:rPr>
              <w:t>09/10  Better functioning of agricultural markets as part of value chains</w:t>
            </w:r>
          </w:p>
        </w:tc>
        <w:tc>
          <w:tcPr>
            <w:tcW w:w="2462" w:type="dxa"/>
            <w:shd w:val="clear" w:color="auto" w:fill="auto"/>
          </w:tcPr>
          <w:p w:rsidR="00006923" w:rsidRPr="00764AC1" w:rsidRDefault="00006923" w:rsidP="007B23FD">
            <w:pPr>
              <w:rPr>
                <w:rFonts w:ascii="Calibri" w:hAnsi="Calibri"/>
                <w:sz w:val="16"/>
                <w:szCs w:val="16"/>
              </w:rPr>
            </w:pPr>
          </w:p>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 xml:space="preserve"> n/a</w:t>
            </w:r>
          </w:p>
        </w:tc>
      </w:tr>
      <w:tr w:rsidR="002F57CD" w:rsidRPr="00764AC1" w:rsidTr="00FA13E0">
        <w:trPr>
          <w:cantSplit/>
        </w:trPr>
        <w:tc>
          <w:tcPr>
            <w:tcW w:w="1817" w:type="dxa"/>
            <w:vMerge/>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09/10 Improved enabling environment for agri-business that benefits smallholders, at the provincial and national level</w:t>
            </w:r>
          </w:p>
        </w:tc>
        <w:tc>
          <w:tcPr>
            <w:tcW w:w="2462"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vMerge/>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09/10 Improved capacity of agricultural agencies to conduct agricultural research and transfer the results for the benefit of small holders</w:t>
            </w:r>
          </w:p>
          <w:p w:rsidR="00006923" w:rsidRPr="00764AC1" w:rsidRDefault="00006923" w:rsidP="007B23FD">
            <w:pPr>
              <w:rPr>
                <w:rFonts w:ascii="Calibri" w:hAnsi="Calibri"/>
                <w:sz w:val="16"/>
                <w:szCs w:val="16"/>
              </w:rPr>
            </w:pPr>
          </w:p>
        </w:tc>
        <w:tc>
          <w:tcPr>
            <w:tcW w:w="2462"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vMerge/>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09/10 Improved smallholder agri-business practices</w:t>
            </w:r>
          </w:p>
        </w:tc>
        <w:tc>
          <w:tcPr>
            <w:tcW w:w="2462"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FF0000"/>
          </w:tcPr>
          <w:p w:rsidR="00006923" w:rsidRPr="00764AC1" w:rsidRDefault="006415EE" w:rsidP="006415EE">
            <w:pPr>
              <w:jc w:val="center"/>
              <w:rPr>
                <w:rFonts w:ascii="Calibri" w:hAnsi="Calibri"/>
                <w:sz w:val="16"/>
                <w:szCs w:val="16"/>
              </w:rPr>
            </w:pPr>
            <w:r>
              <w:rPr>
                <w:rFonts w:ascii="Calibri" w:hAnsi="Calibri"/>
                <w:sz w:val="16"/>
                <w:szCs w:val="16"/>
              </w:rPr>
              <w:t>(Red)</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 xml:space="preserve"> 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09/10 Reinforce the government’s management systems for national scale-up of PNPM, so that the larger poverty program will succeed</w:t>
            </w:r>
          </w:p>
        </w:tc>
        <w:tc>
          <w:tcPr>
            <w:tcW w:w="2462"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09/10 Promote the scale-up of two large pilot programs within PNPM that will reinforce and complement the block grant transfers that lie at the heart of the program for more effective poverty reduction</w:t>
            </w:r>
          </w:p>
        </w:tc>
        <w:tc>
          <w:tcPr>
            <w:tcW w:w="2462"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 xml:space="preserve">09/10 Increase </w:t>
            </w:r>
            <w:proofErr w:type="spellStart"/>
            <w:r w:rsidRPr="00764AC1">
              <w:rPr>
                <w:rFonts w:ascii="Calibri" w:hAnsi="Calibri"/>
                <w:sz w:val="16"/>
                <w:szCs w:val="16"/>
              </w:rPr>
              <w:t>GoI</w:t>
            </w:r>
            <w:proofErr w:type="spellEnd"/>
            <w:r w:rsidRPr="00764AC1">
              <w:rPr>
                <w:rFonts w:ascii="Calibri" w:hAnsi="Calibri"/>
                <w:sz w:val="16"/>
                <w:szCs w:val="16"/>
              </w:rPr>
              <w:t xml:space="preserve"> appetite for evidence-based policy making in social assistance and poverty reduction programs</w:t>
            </w:r>
          </w:p>
        </w:tc>
        <w:tc>
          <w:tcPr>
            <w:tcW w:w="2462"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Papua New Guinea</w:t>
            </w: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 xml:space="preserve"> A </w:t>
            </w:r>
            <w:proofErr w:type="gramStart"/>
            <w:r w:rsidRPr="00764AC1">
              <w:rPr>
                <w:rFonts w:ascii="Calibri" w:hAnsi="Calibri"/>
                <w:sz w:val="16"/>
                <w:szCs w:val="16"/>
              </w:rPr>
              <w:t>conducive</w:t>
            </w:r>
            <w:proofErr w:type="gramEnd"/>
            <w:r w:rsidRPr="00764AC1">
              <w:rPr>
                <w:rFonts w:ascii="Calibri" w:hAnsi="Calibri"/>
                <w:sz w:val="16"/>
                <w:szCs w:val="16"/>
              </w:rPr>
              <w:t xml:space="preserve"> enabling environment for private sector activity and investment.</w:t>
            </w:r>
          </w:p>
        </w:tc>
        <w:tc>
          <w:tcPr>
            <w:tcW w:w="2462" w:type="dxa"/>
            <w:shd w:val="clear" w:color="auto" w:fill="FF0000"/>
          </w:tcPr>
          <w:p w:rsidR="00006923" w:rsidRPr="00764AC1" w:rsidRDefault="006415EE" w:rsidP="006415EE">
            <w:pPr>
              <w:jc w:val="center"/>
              <w:rPr>
                <w:rFonts w:ascii="Calibri" w:hAnsi="Calibri"/>
                <w:sz w:val="16"/>
                <w:szCs w:val="16"/>
              </w:rPr>
            </w:pPr>
            <w:r>
              <w:rPr>
                <w:rFonts w:ascii="Calibri" w:hAnsi="Calibri"/>
                <w:sz w:val="16"/>
                <w:szCs w:val="16"/>
              </w:rPr>
              <w:t>(Red)</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7B23FD">
            <w:pPr>
              <w:rPr>
                <w:rFonts w:ascii="Calibri" w:hAnsi="Calibri"/>
                <w:sz w:val="16"/>
                <w:szCs w:val="16"/>
              </w:rPr>
            </w:pPr>
          </w:p>
          <w:p w:rsidR="00006923" w:rsidRPr="00764AC1" w:rsidRDefault="00006923" w:rsidP="007B23FD">
            <w:pPr>
              <w:rPr>
                <w:rFonts w:ascii="Calibri" w:hAnsi="Calibri"/>
                <w:sz w:val="16"/>
                <w:szCs w:val="16"/>
              </w:rPr>
            </w:pPr>
            <w:r w:rsidRPr="00764AC1">
              <w:rPr>
                <w:rFonts w:ascii="Calibri" w:hAnsi="Calibri"/>
                <w:sz w:val="16"/>
                <w:szCs w:val="16"/>
              </w:rPr>
              <w:t>Improved</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09/10 Sustainable and secure improvements in food supply and incomes for smallholders.</w:t>
            </w:r>
          </w:p>
        </w:tc>
        <w:tc>
          <w:tcPr>
            <w:tcW w:w="2462"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tcBorders>
              <w:bottom w:val="single" w:sz="4" w:space="0" w:color="auto"/>
            </w:tcBorders>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08/09 Increased agricultural productivity.</w:t>
            </w:r>
          </w:p>
        </w:tc>
        <w:tc>
          <w:tcPr>
            <w:tcW w:w="2462"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288" w:type="dxa"/>
            <w:shd w:val="clear" w:color="auto" w:fill="auto"/>
          </w:tcPr>
          <w:p w:rsidR="00006923" w:rsidRPr="00764AC1" w:rsidRDefault="00006923" w:rsidP="006415EE">
            <w:pPr>
              <w:rPr>
                <w:rFonts w:ascii="Calibri" w:hAnsi="Calibri"/>
                <w:sz w:val="16"/>
                <w:szCs w:val="16"/>
              </w:rPr>
            </w:pPr>
            <w:r w:rsidRPr="00764AC1">
              <w:rPr>
                <w:rFonts w:ascii="Calibri" w:hAnsi="Calibri"/>
                <w:sz w:val="16"/>
                <w:szCs w:val="16"/>
              </w:rPr>
              <w:t>n/a</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highlight w:val="yellow"/>
              </w:rPr>
            </w:pPr>
            <w:r w:rsidRPr="00764AC1">
              <w:rPr>
                <w:rFonts w:ascii="Calibri" w:hAnsi="Calibri"/>
                <w:sz w:val="16"/>
                <w:szCs w:val="16"/>
              </w:rPr>
              <w:lastRenderedPageBreak/>
              <w:t>Vietnam</w:t>
            </w:r>
          </w:p>
        </w:tc>
        <w:tc>
          <w:tcPr>
            <w:tcW w:w="4765" w:type="dxa"/>
            <w:shd w:val="clear" w:color="auto" w:fill="auto"/>
          </w:tcPr>
          <w:p w:rsidR="00006923" w:rsidRPr="00764AC1" w:rsidRDefault="00006923" w:rsidP="007B23FD">
            <w:pPr>
              <w:pStyle w:val="TableTextColumnHeading"/>
              <w:rPr>
                <w:rFonts w:ascii="Calibri" w:hAnsi="Calibri"/>
                <w:sz w:val="16"/>
                <w:szCs w:val="16"/>
              </w:rPr>
            </w:pPr>
            <w:r w:rsidRPr="00764AC1">
              <w:rPr>
                <w:rFonts w:ascii="Calibri" w:hAnsi="Calibri"/>
                <w:sz w:val="16"/>
                <w:szCs w:val="16"/>
              </w:rPr>
              <w:t xml:space="preserve">The poverty rate of ethnic minorities households is reduced to 30 per cent by 2010 (MDG 1) </w:t>
            </w:r>
          </w:p>
          <w:p w:rsidR="00006923" w:rsidRPr="00764AC1" w:rsidRDefault="00006923" w:rsidP="007B23FD">
            <w:pPr>
              <w:rPr>
                <w:rFonts w:ascii="Calibri" w:hAnsi="Calibri"/>
                <w:sz w:val="16"/>
                <w:szCs w:val="16"/>
              </w:rPr>
            </w:pPr>
            <w:r w:rsidRPr="00764AC1">
              <w:rPr>
                <w:rFonts w:ascii="Calibri" w:hAnsi="Calibri"/>
                <w:sz w:val="16"/>
                <w:szCs w:val="16"/>
              </w:rPr>
              <w:t>GOV adopts better planning and implementation approaches to assist in alleviating poverty among ethnic minorities.</w:t>
            </w:r>
          </w:p>
        </w:tc>
        <w:tc>
          <w:tcPr>
            <w:tcW w:w="2462" w:type="dxa"/>
            <w:shd w:val="clear" w:color="auto" w:fill="FF9900"/>
          </w:tcPr>
          <w:p w:rsidR="00006923" w:rsidRPr="00764AC1" w:rsidRDefault="006415EE" w:rsidP="006415EE">
            <w:pPr>
              <w:jc w:val="center"/>
              <w:rPr>
                <w:rFonts w:ascii="Calibri" w:hAnsi="Calibri"/>
                <w:sz w:val="16"/>
                <w:szCs w:val="16"/>
                <w:highlight w:val="yellow"/>
              </w:rPr>
            </w:pPr>
            <w:r>
              <w:rPr>
                <w:rFonts w:ascii="Calibri" w:hAnsi="Calibri"/>
                <w:sz w:val="16"/>
                <w:szCs w:val="16"/>
              </w:rPr>
              <w:t>(Amber)</w:t>
            </w:r>
          </w:p>
        </w:tc>
        <w:tc>
          <w:tcPr>
            <w:tcW w:w="2288" w:type="dxa"/>
            <w:shd w:val="clear" w:color="auto" w:fill="FF9900"/>
          </w:tcPr>
          <w:p w:rsidR="00006923" w:rsidRPr="00764AC1" w:rsidRDefault="006415EE" w:rsidP="006415EE">
            <w:pPr>
              <w:jc w:val="center"/>
              <w:rPr>
                <w:rFonts w:ascii="Calibri" w:hAnsi="Calibri"/>
                <w:sz w:val="16"/>
                <w:szCs w:val="16"/>
                <w:highlight w:val="yellow"/>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p>
          <w:p w:rsidR="00006923" w:rsidRPr="00764AC1" w:rsidRDefault="00006923" w:rsidP="007B23FD">
            <w:pPr>
              <w:rPr>
                <w:rFonts w:ascii="Calibri" w:hAnsi="Calibri"/>
                <w:sz w:val="16"/>
                <w:szCs w:val="16"/>
              </w:rPr>
            </w:pPr>
            <w:r w:rsidRPr="00764AC1">
              <w:rPr>
                <w:rFonts w:ascii="Calibri" w:hAnsi="Calibri"/>
                <w:sz w:val="16"/>
                <w:szCs w:val="16"/>
              </w:rPr>
              <w:t>Unchanged</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 xml:space="preserve">Solomon </w:t>
            </w:r>
            <w:smartTag w:uri="urn:schemas-microsoft-com:office:smarttags" w:element="place">
              <w:r w:rsidRPr="00764AC1">
                <w:rPr>
                  <w:rFonts w:ascii="Calibri" w:hAnsi="Calibri"/>
                  <w:sz w:val="16"/>
                  <w:szCs w:val="16"/>
                </w:rPr>
                <w:t>Islands</w:t>
              </w:r>
            </w:smartTag>
            <w:r w:rsidRPr="00764AC1">
              <w:rPr>
                <w:rFonts w:ascii="Calibri" w:hAnsi="Calibri"/>
                <w:sz w:val="16"/>
                <w:szCs w:val="16"/>
              </w:rPr>
              <w:t xml:space="preserve"> (09/10 info is IN-CONFIDENCE)</w:t>
            </w: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 xml:space="preserve">08/09 Help the Solomon Islands Government better serve the </w:t>
            </w:r>
            <w:smartTag w:uri="urn:schemas-microsoft-com:office:smarttags" w:element="country-region">
              <w:smartTag w:uri="urn:schemas-microsoft-com:office:smarttags" w:element="place">
                <w:r w:rsidRPr="00764AC1">
                  <w:rPr>
                    <w:rFonts w:ascii="Calibri" w:hAnsi="Calibri"/>
                    <w:sz w:val="16"/>
                    <w:szCs w:val="16"/>
                  </w:rPr>
                  <w:t>Solomon Islands</w:t>
                </w:r>
              </w:smartTag>
            </w:smartTag>
            <w:r w:rsidRPr="00764AC1">
              <w:rPr>
                <w:rFonts w:ascii="Calibri" w:hAnsi="Calibri"/>
                <w:sz w:val="16"/>
                <w:szCs w:val="16"/>
              </w:rPr>
              <w:t xml:space="preserve"> people.</w:t>
            </w:r>
          </w:p>
          <w:p w:rsidR="00006923" w:rsidRPr="00764AC1" w:rsidRDefault="00006923" w:rsidP="007B23FD">
            <w:pPr>
              <w:rPr>
                <w:rFonts w:ascii="Calibri" w:hAnsi="Calibri"/>
                <w:sz w:val="16"/>
                <w:szCs w:val="16"/>
              </w:rPr>
            </w:pPr>
          </w:p>
        </w:tc>
        <w:tc>
          <w:tcPr>
            <w:tcW w:w="2462"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288" w:type="dxa"/>
            <w:shd w:val="clear" w:color="auto" w:fill="auto"/>
          </w:tcPr>
          <w:p w:rsidR="00006923" w:rsidRPr="00764AC1" w:rsidRDefault="00006923" w:rsidP="006415EE">
            <w:pPr>
              <w:rPr>
                <w:rFonts w:ascii="Calibri" w:hAnsi="Calibri"/>
                <w:sz w:val="16"/>
                <w:szCs w:val="16"/>
              </w:rPr>
            </w:pPr>
            <w:r w:rsidRPr="00764AC1">
              <w:rPr>
                <w:rFonts w:ascii="Calibri" w:hAnsi="Calibri"/>
                <w:sz w:val="16"/>
                <w:szCs w:val="16"/>
              </w:rPr>
              <w:t>n/a</w:t>
            </w:r>
          </w:p>
        </w:tc>
        <w:tc>
          <w:tcPr>
            <w:tcW w:w="2130" w:type="dxa"/>
            <w:shd w:val="clear" w:color="auto" w:fill="auto"/>
          </w:tcPr>
          <w:p w:rsidR="00006923" w:rsidRPr="00764AC1" w:rsidRDefault="00006923" w:rsidP="007B23FD">
            <w:pPr>
              <w:rPr>
                <w:rFonts w:ascii="Calibri" w:hAnsi="Calibri"/>
                <w:sz w:val="16"/>
                <w:szCs w:val="16"/>
              </w:rPr>
            </w:pPr>
          </w:p>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08/09 Help build strong and peaceful communities.</w:t>
            </w:r>
          </w:p>
        </w:tc>
        <w:tc>
          <w:tcPr>
            <w:tcW w:w="2462"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288" w:type="dxa"/>
            <w:shd w:val="clear" w:color="auto" w:fill="auto"/>
          </w:tcPr>
          <w:p w:rsidR="00006923" w:rsidRPr="00764AC1" w:rsidRDefault="00006923" w:rsidP="006415EE">
            <w:pPr>
              <w:rPr>
                <w:rFonts w:ascii="Calibri" w:hAnsi="Calibri"/>
                <w:sz w:val="16"/>
                <w:szCs w:val="16"/>
              </w:rPr>
            </w:pPr>
            <w:r w:rsidRPr="00764AC1">
              <w:rPr>
                <w:rFonts w:ascii="Calibri" w:hAnsi="Calibri"/>
                <w:sz w:val="16"/>
                <w:szCs w:val="16"/>
              </w:rPr>
              <w:t>n/a</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09/10 To support more productive and sustainable utilisation of agricultural land, forests and marine resources, and the improved operation of markets for the benefits of rural households towards the MDG targets of 2015.</w:t>
            </w:r>
          </w:p>
        </w:tc>
        <w:tc>
          <w:tcPr>
            <w:tcW w:w="2462" w:type="dxa"/>
            <w:shd w:val="clear" w:color="auto" w:fill="auto"/>
          </w:tcPr>
          <w:p w:rsidR="00006923" w:rsidRPr="00764AC1" w:rsidRDefault="00006923" w:rsidP="007B23FD">
            <w:pPr>
              <w:rPr>
                <w:rFonts w:ascii="Calibri" w:hAnsi="Calibri"/>
                <w:sz w:val="16"/>
                <w:szCs w:val="16"/>
              </w:rPr>
            </w:pPr>
          </w:p>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09/10 Improve market access and service delivery through improved access to reliable transport, energy and telecommunications services towards the MDG targets of 2015.</w:t>
            </w:r>
          </w:p>
        </w:tc>
        <w:tc>
          <w:tcPr>
            <w:tcW w:w="2462"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Timor-Leste</w:t>
            </w: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08/09 Improve and protect food security and income-generation opportunities.</w:t>
            </w:r>
          </w:p>
          <w:p w:rsidR="00006923" w:rsidRPr="00764AC1" w:rsidRDefault="00006923" w:rsidP="007B23FD">
            <w:pPr>
              <w:rPr>
                <w:rFonts w:ascii="Calibri" w:hAnsi="Calibri"/>
                <w:sz w:val="16"/>
                <w:szCs w:val="16"/>
              </w:rPr>
            </w:pPr>
          </w:p>
        </w:tc>
        <w:tc>
          <w:tcPr>
            <w:tcW w:w="2462"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288" w:type="dxa"/>
            <w:shd w:val="clear" w:color="auto" w:fill="auto"/>
          </w:tcPr>
          <w:p w:rsidR="00006923" w:rsidRPr="00764AC1" w:rsidRDefault="00006923" w:rsidP="006415EE">
            <w:pPr>
              <w:jc w:val="center"/>
              <w:rPr>
                <w:rFonts w:ascii="Calibri" w:hAnsi="Calibri"/>
                <w:sz w:val="16"/>
                <w:szCs w:val="16"/>
              </w:rPr>
            </w:pPr>
          </w:p>
          <w:p w:rsidR="00006923" w:rsidRPr="00764AC1" w:rsidRDefault="00006923" w:rsidP="006415EE">
            <w:pPr>
              <w:rPr>
                <w:rFonts w:ascii="Calibri" w:hAnsi="Calibri"/>
                <w:sz w:val="16"/>
                <w:szCs w:val="16"/>
              </w:rPr>
            </w:pPr>
            <w:r w:rsidRPr="00764AC1">
              <w:rPr>
                <w:rFonts w:ascii="Calibri" w:hAnsi="Calibri"/>
                <w:sz w:val="16"/>
                <w:szCs w:val="16"/>
              </w:rPr>
              <w:t>n/a</w:t>
            </w:r>
          </w:p>
        </w:tc>
        <w:tc>
          <w:tcPr>
            <w:tcW w:w="2130" w:type="dxa"/>
            <w:shd w:val="clear" w:color="auto" w:fill="auto"/>
          </w:tcPr>
          <w:p w:rsidR="00006923" w:rsidRPr="00764AC1" w:rsidRDefault="00006923" w:rsidP="007B23FD">
            <w:pPr>
              <w:rPr>
                <w:rFonts w:ascii="Calibri" w:hAnsi="Calibri"/>
                <w:sz w:val="16"/>
                <w:szCs w:val="16"/>
              </w:rPr>
            </w:pPr>
          </w:p>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Height w:val="211"/>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Agricultural productivity.</w:t>
            </w:r>
          </w:p>
        </w:tc>
        <w:tc>
          <w:tcPr>
            <w:tcW w:w="2462"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Unchanged</w:t>
            </w:r>
          </w:p>
        </w:tc>
      </w:tr>
      <w:tr w:rsidR="002F57CD" w:rsidRPr="00764AC1" w:rsidTr="00FA13E0">
        <w:trPr>
          <w:cantSplit/>
          <w:trHeight w:val="1059"/>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 xml:space="preserve">09/10 Food security in </w:t>
            </w:r>
            <w:smartTag w:uri="urn:schemas-microsoft-com:office:smarttags" w:element="place">
              <w:r w:rsidRPr="00764AC1">
                <w:rPr>
                  <w:rFonts w:ascii="Calibri" w:hAnsi="Calibri"/>
                  <w:sz w:val="16"/>
                  <w:szCs w:val="16"/>
                </w:rPr>
                <w:t>East Timor</w:t>
              </w:r>
            </w:smartTag>
            <w:r w:rsidRPr="00764AC1">
              <w:rPr>
                <w:rFonts w:ascii="Calibri" w:hAnsi="Calibri"/>
                <w:sz w:val="16"/>
                <w:szCs w:val="16"/>
              </w:rPr>
              <w:t xml:space="preserve"> through greater access to improved food crop varieties which result in increased food production.</w:t>
            </w:r>
          </w:p>
          <w:p w:rsidR="00006923" w:rsidRPr="00764AC1" w:rsidRDefault="00006923" w:rsidP="007B23FD">
            <w:pPr>
              <w:rPr>
                <w:rFonts w:ascii="Calibri" w:hAnsi="Calibri"/>
                <w:sz w:val="16"/>
                <w:szCs w:val="16"/>
              </w:rPr>
            </w:pPr>
          </w:p>
          <w:p w:rsidR="00006923" w:rsidRPr="00764AC1" w:rsidRDefault="00006923" w:rsidP="007B23FD">
            <w:pPr>
              <w:rPr>
                <w:rFonts w:ascii="Calibri" w:hAnsi="Calibri"/>
                <w:sz w:val="16"/>
                <w:szCs w:val="16"/>
              </w:rPr>
            </w:pPr>
          </w:p>
        </w:tc>
        <w:tc>
          <w:tcPr>
            <w:tcW w:w="2462"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7B23FD">
            <w:pPr>
              <w:rPr>
                <w:rFonts w:ascii="Calibri" w:hAnsi="Calibri"/>
                <w:sz w:val="16"/>
                <w:szCs w:val="16"/>
              </w:rPr>
            </w:pPr>
          </w:p>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 xml:space="preserve">09/10 Improved livestock health and production in </w:t>
            </w:r>
            <w:smartTag w:uri="urn:schemas-microsoft-com:office:smarttags" w:element="place">
              <w:r w:rsidRPr="00764AC1">
                <w:rPr>
                  <w:rFonts w:ascii="Calibri" w:hAnsi="Calibri"/>
                  <w:sz w:val="16"/>
                  <w:szCs w:val="16"/>
                </w:rPr>
                <w:t>East Timor</w:t>
              </w:r>
            </w:smartTag>
            <w:r w:rsidRPr="00764AC1">
              <w:rPr>
                <w:rFonts w:ascii="Calibri" w:hAnsi="Calibri"/>
                <w:sz w:val="16"/>
                <w:szCs w:val="16"/>
              </w:rPr>
              <w:t xml:space="preserve"> through improved prevention and response capacity to emerging infectious diseases. </w:t>
            </w:r>
          </w:p>
        </w:tc>
        <w:tc>
          <w:tcPr>
            <w:tcW w:w="2462"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Vanuatu</w:t>
            </w: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 xml:space="preserve">Economic growth – raised productive capacity of </w:t>
            </w:r>
            <w:proofErr w:type="spellStart"/>
            <w:r w:rsidRPr="00764AC1">
              <w:rPr>
                <w:rFonts w:ascii="Calibri" w:hAnsi="Calibri"/>
                <w:sz w:val="16"/>
                <w:szCs w:val="16"/>
              </w:rPr>
              <w:t>ni</w:t>
            </w:r>
            <w:proofErr w:type="spellEnd"/>
            <w:r w:rsidRPr="00764AC1">
              <w:rPr>
                <w:rFonts w:ascii="Calibri" w:hAnsi="Calibri"/>
                <w:sz w:val="16"/>
                <w:szCs w:val="16"/>
              </w:rPr>
              <w:t>-Vanuatu, particularly women and young people.</w:t>
            </w:r>
          </w:p>
        </w:tc>
        <w:tc>
          <w:tcPr>
            <w:tcW w:w="2462"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288" w:type="dxa"/>
            <w:shd w:val="clear" w:color="auto" w:fill="auto"/>
          </w:tcPr>
          <w:p w:rsidR="00006923" w:rsidRPr="00764AC1" w:rsidRDefault="00006923" w:rsidP="006415EE">
            <w:pPr>
              <w:rPr>
                <w:rFonts w:ascii="Calibri" w:hAnsi="Calibri"/>
                <w:sz w:val="16"/>
                <w:szCs w:val="16"/>
              </w:rPr>
            </w:pPr>
            <w:r w:rsidRPr="00764AC1">
              <w:rPr>
                <w:rFonts w:ascii="Calibri" w:hAnsi="Calibri"/>
                <w:sz w:val="16"/>
                <w:szCs w:val="16"/>
              </w:rPr>
              <w:t>n/a</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Support the Government of Vanuatu’s land reform agenda.</w:t>
            </w:r>
          </w:p>
        </w:tc>
        <w:tc>
          <w:tcPr>
            <w:tcW w:w="2462"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288"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Unchanged</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Cambodia</w:t>
            </w: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Increased value of agricultural production and small holder income in targeted provinces.</w:t>
            </w:r>
          </w:p>
        </w:tc>
        <w:tc>
          <w:tcPr>
            <w:tcW w:w="2462"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288"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p>
          <w:p w:rsidR="00006923" w:rsidRPr="00764AC1" w:rsidRDefault="00006923" w:rsidP="007B23FD">
            <w:pPr>
              <w:rPr>
                <w:rFonts w:ascii="Calibri" w:hAnsi="Calibri"/>
                <w:sz w:val="16"/>
                <w:szCs w:val="16"/>
              </w:rPr>
            </w:pPr>
            <w:r w:rsidRPr="00764AC1">
              <w:rPr>
                <w:rFonts w:ascii="Calibri" w:hAnsi="Calibri"/>
                <w:sz w:val="16"/>
                <w:szCs w:val="16"/>
              </w:rPr>
              <w:t>Unchanged</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Increased food and livelihood security for the rural poor.</w:t>
            </w:r>
          </w:p>
        </w:tc>
        <w:tc>
          <w:tcPr>
            <w:tcW w:w="2462"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c>
          <w:tcPr>
            <w:tcW w:w="2288"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n/a</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Philippines</w:t>
            </w: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Improved economic opportunity for rural people through increases in productivity, access to markets, better infrastructure and growth of small to medium enterprises in targeted provinces.</w:t>
            </w:r>
          </w:p>
        </w:tc>
        <w:tc>
          <w:tcPr>
            <w:tcW w:w="2462"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288"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Unchanged</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South Asia</w:t>
            </w: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To promote good governance and contribute to improvements in basic service delivery (with a focus on health, education and natural resource management at the state and community level).</w:t>
            </w:r>
          </w:p>
        </w:tc>
        <w:tc>
          <w:tcPr>
            <w:tcW w:w="2462"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288" w:type="dxa"/>
            <w:shd w:val="clear" w:color="auto" w:fill="008000"/>
          </w:tcPr>
          <w:p w:rsidR="00006923" w:rsidRPr="00764AC1" w:rsidRDefault="006415EE" w:rsidP="006415EE">
            <w:pPr>
              <w:jc w:val="center"/>
              <w:rPr>
                <w:rFonts w:ascii="Calibri" w:hAnsi="Calibri"/>
                <w:sz w:val="16"/>
                <w:szCs w:val="16"/>
              </w:rPr>
            </w:pPr>
            <w:r>
              <w:rPr>
                <w:rFonts w:ascii="Calibri" w:hAnsi="Calibri"/>
                <w:sz w:val="16"/>
                <w:szCs w:val="16"/>
              </w:rPr>
              <w:t>(Green)</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Unchanged</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Asia Regional</w:t>
            </w: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Strengthen capacities of key regional institutions to enhance economic integration and trade liberalisation.</w:t>
            </w:r>
          </w:p>
        </w:tc>
        <w:tc>
          <w:tcPr>
            <w:tcW w:w="2462"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288"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Unchanged</w:t>
            </w:r>
          </w:p>
        </w:tc>
      </w:tr>
      <w:tr w:rsidR="002F57CD" w:rsidRPr="00764AC1" w:rsidTr="00FA13E0">
        <w:trPr>
          <w:cantSplit/>
        </w:trPr>
        <w:tc>
          <w:tcPr>
            <w:tcW w:w="1817"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lastRenderedPageBreak/>
              <w:t>Pacific Regional</w:t>
            </w:r>
          </w:p>
        </w:tc>
        <w:tc>
          <w:tcPr>
            <w:tcW w:w="4765"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Support stronger broad-based growth.</w:t>
            </w:r>
          </w:p>
        </w:tc>
        <w:tc>
          <w:tcPr>
            <w:tcW w:w="2462"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288" w:type="dxa"/>
            <w:shd w:val="clear" w:color="auto" w:fill="FF9900"/>
          </w:tcPr>
          <w:p w:rsidR="00006923" w:rsidRPr="00764AC1" w:rsidRDefault="006415EE" w:rsidP="006415EE">
            <w:pPr>
              <w:jc w:val="center"/>
              <w:rPr>
                <w:rFonts w:ascii="Calibri" w:hAnsi="Calibri"/>
                <w:sz w:val="16"/>
                <w:szCs w:val="16"/>
              </w:rPr>
            </w:pPr>
            <w:r>
              <w:rPr>
                <w:rFonts w:ascii="Calibri" w:hAnsi="Calibri"/>
                <w:sz w:val="16"/>
                <w:szCs w:val="16"/>
              </w:rPr>
              <w:t>(Amber)</w:t>
            </w:r>
          </w:p>
        </w:tc>
        <w:tc>
          <w:tcPr>
            <w:tcW w:w="2130" w:type="dxa"/>
            <w:shd w:val="clear" w:color="auto" w:fill="auto"/>
          </w:tcPr>
          <w:p w:rsidR="00006923" w:rsidRPr="00764AC1" w:rsidRDefault="00006923" w:rsidP="007B23FD">
            <w:pPr>
              <w:rPr>
                <w:rFonts w:ascii="Calibri" w:hAnsi="Calibri"/>
                <w:sz w:val="16"/>
                <w:szCs w:val="16"/>
              </w:rPr>
            </w:pPr>
            <w:r w:rsidRPr="00764AC1">
              <w:rPr>
                <w:rFonts w:ascii="Calibri" w:hAnsi="Calibri"/>
                <w:sz w:val="16"/>
                <w:szCs w:val="16"/>
              </w:rPr>
              <w:t>Unchanged</w:t>
            </w:r>
          </w:p>
        </w:tc>
      </w:tr>
    </w:tbl>
    <w:p w:rsidR="009A5FEB" w:rsidRDefault="009A5FEB" w:rsidP="002F57CD">
      <w:pPr>
        <w:pStyle w:val="BodyText"/>
        <w:keepNext/>
        <w:keepLines/>
        <w:tabs>
          <w:tab w:val="left" w:pos="1155"/>
        </w:tabs>
      </w:pPr>
    </w:p>
    <w:sectPr w:rsidR="009A5FEB" w:rsidSect="00E77D0C">
      <w:headerReference w:type="even" r:id="rId14"/>
      <w:footerReference w:type="even" r:id="rId15"/>
      <w:footerReference w:type="default" r:id="rId16"/>
      <w:footerReference w:type="first" r:id="rId17"/>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45" w:rsidRDefault="00E35045">
      <w:r>
        <w:separator/>
      </w:r>
    </w:p>
    <w:p w:rsidR="00E35045" w:rsidRDefault="00E35045"/>
  </w:endnote>
  <w:endnote w:type="continuationSeparator" w:id="0">
    <w:p w:rsidR="00E35045" w:rsidRDefault="00E35045">
      <w:r>
        <w:continuationSeparator/>
      </w:r>
    </w:p>
    <w:p w:rsidR="00E35045" w:rsidRDefault="00E35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60" w:rsidRPr="00AD612A" w:rsidRDefault="00CB5060">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ECE">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60" w:rsidRPr="004A4B6B" w:rsidRDefault="00CB5060"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STYLEREF  Title </w:instrText>
    </w:r>
    <w:r>
      <w:fldChar w:fldCharType="separate"/>
    </w:r>
    <w:r w:rsidR="00CA746D">
      <w:rPr>
        <w:b/>
        <w:bCs/>
        <w:noProof/>
        <w:lang w:val="en-US"/>
      </w:rPr>
      <w:t>Error! No text of specified style in document.</w:t>
    </w:r>
    <w:r>
      <w:fldChar w:fldCharType="end"/>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CA746D">
      <w:rPr>
        <w:rStyle w:val="PageNumber"/>
        <w:noProof/>
      </w:rPr>
      <w:t>2</w:t>
    </w:r>
    <w:r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60" w:rsidRDefault="00CB5060">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CA746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45" w:rsidRDefault="00E35045" w:rsidP="00D62AA4">
      <w:pPr>
        <w:spacing w:before="60" w:after="40" w:line="180" w:lineRule="exact"/>
      </w:pPr>
      <w:r>
        <w:continuationSeparator/>
      </w:r>
    </w:p>
  </w:footnote>
  <w:footnote w:type="continuationSeparator" w:id="0">
    <w:p w:rsidR="00E35045" w:rsidRDefault="00E35045">
      <w:r>
        <w:continuationSeparator/>
      </w:r>
    </w:p>
    <w:p w:rsidR="00E35045" w:rsidRDefault="00E35045"/>
  </w:footnote>
  <w:footnote w:type="continuationNotice" w:id="1">
    <w:p w:rsidR="00E35045" w:rsidRDefault="00E35045"/>
    <w:p w:rsidR="00E35045" w:rsidRDefault="00E35045"/>
  </w:footnote>
  <w:footnote w:id="2">
    <w:p w:rsidR="00CB5060" w:rsidRPr="006E5AFD" w:rsidRDefault="00CB5060" w:rsidP="0046667A">
      <w:pPr>
        <w:pStyle w:val="FootnoteText"/>
        <w:ind w:left="120" w:hanging="120"/>
        <w:rPr>
          <w:rFonts w:ascii="Calibri" w:hAnsi="Calibri"/>
        </w:rPr>
      </w:pPr>
      <w:r>
        <w:rPr>
          <w:rStyle w:val="FootnoteReference"/>
        </w:rPr>
        <w:footnoteRef/>
      </w:r>
      <w:r>
        <w:t xml:space="preserve"> </w:t>
      </w:r>
      <w:r w:rsidRPr="00C71716">
        <w:rPr>
          <w:rFonts w:ascii="Calibri" w:hAnsi="Calibri" w:cs="Arial"/>
          <w:sz w:val="16"/>
          <w:szCs w:val="16"/>
        </w:rPr>
        <w:t>This figure is based on a detailed analysis of RD programs spending at least $100,000 per annum, which equates to 250 programs and about 95 per cent of total RD spend.  2009-10 expenditure data is based on what was available in November 2010.</w:t>
      </w:r>
    </w:p>
  </w:footnote>
  <w:footnote w:id="3">
    <w:p w:rsidR="00CB5060" w:rsidRPr="00C71716" w:rsidRDefault="00CB5060" w:rsidP="00006923">
      <w:pPr>
        <w:pStyle w:val="FootnoteText"/>
        <w:rPr>
          <w:rFonts w:ascii="Calibri" w:hAnsi="Calibri"/>
        </w:rPr>
      </w:pPr>
      <w:r w:rsidRPr="00C71716">
        <w:rPr>
          <w:rStyle w:val="FootnoteReference"/>
          <w:rFonts w:ascii="Calibri" w:hAnsi="Calibri"/>
        </w:rPr>
        <w:footnoteRef/>
      </w:r>
      <w:r w:rsidRPr="00C71716">
        <w:rPr>
          <w:rFonts w:ascii="Calibri" w:hAnsi="Calibri"/>
        </w:rPr>
        <w:t xml:space="preserve"> </w:t>
      </w:r>
      <w:r w:rsidRPr="00C71716">
        <w:rPr>
          <w:rFonts w:ascii="Calibri" w:hAnsi="Calibri" w:cs="Arial"/>
          <w:sz w:val="16"/>
          <w:szCs w:val="16"/>
        </w:rPr>
        <w:t>The effects of agricultural R&amp;D have long gestation periods making it nearly impossible to assess impacts from annual incremental investments. A 2010 review of evidence on the impacts of CGIAR research published since 2000 provides an assessment of how successfully the CGIAR system has pursued its core mission.</w:t>
      </w:r>
    </w:p>
  </w:footnote>
  <w:footnote w:id="4">
    <w:p w:rsidR="00CB5060" w:rsidRPr="00C71716" w:rsidRDefault="00CB5060" w:rsidP="00006923">
      <w:pPr>
        <w:pStyle w:val="FootnoteText"/>
        <w:rPr>
          <w:rFonts w:ascii="Calibri" w:hAnsi="Calibri" w:cs="Arial"/>
          <w:sz w:val="16"/>
          <w:szCs w:val="16"/>
        </w:rPr>
      </w:pPr>
      <w:r w:rsidRPr="00C71716">
        <w:rPr>
          <w:rStyle w:val="FootnoteReference"/>
          <w:rFonts w:ascii="Calibri" w:hAnsi="Calibri"/>
        </w:rPr>
        <w:footnoteRef/>
      </w:r>
      <w:r w:rsidRPr="00C71716">
        <w:rPr>
          <w:rFonts w:ascii="Calibri" w:hAnsi="Calibri"/>
        </w:rPr>
        <w:t xml:space="preserve"> </w:t>
      </w:r>
      <w:proofErr w:type="spellStart"/>
      <w:r w:rsidRPr="00C71716">
        <w:rPr>
          <w:rFonts w:ascii="Calibri" w:hAnsi="Calibri" w:cs="Arial"/>
          <w:sz w:val="16"/>
          <w:szCs w:val="16"/>
        </w:rPr>
        <w:t>Renkow</w:t>
      </w:r>
      <w:proofErr w:type="spellEnd"/>
      <w:r w:rsidRPr="00C71716">
        <w:rPr>
          <w:rFonts w:ascii="Calibri" w:hAnsi="Calibri" w:cs="Arial"/>
          <w:sz w:val="16"/>
          <w:szCs w:val="16"/>
        </w:rPr>
        <w:t xml:space="preserve">, M. and D. </w:t>
      </w:r>
      <w:proofErr w:type="spellStart"/>
      <w:r w:rsidRPr="00C71716">
        <w:rPr>
          <w:rFonts w:ascii="Calibri" w:hAnsi="Calibri" w:cs="Arial"/>
          <w:sz w:val="16"/>
          <w:szCs w:val="16"/>
        </w:rPr>
        <w:t>Byerlee</w:t>
      </w:r>
      <w:proofErr w:type="spellEnd"/>
      <w:r w:rsidRPr="00C71716">
        <w:rPr>
          <w:rFonts w:ascii="Calibri" w:hAnsi="Calibri" w:cs="Arial"/>
          <w:sz w:val="16"/>
          <w:szCs w:val="16"/>
        </w:rPr>
        <w:t>, 2010. “The Impacts of CGIAR Research: A Review of Recent Evidence.” Food Policy, 35 (5), 391-402.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60" w:rsidRDefault="00CB5060"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7AA"/>
    <w:multiLevelType w:val="hybridMultilevel"/>
    <w:tmpl w:val="C1C8C112"/>
    <w:lvl w:ilvl="0" w:tplc="2988994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62226"/>
    <w:multiLevelType w:val="hybridMultilevel"/>
    <w:tmpl w:val="8564C2F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062595"/>
    <w:multiLevelType w:val="hybridMultilevel"/>
    <w:tmpl w:val="D6503AEE"/>
    <w:lvl w:ilvl="0" w:tplc="0C09000F">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170E1637"/>
    <w:multiLevelType w:val="hybridMultilevel"/>
    <w:tmpl w:val="AABA2B6C"/>
    <w:lvl w:ilvl="0" w:tplc="93326468">
      <w:start w:val="1"/>
      <w:numFmt w:val="decimal"/>
      <w:lvlText w:val="%1."/>
      <w:lvlJc w:val="left"/>
      <w:pPr>
        <w:tabs>
          <w:tab w:val="num" w:pos="0"/>
        </w:tabs>
        <w:ind w:left="0"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77B7DD8"/>
    <w:multiLevelType w:val="hybridMultilevel"/>
    <w:tmpl w:val="3EA6F6DE"/>
    <w:lvl w:ilvl="0" w:tplc="2C449E0E">
      <w:start w:val="1"/>
      <w:numFmt w:val="lowerLetter"/>
      <w:pStyle w:val="TableListNumber2"/>
      <w:lvlText w:val="%1."/>
      <w:lvlJc w:val="left"/>
      <w:pPr>
        <w:tabs>
          <w:tab w:val="num" w:pos="454"/>
        </w:tabs>
        <w:ind w:left="454" w:hanging="227"/>
      </w:pPr>
      <w:rPr>
        <w:rFonts w:hint="default"/>
      </w:rPr>
    </w:lvl>
    <w:lvl w:ilvl="1" w:tplc="121AD198" w:tentative="1">
      <w:start w:val="1"/>
      <w:numFmt w:val="lowerLetter"/>
      <w:lvlText w:val="%2."/>
      <w:lvlJc w:val="left"/>
      <w:pPr>
        <w:tabs>
          <w:tab w:val="num" w:pos="1440"/>
        </w:tabs>
        <w:ind w:left="1440" w:hanging="360"/>
      </w:pPr>
    </w:lvl>
    <w:lvl w:ilvl="2" w:tplc="35DC9586" w:tentative="1">
      <w:start w:val="1"/>
      <w:numFmt w:val="lowerRoman"/>
      <w:lvlText w:val="%3."/>
      <w:lvlJc w:val="right"/>
      <w:pPr>
        <w:tabs>
          <w:tab w:val="num" w:pos="2160"/>
        </w:tabs>
        <w:ind w:left="2160" w:hanging="180"/>
      </w:pPr>
    </w:lvl>
    <w:lvl w:ilvl="3" w:tplc="DCC85D30" w:tentative="1">
      <w:start w:val="1"/>
      <w:numFmt w:val="decimal"/>
      <w:lvlText w:val="%4."/>
      <w:lvlJc w:val="left"/>
      <w:pPr>
        <w:tabs>
          <w:tab w:val="num" w:pos="2880"/>
        </w:tabs>
        <w:ind w:left="2880" w:hanging="360"/>
      </w:pPr>
    </w:lvl>
    <w:lvl w:ilvl="4" w:tplc="52D8A7B2" w:tentative="1">
      <w:start w:val="1"/>
      <w:numFmt w:val="lowerLetter"/>
      <w:lvlText w:val="%5."/>
      <w:lvlJc w:val="left"/>
      <w:pPr>
        <w:tabs>
          <w:tab w:val="num" w:pos="3600"/>
        </w:tabs>
        <w:ind w:left="3600" w:hanging="360"/>
      </w:pPr>
    </w:lvl>
    <w:lvl w:ilvl="5" w:tplc="D0B07F80" w:tentative="1">
      <w:start w:val="1"/>
      <w:numFmt w:val="lowerRoman"/>
      <w:lvlText w:val="%6."/>
      <w:lvlJc w:val="right"/>
      <w:pPr>
        <w:tabs>
          <w:tab w:val="num" w:pos="4320"/>
        </w:tabs>
        <w:ind w:left="4320" w:hanging="180"/>
      </w:pPr>
    </w:lvl>
    <w:lvl w:ilvl="6" w:tplc="E5882896" w:tentative="1">
      <w:start w:val="1"/>
      <w:numFmt w:val="decimal"/>
      <w:lvlText w:val="%7."/>
      <w:lvlJc w:val="left"/>
      <w:pPr>
        <w:tabs>
          <w:tab w:val="num" w:pos="5040"/>
        </w:tabs>
        <w:ind w:left="5040" w:hanging="360"/>
      </w:pPr>
    </w:lvl>
    <w:lvl w:ilvl="7" w:tplc="89E48EEA" w:tentative="1">
      <w:start w:val="1"/>
      <w:numFmt w:val="lowerLetter"/>
      <w:lvlText w:val="%8."/>
      <w:lvlJc w:val="left"/>
      <w:pPr>
        <w:tabs>
          <w:tab w:val="num" w:pos="5760"/>
        </w:tabs>
        <w:ind w:left="5760" w:hanging="360"/>
      </w:pPr>
    </w:lvl>
    <w:lvl w:ilvl="8" w:tplc="538C89B4" w:tentative="1">
      <w:start w:val="1"/>
      <w:numFmt w:val="lowerRoman"/>
      <w:lvlText w:val="%9."/>
      <w:lvlJc w:val="right"/>
      <w:pPr>
        <w:tabs>
          <w:tab w:val="num" w:pos="6480"/>
        </w:tabs>
        <w:ind w:left="6480" w:hanging="180"/>
      </w:pPr>
    </w:lvl>
  </w:abstractNum>
  <w:abstractNum w:abstractNumId="6">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8">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33F6B"/>
    <w:multiLevelType w:val="hybridMultilevel"/>
    <w:tmpl w:val="53929CB2"/>
    <w:lvl w:ilvl="0" w:tplc="4B882402">
      <w:start w:val="1"/>
      <w:numFmt w:val="lowerLetter"/>
      <w:pStyle w:val="BoxListNumber2"/>
      <w:lvlText w:val="%1."/>
      <w:lvlJc w:val="left"/>
      <w:pPr>
        <w:tabs>
          <w:tab w:val="num" w:pos="567"/>
        </w:tabs>
        <w:ind w:left="567" w:hanging="283"/>
      </w:pPr>
      <w:rPr>
        <w:rFonts w:hint="default"/>
      </w:rPr>
    </w:lvl>
    <w:lvl w:ilvl="1" w:tplc="DEAAAC08" w:tentative="1">
      <w:start w:val="1"/>
      <w:numFmt w:val="lowerLetter"/>
      <w:lvlText w:val="%2."/>
      <w:lvlJc w:val="left"/>
      <w:pPr>
        <w:tabs>
          <w:tab w:val="num" w:pos="1440"/>
        </w:tabs>
        <w:ind w:left="1440" w:hanging="360"/>
      </w:pPr>
    </w:lvl>
    <w:lvl w:ilvl="2" w:tplc="20441DF4" w:tentative="1">
      <w:start w:val="1"/>
      <w:numFmt w:val="lowerRoman"/>
      <w:lvlText w:val="%3."/>
      <w:lvlJc w:val="right"/>
      <w:pPr>
        <w:tabs>
          <w:tab w:val="num" w:pos="2160"/>
        </w:tabs>
        <w:ind w:left="2160" w:hanging="180"/>
      </w:pPr>
    </w:lvl>
    <w:lvl w:ilvl="3" w:tplc="82F45DB2" w:tentative="1">
      <w:start w:val="1"/>
      <w:numFmt w:val="decimal"/>
      <w:lvlText w:val="%4."/>
      <w:lvlJc w:val="left"/>
      <w:pPr>
        <w:tabs>
          <w:tab w:val="num" w:pos="2880"/>
        </w:tabs>
        <w:ind w:left="2880" w:hanging="360"/>
      </w:pPr>
    </w:lvl>
    <w:lvl w:ilvl="4" w:tplc="DB84EE94" w:tentative="1">
      <w:start w:val="1"/>
      <w:numFmt w:val="lowerLetter"/>
      <w:lvlText w:val="%5."/>
      <w:lvlJc w:val="left"/>
      <w:pPr>
        <w:tabs>
          <w:tab w:val="num" w:pos="3600"/>
        </w:tabs>
        <w:ind w:left="3600" w:hanging="360"/>
      </w:pPr>
    </w:lvl>
    <w:lvl w:ilvl="5" w:tplc="6A84D712" w:tentative="1">
      <w:start w:val="1"/>
      <w:numFmt w:val="lowerRoman"/>
      <w:lvlText w:val="%6."/>
      <w:lvlJc w:val="right"/>
      <w:pPr>
        <w:tabs>
          <w:tab w:val="num" w:pos="4320"/>
        </w:tabs>
        <w:ind w:left="4320" w:hanging="180"/>
      </w:pPr>
    </w:lvl>
    <w:lvl w:ilvl="6" w:tplc="6B621C68" w:tentative="1">
      <w:start w:val="1"/>
      <w:numFmt w:val="decimal"/>
      <w:lvlText w:val="%7."/>
      <w:lvlJc w:val="left"/>
      <w:pPr>
        <w:tabs>
          <w:tab w:val="num" w:pos="5040"/>
        </w:tabs>
        <w:ind w:left="5040" w:hanging="360"/>
      </w:pPr>
    </w:lvl>
    <w:lvl w:ilvl="7" w:tplc="333CF4C2" w:tentative="1">
      <w:start w:val="1"/>
      <w:numFmt w:val="lowerLetter"/>
      <w:lvlText w:val="%8."/>
      <w:lvlJc w:val="left"/>
      <w:pPr>
        <w:tabs>
          <w:tab w:val="num" w:pos="5760"/>
        </w:tabs>
        <w:ind w:left="5760" w:hanging="360"/>
      </w:pPr>
    </w:lvl>
    <w:lvl w:ilvl="8" w:tplc="3D1EF74A" w:tentative="1">
      <w:start w:val="1"/>
      <w:numFmt w:val="lowerRoman"/>
      <w:lvlText w:val="%9."/>
      <w:lvlJc w:val="right"/>
      <w:pPr>
        <w:tabs>
          <w:tab w:val="num" w:pos="6480"/>
        </w:tabs>
        <w:ind w:left="6480" w:hanging="180"/>
      </w:pPr>
    </w:lvl>
  </w:abstractNum>
  <w:abstractNum w:abstractNumId="10">
    <w:nsid w:val="46CD579B"/>
    <w:multiLevelType w:val="hybridMultilevel"/>
    <w:tmpl w:val="36F2514A"/>
    <w:lvl w:ilvl="0" w:tplc="49964CD0">
      <w:start w:val="1"/>
      <w:numFmt w:val="bullet"/>
      <w:pStyle w:val="BoxListBullet"/>
      <w:lvlText w:val="&gt;"/>
      <w:lvlJc w:val="left"/>
      <w:pPr>
        <w:tabs>
          <w:tab w:val="num" w:pos="284"/>
        </w:tabs>
        <w:ind w:left="284" w:hanging="284"/>
      </w:pPr>
      <w:rPr>
        <w:rFonts w:hint="default"/>
        <w:color w:val="auto"/>
      </w:rPr>
    </w:lvl>
    <w:lvl w:ilvl="1" w:tplc="25045910" w:tentative="1">
      <w:start w:val="1"/>
      <w:numFmt w:val="bullet"/>
      <w:lvlText w:val="o"/>
      <w:lvlJc w:val="left"/>
      <w:pPr>
        <w:tabs>
          <w:tab w:val="num" w:pos="1440"/>
        </w:tabs>
        <w:ind w:left="1440" w:hanging="360"/>
      </w:pPr>
      <w:rPr>
        <w:rFonts w:ascii="Courier New" w:hAnsi="Courier New" w:cs="Courier New" w:hint="default"/>
      </w:rPr>
    </w:lvl>
    <w:lvl w:ilvl="2" w:tplc="45285A62" w:tentative="1">
      <w:start w:val="1"/>
      <w:numFmt w:val="bullet"/>
      <w:lvlText w:val=""/>
      <w:lvlJc w:val="left"/>
      <w:pPr>
        <w:tabs>
          <w:tab w:val="num" w:pos="2160"/>
        </w:tabs>
        <w:ind w:left="2160" w:hanging="360"/>
      </w:pPr>
      <w:rPr>
        <w:rFonts w:ascii="Wingdings" w:hAnsi="Wingdings" w:hint="default"/>
      </w:rPr>
    </w:lvl>
    <w:lvl w:ilvl="3" w:tplc="B3962A0E" w:tentative="1">
      <w:start w:val="1"/>
      <w:numFmt w:val="bullet"/>
      <w:lvlText w:val=""/>
      <w:lvlJc w:val="left"/>
      <w:pPr>
        <w:tabs>
          <w:tab w:val="num" w:pos="2880"/>
        </w:tabs>
        <w:ind w:left="2880" w:hanging="360"/>
      </w:pPr>
      <w:rPr>
        <w:rFonts w:ascii="Symbol" w:hAnsi="Symbol" w:hint="default"/>
      </w:rPr>
    </w:lvl>
    <w:lvl w:ilvl="4" w:tplc="AAF03A2C" w:tentative="1">
      <w:start w:val="1"/>
      <w:numFmt w:val="bullet"/>
      <w:lvlText w:val="o"/>
      <w:lvlJc w:val="left"/>
      <w:pPr>
        <w:tabs>
          <w:tab w:val="num" w:pos="3600"/>
        </w:tabs>
        <w:ind w:left="3600" w:hanging="360"/>
      </w:pPr>
      <w:rPr>
        <w:rFonts w:ascii="Courier New" w:hAnsi="Courier New" w:cs="Courier New" w:hint="default"/>
      </w:rPr>
    </w:lvl>
    <w:lvl w:ilvl="5" w:tplc="3A0C6E86" w:tentative="1">
      <w:start w:val="1"/>
      <w:numFmt w:val="bullet"/>
      <w:lvlText w:val=""/>
      <w:lvlJc w:val="left"/>
      <w:pPr>
        <w:tabs>
          <w:tab w:val="num" w:pos="4320"/>
        </w:tabs>
        <w:ind w:left="4320" w:hanging="360"/>
      </w:pPr>
      <w:rPr>
        <w:rFonts w:ascii="Wingdings" w:hAnsi="Wingdings" w:hint="default"/>
      </w:rPr>
    </w:lvl>
    <w:lvl w:ilvl="6" w:tplc="70C83F58" w:tentative="1">
      <w:start w:val="1"/>
      <w:numFmt w:val="bullet"/>
      <w:lvlText w:val=""/>
      <w:lvlJc w:val="left"/>
      <w:pPr>
        <w:tabs>
          <w:tab w:val="num" w:pos="5040"/>
        </w:tabs>
        <w:ind w:left="5040" w:hanging="360"/>
      </w:pPr>
      <w:rPr>
        <w:rFonts w:ascii="Symbol" w:hAnsi="Symbol" w:hint="default"/>
      </w:rPr>
    </w:lvl>
    <w:lvl w:ilvl="7" w:tplc="7340DBFC" w:tentative="1">
      <w:start w:val="1"/>
      <w:numFmt w:val="bullet"/>
      <w:lvlText w:val="o"/>
      <w:lvlJc w:val="left"/>
      <w:pPr>
        <w:tabs>
          <w:tab w:val="num" w:pos="5760"/>
        </w:tabs>
        <w:ind w:left="5760" w:hanging="360"/>
      </w:pPr>
      <w:rPr>
        <w:rFonts w:ascii="Courier New" w:hAnsi="Courier New" w:cs="Courier New" w:hint="default"/>
      </w:rPr>
    </w:lvl>
    <w:lvl w:ilvl="8" w:tplc="0D304562" w:tentative="1">
      <w:start w:val="1"/>
      <w:numFmt w:val="bullet"/>
      <w:lvlText w:val=""/>
      <w:lvlJc w:val="left"/>
      <w:pPr>
        <w:tabs>
          <w:tab w:val="num" w:pos="6480"/>
        </w:tabs>
        <w:ind w:left="6480" w:hanging="360"/>
      </w:pPr>
      <w:rPr>
        <w:rFonts w:ascii="Wingdings" w:hAnsi="Wingdings" w:hint="default"/>
      </w:rPr>
    </w:lvl>
  </w:abstractNum>
  <w:abstractNum w:abstractNumId="11">
    <w:nsid w:val="49C07D44"/>
    <w:multiLevelType w:val="hybridMultilevel"/>
    <w:tmpl w:val="D7B25E3E"/>
    <w:lvl w:ilvl="0" w:tplc="E7C40E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F1024"/>
    <w:multiLevelType w:val="hybridMultilevel"/>
    <w:tmpl w:val="DCF4F91A"/>
    <w:lvl w:ilvl="0" w:tplc="74AC7E44">
      <w:start w:val="1"/>
      <w:numFmt w:val="bullet"/>
      <w:lvlText w:val=""/>
      <w:lvlJc w:val="left"/>
      <w:pPr>
        <w:tabs>
          <w:tab w:val="num" w:pos="360"/>
        </w:tabs>
        <w:ind w:left="360" w:hanging="360"/>
      </w:pPr>
      <w:rPr>
        <w:rFonts w:ascii="Symbol" w:hAnsi="Symbol" w:hint="default"/>
        <w:b w:val="0"/>
        <w:i w:val="0"/>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D272037"/>
    <w:multiLevelType w:val="hybridMultilevel"/>
    <w:tmpl w:val="4FC0FE4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4DFD33D9"/>
    <w:multiLevelType w:val="hybridMultilevel"/>
    <w:tmpl w:val="B028A4AC"/>
    <w:lvl w:ilvl="0" w:tplc="2D90329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98A5214"/>
    <w:multiLevelType w:val="hybridMultilevel"/>
    <w:tmpl w:val="0B5AC610"/>
    <w:lvl w:ilvl="0" w:tplc="4F524B26">
      <w:start w:val="1"/>
      <w:numFmt w:val="decimal"/>
      <w:pStyle w:val="TableListNumber"/>
      <w:lvlText w:val="%1."/>
      <w:lvlJc w:val="left"/>
      <w:pPr>
        <w:tabs>
          <w:tab w:val="num" w:pos="227"/>
        </w:tabs>
        <w:ind w:left="227" w:hanging="227"/>
      </w:pPr>
      <w:rPr>
        <w:rFonts w:hint="default"/>
      </w:rPr>
    </w:lvl>
    <w:lvl w:ilvl="1" w:tplc="6C36F062" w:tentative="1">
      <w:start w:val="1"/>
      <w:numFmt w:val="lowerLetter"/>
      <w:lvlText w:val="%2."/>
      <w:lvlJc w:val="left"/>
      <w:pPr>
        <w:tabs>
          <w:tab w:val="num" w:pos="1440"/>
        </w:tabs>
        <w:ind w:left="1440" w:hanging="360"/>
      </w:pPr>
    </w:lvl>
    <w:lvl w:ilvl="2" w:tplc="6BECA24E" w:tentative="1">
      <w:start w:val="1"/>
      <w:numFmt w:val="lowerRoman"/>
      <w:lvlText w:val="%3."/>
      <w:lvlJc w:val="right"/>
      <w:pPr>
        <w:tabs>
          <w:tab w:val="num" w:pos="2160"/>
        </w:tabs>
        <w:ind w:left="2160" w:hanging="180"/>
      </w:pPr>
    </w:lvl>
    <w:lvl w:ilvl="3" w:tplc="26E8D4AA" w:tentative="1">
      <w:start w:val="1"/>
      <w:numFmt w:val="decimal"/>
      <w:lvlText w:val="%4."/>
      <w:lvlJc w:val="left"/>
      <w:pPr>
        <w:tabs>
          <w:tab w:val="num" w:pos="2880"/>
        </w:tabs>
        <w:ind w:left="2880" w:hanging="360"/>
      </w:pPr>
    </w:lvl>
    <w:lvl w:ilvl="4" w:tplc="3E7A4F98" w:tentative="1">
      <w:start w:val="1"/>
      <w:numFmt w:val="lowerLetter"/>
      <w:lvlText w:val="%5."/>
      <w:lvlJc w:val="left"/>
      <w:pPr>
        <w:tabs>
          <w:tab w:val="num" w:pos="3600"/>
        </w:tabs>
        <w:ind w:left="3600" w:hanging="360"/>
      </w:pPr>
    </w:lvl>
    <w:lvl w:ilvl="5" w:tplc="FA1A814E" w:tentative="1">
      <w:start w:val="1"/>
      <w:numFmt w:val="lowerRoman"/>
      <w:lvlText w:val="%6."/>
      <w:lvlJc w:val="right"/>
      <w:pPr>
        <w:tabs>
          <w:tab w:val="num" w:pos="4320"/>
        </w:tabs>
        <w:ind w:left="4320" w:hanging="180"/>
      </w:pPr>
    </w:lvl>
    <w:lvl w:ilvl="6" w:tplc="18EA0DC0" w:tentative="1">
      <w:start w:val="1"/>
      <w:numFmt w:val="decimal"/>
      <w:lvlText w:val="%7."/>
      <w:lvlJc w:val="left"/>
      <w:pPr>
        <w:tabs>
          <w:tab w:val="num" w:pos="5040"/>
        </w:tabs>
        <w:ind w:left="5040" w:hanging="360"/>
      </w:pPr>
    </w:lvl>
    <w:lvl w:ilvl="7" w:tplc="FB523FAE" w:tentative="1">
      <w:start w:val="1"/>
      <w:numFmt w:val="lowerLetter"/>
      <w:lvlText w:val="%8."/>
      <w:lvlJc w:val="left"/>
      <w:pPr>
        <w:tabs>
          <w:tab w:val="num" w:pos="5760"/>
        </w:tabs>
        <w:ind w:left="5760" w:hanging="360"/>
      </w:pPr>
    </w:lvl>
    <w:lvl w:ilvl="8" w:tplc="494EC8A4" w:tentative="1">
      <w:start w:val="1"/>
      <w:numFmt w:val="lowerRoman"/>
      <w:lvlText w:val="%9."/>
      <w:lvlJc w:val="right"/>
      <w:pPr>
        <w:tabs>
          <w:tab w:val="num" w:pos="6480"/>
        </w:tabs>
        <w:ind w:left="6480" w:hanging="180"/>
      </w:pPr>
    </w:lvl>
  </w:abstractNum>
  <w:abstractNum w:abstractNumId="18">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F264CF"/>
    <w:multiLevelType w:val="multilevel"/>
    <w:tmpl w:val="C3D0861E"/>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0">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2">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F553CF"/>
    <w:multiLevelType w:val="hybridMultilevel"/>
    <w:tmpl w:val="DC5A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F63072"/>
    <w:multiLevelType w:val="hybridMultilevel"/>
    <w:tmpl w:val="5EE041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79E1124E"/>
    <w:multiLevelType w:val="hybridMultilevel"/>
    <w:tmpl w:val="6D42E656"/>
    <w:lvl w:ilvl="0" w:tplc="07F215B6">
      <w:start w:val="1"/>
      <w:numFmt w:val="lowerLetter"/>
      <w:pStyle w:val="ListNumber2"/>
      <w:lvlText w:val="%1."/>
      <w:lvlJc w:val="left"/>
      <w:pPr>
        <w:tabs>
          <w:tab w:val="num" w:pos="567"/>
        </w:tabs>
        <w:ind w:left="567" w:hanging="283"/>
      </w:pPr>
      <w:rPr>
        <w:rFonts w:hint="default"/>
      </w:rPr>
    </w:lvl>
    <w:lvl w:ilvl="1" w:tplc="3D24F950" w:tentative="1">
      <w:start w:val="1"/>
      <w:numFmt w:val="lowerLetter"/>
      <w:lvlText w:val="%2."/>
      <w:lvlJc w:val="left"/>
      <w:pPr>
        <w:tabs>
          <w:tab w:val="num" w:pos="1440"/>
        </w:tabs>
        <w:ind w:left="1440" w:hanging="360"/>
      </w:pPr>
    </w:lvl>
    <w:lvl w:ilvl="2" w:tplc="380EEAD4" w:tentative="1">
      <w:start w:val="1"/>
      <w:numFmt w:val="lowerRoman"/>
      <w:lvlText w:val="%3."/>
      <w:lvlJc w:val="right"/>
      <w:pPr>
        <w:tabs>
          <w:tab w:val="num" w:pos="2160"/>
        </w:tabs>
        <w:ind w:left="2160" w:hanging="180"/>
      </w:pPr>
    </w:lvl>
    <w:lvl w:ilvl="3" w:tplc="6388E612" w:tentative="1">
      <w:start w:val="1"/>
      <w:numFmt w:val="decimal"/>
      <w:lvlText w:val="%4."/>
      <w:lvlJc w:val="left"/>
      <w:pPr>
        <w:tabs>
          <w:tab w:val="num" w:pos="2880"/>
        </w:tabs>
        <w:ind w:left="2880" w:hanging="360"/>
      </w:pPr>
    </w:lvl>
    <w:lvl w:ilvl="4" w:tplc="F8BE4BE2" w:tentative="1">
      <w:start w:val="1"/>
      <w:numFmt w:val="lowerLetter"/>
      <w:lvlText w:val="%5."/>
      <w:lvlJc w:val="left"/>
      <w:pPr>
        <w:tabs>
          <w:tab w:val="num" w:pos="3600"/>
        </w:tabs>
        <w:ind w:left="3600" w:hanging="360"/>
      </w:pPr>
    </w:lvl>
    <w:lvl w:ilvl="5" w:tplc="B33EDD1A" w:tentative="1">
      <w:start w:val="1"/>
      <w:numFmt w:val="lowerRoman"/>
      <w:lvlText w:val="%6."/>
      <w:lvlJc w:val="right"/>
      <w:pPr>
        <w:tabs>
          <w:tab w:val="num" w:pos="4320"/>
        </w:tabs>
        <w:ind w:left="4320" w:hanging="180"/>
      </w:pPr>
    </w:lvl>
    <w:lvl w:ilvl="6" w:tplc="B386B912" w:tentative="1">
      <w:start w:val="1"/>
      <w:numFmt w:val="decimal"/>
      <w:lvlText w:val="%7."/>
      <w:lvlJc w:val="left"/>
      <w:pPr>
        <w:tabs>
          <w:tab w:val="num" w:pos="5040"/>
        </w:tabs>
        <w:ind w:left="5040" w:hanging="360"/>
      </w:pPr>
    </w:lvl>
    <w:lvl w:ilvl="7" w:tplc="66BEFD1E" w:tentative="1">
      <w:start w:val="1"/>
      <w:numFmt w:val="lowerLetter"/>
      <w:lvlText w:val="%8."/>
      <w:lvlJc w:val="left"/>
      <w:pPr>
        <w:tabs>
          <w:tab w:val="num" w:pos="5760"/>
        </w:tabs>
        <w:ind w:left="5760" w:hanging="360"/>
      </w:pPr>
    </w:lvl>
    <w:lvl w:ilvl="8" w:tplc="30883C5C" w:tentative="1">
      <w:start w:val="1"/>
      <w:numFmt w:val="lowerRoman"/>
      <w:lvlText w:val="%9."/>
      <w:lvlJc w:val="right"/>
      <w:pPr>
        <w:tabs>
          <w:tab w:val="num" w:pos="6480"/>
        </w:tabs>
        <w:ind w:left="6480" w:hanging="180"/>
      </w:pPr>
    </w:lvl>
  </w:abstractNum>
  <w:abstractNum w:abstractNumId="26">
    <w:nsid w:val="7F7A528B"/>
    <w:multiLevelType w:val="hybridMultilevel"/>
    <w:tmpl w:val="4ADC517C"/>
    <w:lvl w:ilvl="0" w:tplc="CA20A960">
      <w:start w:val="1"/>
      <w:numFmt w:val="bullet"/>
      <w:pStyle w:val="ListBullet"/>
      <w:lvlText w:val="&gt;"/>
      <w:lvlJc w:val="left"/>
      <w:pPr>
        <w:tabs>
          <w:tab w:val="num" w:pos="284"/>
        </w:tabs>
        <w:ind w:left="284" w:hanging="284"/>
      </w:pPr>
      <w:rPr>
        <w:rFonts w:hint="default"/>
        <w:color w:val="auto"/>
        <w:position w:val="3"/>
      </w:rPr>
    </w:lvl>
    <w:lvl w:ilvl="1" w:tplc="34C2537E" w:tentative="1">
      <w:start w:val="1"/>
      <w:numFmt w:val="bullet"/>
      <w:lvlText w:val="o"/>
      <w:lvlJc w:val="left"/>
      <w:pPr>
        <w:tabs>
          <w:tab w:val="num" w:pos="1440"/>
        </w:tabs>
        <w:ind w:left="1440" w:hanging="360"/>
      </w:pPr>
      <w:rPr>
        <w:rFonts w:ascii="Courier New" w:hAnsi="Courier New" w:cs="Courier New" w:hint="default"/>
      </w:rPr>
    </w:lvl>
    <w:lvl w:ilvl="2" w:tplc="69B481E2" w:tentative="1">
      <w:start w:val="1"/>
      <w:numFmt w:val="bullet"/>
      <w:lvlText w:val=""/>
      <w:lvlJc w:val="left"/>
      <w:pPr>
        <w:tabs>
          <w:tab w:val="num" w:pos="2160"/>
        </w:tabs>
        <w:ind w:left="2160" w:hanging="360"/>
      </w:pPr>
      <w:rPr>
        <w:rFonts w:ascii="Wingdings" w:hAnsi="Wingdings" w:hint="default"/>
      </w:rPr>
    </w:lvl>
    <w:lvl w:ilvl="3" w:tplc="38F6ABF8" w:tentative="1">
      <w:start w:val="1"/>
      <w:numFmt w:val="bullet"/>
      <w:lvlText w:val=""/>
      <w:lvlJc w:val="left"/>
      <w:pPr>
        <w:tabs>
          <w:tab w:val="num" w:pos="2880"/>
        </w:tabs>
        <w:ind w:left="2880" w:hanging="360"/>
      </w:pPr>
      <w:rPr>
        <w:rFonts w:ascii="Symbol" w:hAnsi="Symbol" w:hint="default"/>
      </w:rPr>
    </w:lvl>
    <w:lvl w:ilvl="4" w:tplc="C3D8AEC8" w:tentative="1">
      <w:start w:val="1"/>
      <w:numFmt w:val="bullet"/>
      <w:lvlText w:val="o"/>
      <w:lvlJc w:val="left"/>
      <w:pPr>
        <w:tabs>
          <w:tab w:val="num" w:pos="3600"/>
        </w:tabs>
        <w:ind w:left="3600" w:hanging="360"/>
      </w:pPr>
      <w:rPr>
        <w:rFonts w:ascii="Courier New" w:hAnsi="Courier New" w:cs="Courier New" w:hint="default"/>
      </w:rPr>
    </w:lvl>
    <w:lvl w:ilvl="5" w:tplc="DA20AF3A" w:tentative="1">
      <w:start w:val="1"/>
      <w:numFmt w:val="bullet"/>
      <w:lvlText w:val=""/>
      <w:lvlJc w:val="left"/>
      <w:pPr>
        <w:tabs>
          <w:tab w:val="num" w:pos="4320"/>
        </w:tabs>
        <w:ind w:left="4320" w:hanging="360"/>
      </w:pPr>
      <w:rPr>
        <w:rFonts w:ascii="Wingdings" w:hAnsi="Wingdings" w:hint="default"/>
      </w:rPr>
    </w:lvl>
    <w:lvl w:ilvl="6" w:tplc="B0680768" w:tentative="1">
      <w:start w:val="1"/>
      <w:numFmt w:val="bullet"/>
      <w:lvlText w:val=""/>
      <w:lvlJc w:val="left"/>
      <w:pPr>
        <w:tabs>
          <w:tab w:val="num" w:pos="5040"/>
        </w:tabs>
        <w:ind w:left="5040" w:hanging="360"/>
      </w:pPr>
      <w:rPr>
        <w:rFonts w:ascii="Symbol" w:hAnsi="Symbol" w:hint="default"/>
      </w:rPr>
    </w:lvl>
    <w:lvl w:ilvl="7" w:tplc="5B0EA6DA" w:tentative="1">
      <w:start w:val="1"/>
      <w:numFmt w:val="bullet"/>
      <w:lvlText w:val="o"/>
      <w:lvlJc w:val="left"/>
      <w:pPr>
        <w:tabs>
          <w:tab w:val="num" w:pos="5760"/>
        </w:tabs>
        <w:ind w:left="5760" w:hanging="360"/>
      </w:pPr>
      <w:rPr>
        <w:rFonts w:ascii="Courier New" w:hAnsi="Courier New" w:cs="Courier New" w:hint="default"/>
      </w:rPr>
    </w:lvl>
    <w:lvl w:ilvl="8" w:tplc="7F9855F2" w:tentative="1">
      <w:start w:val="1"/>
      <w:numFmt w:val="bullet"/>
      <w:lvlText w:val=""/>
      <w:lvlJc w:val="left"/>
      <w:pPr>
        <w:tabs>
          <w:tab w:val="num" w:pos="6480"/>
        </w:tabs>
        <w:ind w:left="6480" w:hanging="360"/>
      </w:pPr>
      <w:rPr>
        <w:rFonts w:ascii="Wingdings" w:hAnsi="Wingdings" w:hint="default"/>
      </w:rPr>
    </w:lvl>
  </w:abstractNum>
  <w:abstractNum w:abstractNumId="27">
    <w:nsid w:val="7FA074A4"/>
    <w:multiLevelType w:val="hybridMultilevel"/>
    <w:tmpl w:val="3014E368"/>
    <w:lvl w:ilvl="0" w:tplc="BCA0FC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9"/>
  </w:num>
  <w:num w:numId="4">
    <w:abstractNumId w:val="16"/>
  </w:num>
  <w:num w:numId="5">
    <w:abstractNumId w:val="10"/>
  </w:num>
  <w:num w:numId="6">
    <w:abstractNumId w:val="8"/>
  </w:num>
  <w:num w:numId="7">
    <w:abstractNumId w:val="19"/>
  </w:num>
  <w:num w:numId="8">
    <w:abstractNumId w:val="20"/>
  </w:num>
  <w:num w:numId="9">
    <w:abstractNumId w:val="2"/>
  </w:num>
  <w:num w:numId="10">
    <w:abstractNumId w:val="15"/>
  </w:num>
  <w:num w:numId="11">
    <w:abstractNumId w:val="22"/>
  </w:num>
  <w:num w:numId="12">
    <w:abstractNumId w:val="7"/>
  </w:num>
  <w:num w:numId="13">
    <w:abstractNumId w:val="6"/>
  </w:num>
  <w:num w:numId="14">
    <w:abstractNumId w:val="25"/>
  </w:num>
  <w:num w:numId="15">
    <w:abstractNumId w:val="26"/>
  </w:num>
  <w:num w:numId="16">
    <w:abstractNumId w:val="21"/>
  </w:num>
  <w:num w:numId="17">
    <w:abstractNumId w:val="18"/>
  </w:num>
  <w:num w:numId="18">
    <w:abstractNumId w:val="4"/>
  </w:num>
  <w:num w:numId="19">
    <w:abstractNumId w:val="1"/>
  </w:num>
  <w:num w:numId="20">
    <w:abstractNumId w:val="13"/>
  </w:num>
  <w:num w:numId="21">
    <w:abstractNumId w:val="12"/>
  </w:num>
  <w:num w:numId="22">
    <w:abstractNumId w:val="3"/>
  </w:num>
  <w:num w:numId="23">
    <w:abstractNumId w:val="24"/>
  </w:num>
  <w:num w:numId="24">
    <w:abstractNumId w:val="14"/>
  </w:num>
  <w:num w:numId="25">
    <w:abstractNumId w:val="23"/>
  </w:num>
  <w:num w:numId="26">
    <w:abstractNumId w:val="0"/>
  </w:num>
  <w:num w:numId="27">
    <w:abstractNumId w:val="27"/>
  </w:num>
  <w:num w:numId="2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6145">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FB"/>
    <w:rsid w:val="00002939"/>
    <w:rsid w:val="00004368"/>
    <w:rsid w:val="0000632D"/>
    <w:rsid w:val="00006923"/>
    <w:rsid w:val="00011550"/>
    <w:rsid w:val="0001170C"/>
    <w:rsid w:val="000129D7"/>
    <w:rsid w:val="0001356A"/>
    <w:rsid w:val="00014038"/>
    <w:rsid w:val="0001508D"/>
    <w:rsid w:val="00015DBC"/>
    <w:rsid w:val="00016771"/>
    <w:rsid w:val="00016CBA"/>
    <w:rsid w:val="00017D33"/>
    <w:rsid w:val="00017E33"/>
    <w:rsid w:val="000211DA"/>
    <w:rsid w:val="0002235F"/>
    <w:rsid w:val="00022D41"/>
    <w:rsid w:val="000257E7"/>
    <w:rsid w:val="00030588"/>
    <w:rsid w:val="0003385B"/>
    <w:rsid w:val="00034B41"/>
    <w:rsid w:val="00034E45"/>
    <w:rsid w:val="00035E2A"/>
    <w:rsid w:val="00037673"/>
    <w:rsid w:val="00041428"/>
    <w:rsid w:val="000433AB"/>
    <w:rsid w:val="00044EDD"/>
    <w:rsid w:val="000452A6"/>
    <w:rsid w:val="0004636D"/>
    <w:rsid w:val="00046974"/>
    <w:rsid w:val="000513B2"/>
    <w:rsid w:val="00053BB3"/>
    <w:rsid w:val="00053D8A"/>
    <w:rsid w:val="00057CA8"/>
    <w:rsid w:val="00060A32"/>
    <w:rsid w:val="00061389"/>
    <w:rsid w:val="00061788"/>
    <w:rsid w:val="00063C90"/>
    <w:rsid w:val="000655EB"/>
    <w:rsid w:val="00065C12"/>
    <w:rsid w:val="00067F6E"/>
    <w:rsid w:val="00070BAE"/>
    <w:rsid w:val="00070F05"/>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90C8C"/>
    <w:rsid w:val="00092F37"/>
    <w:rsid w:val="00097A76"/>
    <w:rsid w:val="000A0794"/>
    <w:rsid w:val="000A3437"/>
    <w:rsid w:val="000A4433"/>
    <w:rsid w:val="000A5BCC"/>
    <w:rsid w:val="000A7400"/>
    <w:rsid w:val="000A7708"/>
    <w:rsid w:val="000A7AD4"/>
    <w:rsid w:val="000B0232"/>
    <w:rsid w:val="000B108C"/>
    <w:rsid w:val="000B13AB"/>
    <w:rsid w:val="000B146D"/>
    <w:rsid w:val="000B20CE"/>
    <w:rsid w:val="000B4054"/>
    <w:rsid w:val="000B56CF"/>
    <w:rsid w:val="000B5B55"/>
    <w:rsid w:val="000B6330"/>
    <w:rsid w:val="000B7FF7"/>
    <w:rsid w:val="000C0125"/>
    <w:rsid w:val="000C0807"/>
    <w:rsid w:val="000C0D83"/>
    <w:rsid w:val="000C45A2"/>
    <w:rsid w:val="000C6046"/>
    <w:rsid w:val="000D074E"/>
    <w:rsid w:val="000D2C21"/>
    <w:rsid w:val="000D32D5"/>
    <w:rsid w:val="000D444F"/>
    <w:rsid w:val="000D47A5"/>
    <w:rsid w:val="000E0333"/>
    <w:rsid w:val="000E0677"/>
    <w:rsid w:val="000E2E8A"/>
    <w:rsid w:val="000E595E"/>
    <w:rsid w:val="000E5C21"/>
    <w:rsid w:val="000F60B8"/>
    <w:rsid w:val="000F706A"/>
    <w:rsid w:val="000F7DB9"/>
    <w:rsid w:val="000F7EBB"/>
    <w:rsid w:val="0010001A"/>
    <w:rsid w:val="001020A5"/>
    <w:rsid w:val="00104CCC"/>
    <w:rsid w:val="001104EF"/>
    <w:rsid w:val="00115A8C"/>
    <w:rsid w:val="00115D91"/>
    <w:rsid w:val="001204E2"/>
    <w:rsid w:val="001250BF"/>
    <w:rsid w:val="001260C2"/>
    <w:rsid w:val="00127B7F"/>
    <w:rsid w:val="00131D16"/>
    <w:rsid w:val="00132E41"/>
    <w:rsid w:val="00135A4C"/>
    <w:rsid w:val="001360A4"/>
    <w:rsid w:val="00136E47"/>
    <w:rsid w:val="00136FF9"/>
    <w:rsid w:val="00137BA1"/>
    <w:rsid w:val="0014049B"/>
    <w:rsid w:val="00141482"/>
    <w:rsid w:val="00141818"/>
    <w:rsid w:val="0014252B"/>
    <w:rsid w:val="0014282B"/>
    <w:rsid w:val="00142A4D"/>
    <w:rsid w:val="00142E47"/>
    <w:rsid w:val="00143525"/>
    <w:rsid w:val="001436A7"/>
    <w:rsid w:val="00144611"/>
    <w:rsid w:val="00144B1B"/>
    <w:rsid w:val="0014787F"/>
    <w:rsid w:val="00147947"/>
    <w:rsid w:val="00152D98"/>
    <w:rsid w:val="001564B4"/>
    <w:rsid w:val="00156521"/>
    <w:rsid w:val="00156A18"/>
    <w:rsid w:val="0016217F"/>
    <w:rsid w:val="001644AA"/>
    <w:rsid w:val="00165C4D"/>
    <w:rsid w:val="00166BE1"/>
    <w:rsid w:val="001702D7"/>
    <w:rsid w:val="001707ED"/>
    <w:rsid w:val="00170B04"/>
    <w:rsid w:val="00172093"/>
    <w:rsid w:val="0017313D"/>
    <w:rsid w:val="001756DD"/>
    <w:rsid w:val="00175CFE"/>
    <w:rsid w:val="00176846"/>
    <w:rsid w:val="001772C7"/>
    <w:rsid w:val="00177AE1"/>
    <w:rsid w:val="00180E63"/>
    <w:rsid w:val="00180EC6"/>
    <w:rsid w:val="00182E7D"/>
    <w:rsid w:val="001840DC"/>
    <w:rsid w:val="00184C6E"/>
    <w:rsid w:val="00187D56"/>
    <w:rsid w:val="00190A25"/>
    <w:rsid w:val="00193384"/>
    <w:rsid w:val="001957F2"/>
    <w:rsid w:val="00195F7A"/>
    <w:rsid w:val="0019627A"/>
    <w:rsid w:val="00197485"/>
    <w:rsid w:val="001A0653"/>
    <w:rsid w:val="001A157D"/>
    <w:rsid w:val="001A4314"/>
    <w:rsid w:val="001A4CB0"/>
    <w:rsid w:val="001A4F3D"/>
    <w:rsid w:val="001A64D6"/>
    <w:rsid w:val="001A676A"/>
    <w:rsid w:val="001A76CD"/>
    <w:rsid w:val="001A7A00"/>
    <w:rsid w:val="001B0BC3"/>
    <w:rsid w:val="001B11EB"/>
    <w:rsid w:val="001B1559"/>
    <w:rsid w:val="001B38DC"/>
    <w:rsid w:val="001B3A25"/>
    <w:rsid w:val="001B40B6"/>
    <w:rsid w:val="001B7441"/>
    <w:rsid w:val="001B7D36"/>
    <w:rsid w:val="001C1650"/>
    <w:rsid w:val="001C18A5"/>
    <w:rsid w:val="001C27DD"/>
    <w:rsid w:val="001C54D5"/>
    <w:rsid w:val="001C557B"/>
    <w:rsid w:val="001C68A6"/>
    <w:rsid w:val="001C6E03"/>
    <w:rsid w:val="001C6E25"/>
    <w:rsid w:val="001C7FAB"/>
    <w:rsid w:val="001D0D54"/>
    <w:rsid w:val="001D0D75"/>
    <w:rsid w:val="001D21D0"/>
    <w:rsid w:val="001D24B1"/>
    <w:rsid w:val="001D2D04"/>
    <w:rsid w:val="001D5233"/>
    <w:rsid w:val="001D65A4"/>
    <w:rsid w:val="001E521E"/>
    <w:rsid w:val="001E5458"/>
    <w:rsid w:val="001E61C0"/>
    <w:rsid w:val="001E77A7"/>
    <w:rsid w:val="001E7C2A"/>
    <w:rsid w:val="001F0E53"/>
    <w:rsid w:val="001F0E62"/>
    <w:rsid w:val="001F1365"/>
    <w:rsid w:val="001F353B"/>
    <w:rsid w:val="001F39C9"/>
    <w:rsid w:val="001F4CD3"/>
    <w:rsid w:val="001F4E51"/>
    <w:rsid w:val="001F5AA9"/>
    <w:rsid w:val="0020245F"/>
    <w:rsid w:val="002028B6"/>
    <w:rsid w:val="00203160"/>
    <w:rsid w:val="0020410B"/>
    <w:rsid w:val="00205AA6"/>
    <w:rsid w:val="00207D0F"/>
    <w:rsid w:val="0021017E"/>
    <w:rsid w:val="00212975"/>
    <w:rsid w:val="00213176"/>
    <w:rsid w:val="00213E79"/>
    <w:rsid w:val="00214C9D"/>
    <w:rsid w:val="002178C9"/>
    <w:rsid w:val="00222F3B"/>
    <w:rsid w:val="00226029"/>
    <w:rsid w:val="00226880"/>
    <w:rsid w:val="0022688E"/>
    <w:rsid w:val="002274D0"/>
    <w:rsid w:val="00227783"/>
    <w:rsid w:val="00227D6B"/>
    <w:rsid w:val="00230BD1"/>
    <w:rsid w:val="00230F10"/>
    <w:rsid w:val="00231AF7"/>
    <w:rsid w:val="00231CB6"/>
    <w:rsid w:val="00232097"/>
    <w:rsid w:val="00233570"/>
    <w:rsid w:val="00233D7A"/>
    <w:rsid w:val="00234583"/>
    <w:rsid w:val="00234D37"/>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15F6"/>
    <w:rsid w:val="0025173D"/>
    <w:rsid w:val="00252979"/>
    <w:rsid w:val="00253146"/>
    <w:rsid w:val="00253B3E"/>
    <w:rsid w:val="00254E43"/>
    <w:rsid w:val="00254E51"/>
    <w:rsid w:val="00257199"/>
    <w:rsid w:val="002600C7"/>
    <w:rsid w:val="00260B16"/>
    <w:rsid w:val="00260CE2"/>
    <w:rsid w:val="0026347A"/>
    <w:rsid w:val="00263B78"/>
    <w:rsid w:val="00266A89"/>
    <w:rsid w:val="00266B56"/>
    <w:rsid w:val="00266C05"/>
    <w:rsid w:val="00267C9A"/>
    <w:rsid w:val="002702DD"/>
    <w:rsid w:val="00272699"/>
    <w:rsid w:val="0027351E"/>
    <w:rsid w:val="0027441E"/>
    <w:rsid w:val="0027483C"/>
    <w:rsid w:val="002812B9"/>
    <w:rsid w:val="00281D52"/>
    <w:rsid w:val="002820D7"/>
    <w:rsid w:val="00285919"/>
    <w:rsid w:val="00286E03"/>
    <w:rsid w:val="00287F57"/>
    <w:rsid w:val="0029179C"/>
    <w:rsid w:val="00291B3A"/>
    <w:rsid w:val="0029226E"/>
    <w:rsid w:val="00292656"/>
    <w:rsid w:val="00292C3C"/>
    <w:rsid w:val="00294973"/>
    <w:rsid w:val="00294AA6"/>
    <w:rsid w:val="00294D4C"/>
    <w:rsid w:val="00296270"/>
    <w:rsid w:val="00297DF9"/>
    <w:rsid w:val="002A1D2F"/>
    <w:rsid w:val="002A1DE3"/>
    <w:rsid w:val="002A2305"/>
    <w:rsid w:val="002A477C"/>
    <w:rsid w:val="002A49A1"/>
    <w:rsid w:val="002A4BB1"/>
    <w:rsid w:val="002A561C"/>
    <w:rsid w:val="002A6CE4"/>
    <w:rsid w:val="002B02EA"/>
    <w:rsid w:val="002B0EB5"/>
    <w:rsid w:val="002B1624"/>
    <w:rsid w:val="002B1C3F"/>
    <w:rsid w:val="002B1D0E"/>
    <w:rsid w:val="002B2514"/>
    <w:rsid w:val="002B3053"/>
    <w:rsid w:val="002B33AD"/>
    <w:rsid w:val="002B3E15"/>
    <w:rsid w:val="002B4651"/>
    <w:rsid w:val="002B7D4C"/>
    <w:rsid w:val="002C018F"/>
    <w:rsid w:val="002C0F44"/>
    <w:rsid w:val="002C159E"/>
    <w:rsid w:val="002C23D1"/>
    <w:rsid w:val="002C257C"/>
    <w:rsid w:val="002C5AF0"/>
    <w:rsid w:val="002C7822"/>
    <w:rsid w:val="002C79E4"/>
    <w:rsid w:val="002D468F"/>
    <w:rsid w:val="002D5DED"/>
    <w:rsid w:val="002D657C"/>
    <w:rsid w:val="002D6E19"/>
    <w:rsid w:val="002D7A0A"/>
    <w:rsid w:val="002E000E"/>
    <w:rsid w:val="002E0115"/>
    <w:rsid w:val="002E1AC2"/>
    <w:rsid w:val="002E2CDD"/>
    <w:rsid w:val="002E499B"/>
    <w:rsid w:val="002E626C"/>
    <w:rsid w:val="002E7F6A"/>
    <w:rsid w:val="002F056E"/>
    <w:rsid w:val="002F1AB4"/>
    <w:rsid w:val="002F3393"/>
    <w:rsid w:val="002F36D2"/>
    <w:rsid w:val="002F3C1A"/>
    <w:rsid w:val="002F3E97"/>
    <w:rsid w:val="002F4300"/>
    <w:rsid w:val="002F489A"/>
    <w:rsid w:val="002F57CD"/>
    <w:rsid w:val="003023FD"/>
    <w:rsid w:val="0030414F"/>
    <w:rsid w:val="00305213"/>
    <w:rsid w:val="00305565"/>
    <w:rsid w:val="003071CF"/>
    <w:rsid w:val="00310059"/>
    <w:rsid w:val="00310C02"/>
    <w:rsid w:val="0031131B"/>
    <w:rsid w:val="00312B95"/>
    <w:rsid w:val="00312E50"/>
    <w:rsid w:val="003147DD"/>
    <w:rsid w:val="00315D84"/>
    <w:rsid w:val="00316AAC"/>
    <w:rsid w:val="00321C81"/>
    <w:rsid w:val="00322444"/>
    <w:rsid w:val="003225AB"/>
    <w:rsid w:val="00323965"/>
    <w:rsid w:val="00330A76"/>
    <w:rsid w:val="00330D74"/>
    <w:rsid w:val="00331C66"/>
    <w:rsid w:val="00332945"/>
    <w:rsid w:val="00333127"/>
    <w:rsid w:val="003341A9"/>
    <w:rsid w:val="00334B60"/>
    <w:rsid w:val="003360B5"/>
    <w:rsid w:val="003368B5"/>
    <w:rsid w:val="003369D5"/>
    <w:rsid w:val="00336FAC"/>
    <w:rsid w:val="003379F3"/>
    <w:rsid w:val="00337AAE"/>
    <w:rsid w:val="003405D1"/>
    <w:rsid w:val="00341566"/>
    <w:rsid w:val="00342A5A"/>
    <w:rsid w:val="00345C2F"/>
    <w:rsid w:val="0034794C"/>
    <w:rsid w:val="00347D10"/>
    <w:rsid w:val="00347DB7"/>
    <w:rsid w:val="00347E04"/>
    <w:rsid w:val="0035098F"/>
    <w:rsid w:val="003522B0"/>
    <w:rsid w:val="00352A66"/>
    <w:rsid w:val="00354CF6"/>
    <w:rsid w:val="003557A9"/>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D61"/>
    <w:rsid w:val="0037638D"/>
    <w:rsid w:val="003813B0"/>
    <w:rsid w:val="00381894"/>
    <w:rsid w:val="00382BC2"/>
    <w:rsid w:val="003852FD"/>
    <w:rsid w:val="003864C0"/>
    <w:rsid w:val="00386714"/>
    <w:rsid w:val="00386BBA"/>
    <w:rsid w:val="00386D59"/>
    <w:rsid w:val="003870E2"/>
    <w:rsid w:val="003908F2"/>
    <w:rsid w:val="0039171C"/>
    <w:rsid w:val="00393C49"/>
    <w:rsid w:val="00395037"/>
    <w:rsid w:val="003950F3"/>
    <w:rsid w:val="00396AAB"/>
    <w:rsid w:val="00396E51"/>
    <w:rsid w:val="00396FEE"/>
    <w:rsid w:val="00397842"/>
    <w:rsid w:val="003A12E4"/>
    <w:rsid w:val="003A1A4E"/>
    <w:rsid w:val="003A2AFB"/>
    <w:rsid w:val="003A3E3B"/>
    <w:rsid w:val="003A437D"/>
    <w:rsid w:val="003A5F6E"/>
    <w:rsid w:val="003A6C35"/>
    <w:rsid w:val="003B01D4"/>
    <w:rsid w:val="003B0602"/>
    <w:rsid w:val="003B3833"/>
    <w:rsid w:val="003B5B3A"/>
    <w:rsid w:val="003B669E"/>
    <w:rsid w:val="003B6AF8"/>
    <w:rsid w:val="003C4418"/>
    <w:rsid w:val="003D03D7"/>
    <w:rsid w:val="003D277A"/>
    <w:rsid w:val="003D3401"/>
    <w:rsid w:val="003D41D9"/>
    <w:rsid w:val="003D7C66"/>
    <w:rsid w:val="003E15BE"/>
    <w:rsid w:val="003E4703"/>
    <w:rsid w:val="003E4C57"/>
    <w:rsid w:val="003E4E42"/>
    <w:rsid w:val="003E6A24"/>
    <w:rsid w:val="003E74A4"/>
    <w:rsid w:val="003F0648"/>
    <w:rsid w:val="003F159A"/>
    <w:rsid w:val="003F23B0"/>
    <w:rsid w:val="003F291D"/>
    <w:rsid w:val="003F2F80"/>
    <w:rsid w:val="003F4406"/>
    <w:rsid w:val="003F4998"/>
    <w:rsid w:val="003F6535"/>
    <w:rsid w:val="003F7DFD"/>
    <w:rsid w:val="00403EC1"/>
    <w:rsid w:val="00404981"/>
    <w:rsid w:val="00404EA8"/>
    <w:rsid w:val="004069E3"/>
    <w:rsid w:val="00407CFC"/>
    <w:rsid w:val="00410D4E"/>
    <w:rsid w:val="00411191"/>
    <w:rsid w:val="00411C04"/>
    <w:rsid w:val="00412989"/>
    <w:rsid w:val="004131F2"/>
    <w:rsid w:val="00414418"/>
    <w:rsid w:val="004146C9"/>
    <w:rsid w:val="00416765"/>
    <w:rsid w:val="004174E5"/>
    <w:rsid w:val="00420072"/>
    <w:rsid w:val="004202ED"/>
    <w:rsid w:val="0042107B"/>
    <w:rsid w:val="0042222F"/>
    <w:rsid w:val="00422524"/>
    <w:rsid w:val="0042252A"/>
    <w:rsid w:val="00422662"/>
    <w:rsid w:val="004226D0"/>
    <w:rsid w:val="004229B0"/>
    <w:rsid w:val="00425388"/>
    <w:rsid w:val="00427DB3"/>
    <w:rsid w:val="0043018B"/>
    <w:rsid w:val="00433FEB"/>
    <w:rsid w:val="0043622D"/>
    <w:rsid w:val="004373BE"/>
    <w:rsid w:val="00442BE6"/>
    <w:rsid w:val="0044452B"/>
    <w:rsid w:val="0044551B"/>
    <w:rsid w:val="00445908"/>
    <w:rsid w:val="00446BFE"/>
    <w:rsid w:val="00447F42"/>
    <w:rsid w:val="0045116A"/>
    <w:rsid w:val="00451E60"/>
    <w:rsid w:val="00452C48"/>
    <w:rsid w:val="00452E9D"/>
    <w:rsid w:val="0045304C"/>
    <w:rsid w:val="004530AC"/>
    <w:rsid w:val="00453EB3"/>
    <w:rsid w:val="00454368"/>
    <w:rsid w:val="004547C0"/>
    <w:rsid w:val="00454AE8"/>
    <w:rsid w:val="004559D3"/>
    <w:rsid w:val="00456BE3"/>
    <w:rsid w:val="00456D32"/>
    <w:rsid w:val="0045720E"/>
    <w:rsid w:val="00457853"/>
    <w:rsid w:val="00457902"/>
    <w:rsid w:val="00460B25"/>
    <w:rsid w:val="00461AD2"/>
    <w:rsid w:val="00462797"/>
    <w:rsid w:val="00464228"/>
    <w:rsid w:val="0046667A"/>
    <w:rsid w:val="00467537"/>
    <w:rsid w:val="0047058E"/>
    <w:rsid w:val="00471026"/>
    <w:rsid w:val="004732C0"/>
    <w:rsid w:val="00473A93"/>
    <w:rsid w:val="00474207"/>
    <w:rsid w:val="00474394"/>
    <w:rsid w:val="004744D3"/>
    <w:rsid w:val="00475EFF"/>
    <w:rsid w:val="00476144"/>
    <w:rsid w:val="0047786B"/>
    <w:rsid w:val="004822A1"/>
    <w:rsid w:val="00482EF4"/>
    <w:rsid w:val="0048343C"/>
    <w:rsid w:val="00483A17"/>
    <w:rsid w:val="00483DD5"/>
    <w:rsid w:val="004845F1"/>
    <w:rsid w:val="00484BC2"/>
    <w:rsid w:val="00486E8C"/>
    <w:rsid w:val="004872E3"/>
    <w:rsid w:val="00487630"/>
    <w:rsid w:val="004900C1"/>
    <w:rsid w:val="0049034B"/>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2EFC"/>
    <w:rsid w:val="004A472E"/>
    <w:rsid w:val="004A4B6B"/>
    <w:rsid w:val="004A686A"/>
    <w:rsid w:val="004A71F0"/>
    <w:rsid w:val="004B0361"/>
    <w:rsid w:val="004B3904"/>
    <w:rsid w:val="004B42F1"/>
    <w:rsid w:val="004B5245"/>
    <w:rsid w:val="004B6157"/>
    <w:rsid w:val="004B7492"/>
    <w:rsid w:val="004B7C61"/>
    <w:rsid w:val="004C0E63"/>
    <w:rsid w:val="004C3546"/>
    <w:rsid w:val="004C3568"/>
    <w:rsid w:val="004C4638"/>
    <w:rsid w:val="004C60B8"/>
    <w:rsid w:val="004C7DD7"/>
    <w:rsid w:val="004D18D0"/>
    <w:rsid w:val="004D27D6"/>
    <w:rsid w:val="004D2F5D"/>
    <w:rsid w:val="004D5771"/>
    <w:rsid w:val="004D79AD"/>
    <w:rsid w:val="004E493E"/>
    <w:rsid w:val="004E6274"/>
    <w:rsid w:val="004E63CC"/>
    <w:rsid w:val="004F096E"/>
    <w:rsid w:val="004F0BE2"/>
    <w:rsid w:val="004F256B"/>
    <w:rsid w:val="004F72C7"/>
    <w:rsid w:val="004F75A1"/>
    <w:rsid w:val="004F79BD"/>
    <w:rsid w:val="00502E98"/>
    <w:rsid w:val="005031B6"/>
    <w:rsid w:val="00506BC4"/>
    <w:rsid w:val="00507A63"/>
    <w:rsid w:val="00507D05"/>
    <w:rsid w:val="00510FCB"/>
    <w:rsid w:val="005117B4"/>
    <w:rsid w:val="00513602"/>
    <w:rsid w:val="005157A6"/>
    <w:rsid w:val="0052067C"/>
    <w:rsid w:val="00522F30"/>
    <w:rsid w:val="00531479"/>
    <w:rsid w:val="005335EE"/>
    <w:rsid w:val="005343DE"/>
    <w:rsid w:val="005348EF"/>
    <w:rsid w:val="005351E9"/>
    <w:rsid w:val="005353FE"/>
    <w:rsid w:val="005363D4"/>
    <w:rsid w:val="005374AC"/>
    <w:rsid w:val="00540196"/>
    <w:rsid w:val="005445D6"/>
    <w:rsid w:val="00545090"/>
    <w:rsid w:val="00546C44"/>
    <w:rsid w:val="005510FE"/>
    <w:rsid w:val="00556B35"/>
    <w:rsid w:val="00561EE2"/>
    <w:rsid w:val="005631AD"/>
    <w:rsid w:val="005639EA"/>
    <w:rsid w:val="00564BCE"/>
    <w:rsid w:val="00565842"/>
    <w:rsid w:val="005667D5"/>
    <w:rsid w:val="00570E39"/>
    <w:rsid w:val="005722A1"/>
    <w:rsid w:val="00572319"/>
    <w:rsid w:val="00572841"/>
    <w:rsid w:val="00573B43"/>
    <w:rsid w:val="00573D5D"/>
    <w:rsid w:val="00575350"/>
    <w:rsid w:val="00580DC4"/>
    <w:rsid w:val="0058536F"/>
    <w:rsid w:val="00585433"/>
    <w:rsid w:val="00585F10"/>
    <w:rsid w:val="0058729F"/>
    <w:rsid w:val="005879C7"/>
    <w:rsid w:val="0059107D"/>
    <w:rsid w:val="005910A3"/>
    <w:rsid w:val="00591DD6"/>
    <w:rsid w:val="005925E4"/>
    <w:rsid w:val="00592A83"/>
    <w:rsid w:val="00593B07"/>
    <w:rsid w:val="00593E3E"/>
    <w:rsid w:val="005942EA"/>
    <w:rsid w:val="005943A7"/>
    <w:rsid w:val="00596832"/>
    <w:rsid w:val="00596CB2"/>
    <w:rsid w:val="005A1052"/>
    <w:rsid w:val="005A341D"/>
    <w:rsid w:val="005A3AA3"/>
    <w:rsid w:val="005A3FE0"/>
    <w:rsid w:val="005B2981"/>
    <w:rsid w:val="005B522F"/>
    <w:rsid w:val="005B7710"/>
    <w:rsid w:val="005C10C7"/>
    <w:rsid w:val="005C206D"/>
    <w:rsid w:val="005C2C17"/>
    <w:rsid w:val="005C349D"/>
    <w:rsid w:val="005C4005"/>
    <w:rsid w:val="005C4BD3"/>
    <w:rsid w:val="005C6FD6"/>
    <w:rsid w:val="005C7A9F"/>
    <w:rsid w:val="005D0AF9"/>
    <w:rsid w:val="005D1E18"/>
    <w:rsid w:val="005D244B"/>
    <w:rsid w:val="005D2B37"/>
    <w:rsid w:val="005D4715"/>
    <w:rsid w:val="005D50E6"/>
    <w:rsid w:val="005D6F2C"/>
    <w:rsid w:val="005E0A0B"/>
    <w:rsid w:val="005E1812"/>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861"/>
    <w:rsid w:val="00601D94"/>
    <w:rsid w:val="00602D21"/>
    <w:rsid w:val="00604147"/>
    <w:rsid w:val="00605815"/>
    <w:rsid w:val="00605C82"/>
    <w:rsid w:val="0060617B"/>
    <w:rsid w:val="00607E92"/>
    <w:rsid w:val="0061359E"/>
    <w:rsid w:val="00614815"/>
    <w:rsid w:val="00614A27"/>
    <w:rsid w:val="00615247"/>
    <w:rsid w:val="006155FC"/>
    <w:rsid w:val="00615695"/>
    <w:rsid w:val="006157CF"/>
    <w:rsid w:val="006203BD"/>
    <w:rsid w:val="0062059B"/>
    <w:rsid w:val="006247BA"/>
    <w:rsid w:val="00624C5C"/>
    <w:rsid w:val="00627E76"/>
    <w:rsid w:val="00632212"/>
    <w:rsid w:val="006323A6"/>
    <w:rsid w:val="00632B1F"/>
    <w:rsid w:val="00635A99"/>
    <w:rsid w:val="00636A86"/>
    <w:rsid w:val="006415EE"/>
    <w:rsid w:val="00645987"/>
    <w:rsid w:val="0065046E"/>
    <w:rsid w:val="006504EE"/>
    <w:rsid w:val="00650B00"/>
    <w:rsid w:val="0065259E"/>
    <w:rsid w:val="0065282A"/>
    <w:rsid w:val="00652F48"/>
    <w:rsid w:val="006536A9"/>
    <w:rsid w:val="00657C61"/>
    <w:rsid w:val="00657CB6"/>
    <w:rsid w:val="00657E00"/>
    <w:rsid w:val="006613A9"/>
    <w:rsid w:val="006625B4"/>
    <w:rsid w:val="006640FE"/>
    <w:rsid w:val="00671255"/>
    <w:rsid w:val="00672BEE"/>
    <w:rsid w:val="00674467"/>
    <w:rsid w:val="0067448D"/>
    <w:rsid w:val="006762E5"/>
    <w:rsid w:val="006764C8"/>
    <w:rsid w:val="006777A0"/>
    <w:rsid w:val="006813C8"/>
    <w:rsid w:val="00681A3E"/>
    <w:rsid w:val="00682A07"/>
    <w:rsid w:val="00683B97"/>
    <w:rsid w:val="00683CCF"/>
    <w:rsid w:val="00683DC7"/>
    <w:rsid w:val="00683E06"/>
    <w:rsid w:val="006846ED"/>
    <w:rsid w:val="0068568E"/>
    <w:rsid w:val="00685B51"/>
    <w:rsid w:val="00685E07"/>
    <w:rsid w:val="0069068B"/>
    <w:rsid w:val="006931D5"/>
    <w:rsid w:val="00694103"/>
    <w:rsid w:val="00694F9A"/>
    <w:rsid w:val="006974FC"/>
    <w:rsid w:val="006A0482"/>
    <w:rsid w:val="006A13BF"/>
    <w:rsid w:val="006A4046"/>
    <w:rsid w:val="006A4DBD"/>
    <w:rsid w:val="006A53F6"/>
    <w:rsid w:val="006B432F"/>
    <w:rsid w:val="006B7C24"/>
    <w:rsid w:val="006B7CF9"/>
    <w:rsid w:val="006C0139"/>
    <w:rsid w:val="006C0CFB"/>
    <w:rsid w:val="006C111C"/>
    <w:rsid w:val="006C1AEE"/>
    <w:rsid w:val="006C27E2"/>
    <w:rsid w:val="006C3927"/>
    <w:rsid w:val="006C51F7"/>
    <w:rsid w:val="006C6452"/>
    <w:rsid w:val="006C6761"/>
    <w:rsid w:val="006D0368"/>
    <w:rsid w:val="006D2333"/>
    <w:rsid w:val="006D2566"/>
    <w:rsid w:val="006D2DEC"/>
    <w:rsid w:val="006D3DBE"/>
    <w:rsid w:val="006D3E32"/>
    <w:rsid w:val="006D571E"/>
    <w:rsid w:val="006D6CC7"/>
    <w:rsid w:val="006D70CD"/>
    <w:rsid w:val="006D7C85"/>
    <w:rsid w:val="006E1CA2"/>
    <w:rsid w:val="006E2C81"/>
    <w:rsid w:val="006E343F"/>
    <w:rsid w:val="006E42F5"/>
    <w:rsid w:val="006E4AA9"/>
    <w:rsid w:val="006E53D1"/>
    <w:rsid w:val="006E5AFD"/>
    <w:rsid w:val="006E6DB3"/>
    <w:rsid w:val="006E7CC1"/>
    <w:rsid w:val="006F0B6B"/>
    <w:rsid w:val="006F1E01"/>
    <w:rsid w:val="006F47C8"/>
    <w:rsid w:val="006F4AF5"/>
    <w:rsid w:val="006F51F9"/>
    <w:rsid w:val="006F66DE"/>
    <w:rsid w:val="006F715C"/>
    <w:rsid w:val="006F7A23"/>
    <w:rsid w:val="0070010D"/>
    <w:rsid w:val="007004DA"/>
    <w:rsid w:val="00701726"/>
    <w:rsid w:val="007031E2"/>
    <w:rsid w:val="00703733"/>
    <w:rsid w:val="00707D69"/>
    <w:rsid w:val="00711B43"/>
    <w:rsid w:val="00711DA0"/>
    <w:rsid w:val="007122CC"/>
    <w:rsid w:val="00716799"/>
    <w:rsid w:val="0072229D"/>
    <w:rsid w:val="0072752A"/>
    <w:rsid w:val="007339FC"/>
    <w:rsid w:val="00733A81"/>
    <w:rsid w:val="007349ED"/>
    <w:rsid w:val="0073548A"/>
    <w:rsid w:val="00737095"/>
    <w:rsid w:val="007375CF"/>
    <w:rsid w:val="00737F14"/>
    <w:rsid w:val="00740BD4"/>
    <w:rsid w:val="00742F5B"/>
    <w:rsid w:val="0074328B"/>
    <w:rsid w:val="00745B64"/>
    <w:rsid w:val="007462E5"/>
    <w:rsid w:val="007500A2"/>
    <w:rsid w:val="00751A18"/>
    <w:rsid w:val="0075426C"/>
    <w:rsid w:val="00754B6C"/>
    <w:rsid w:val="007609DE"/>
    <w:rsid w:val="00760D7B"/>
    <w:rsid w:val="00762176"/>
    <w:rsid w:val="007632C0"/>
    <w:rsid w:val="00764AC1"/>
    <w:rsid w:val="0076664B"/>
    <w:rsid w:val="00766D48"/>
    <w:rsid w:val="00770CD1"/>
    <w:rsid w:val="00773ADD"/>
    <w:rsid w:val="00774FA0"/>
    <w:rsid w:val="00777A11"/>
    <w:rsid w:val="0078013B"/>
    <w:rsid w:val="00780E9B"/>
    <w:rsid w:val="00784027"/>
    <w:rsid w:val="007848F3"/>
    <w:rsid w:val="00784C7B"/>
    <w:rsid w:val="007857B4"/>
    <w:rsid w:val="007864C1"/>
    <w:rsid w:val="00786718"/>
    <w:rsid w:val="00791CE4"/>
    <w:rsid w:val="00794312"/>
    <w:rsid w:val="0079518B"/>
    <w:rsid w:val="00797D46"/>
    <w:rsid w:val="007A01CC"/>
    <w:rsid w:val="007A0524"/>
    <w:rsid w:val="007A0A70"/>
    <w:rsid w:val="007A2597"/>
    <w:rsid w:val="007A25C9"/>
    <w:rsid w:val="007A2D4A"/>
    <w:rsid w:val="007A32BB"/>
    <w:rsid w:val="007A4679"/>
    <w:rsid w:val="007A4C9D"/>
    <w:rsid w:val="007A5DFF"/>
    <w:rsid w:val="007B149E"/>
    <w:rsid w:val="007B19B1"/>
    <w:rsid w:val="007B1D16"/>
    <w:rsid w:val="007B23FD"/>
    <w:rsid w:val="007B2DB4"/>
    <w:rsid w:val="007B3B56"/>
    <w:rsid w:val="007B403A"/>
    <w:rsid w:val="007B4213"/>
    <w:rsid w:val="007B4677"/>
    <w:rsid w:val="007B497F"/>
    <w:rsid w:val="007B4ED1"/>
    <w:rsid w:val="007B794B"/>
    <w:rsid w:val="007C0DEC"/>
    <w:rsid w:val="007C1ECE"/>
    <w:rsid w:val="007C3820"/>
    <w:rsid w:val="007C4C18"/>
    <w:rsid w:val="007D1A32"/>
    <w:rsid w:val="007D3DEB"/>
    <w:rsid w:val="007D3FA4"/>
    <w:rsid w:val="007D5153"/>
    <w:rsid w:val="007D620F"/>
    <w:rsid w:val="007E14BD"/>
    <w:rsid w:val="007E31EA"/>
    <w:rsid w:val="007E3B25"/>
    <w:rsid w:val="007E3B7D"/>
    <w:rsid w:val="007E5A22"/>
    <w:rsid w:val="007E665D"/>
    <w:rsid w:val="007E7710"/>
    <w:rsid w:val="007F2008"/>
    <w:rsid w:val="007F22AC"/>
    <w:rsid w:val="007F29E1"/>
    <w:rsid w:val="007F42E3"/>
    <w:rsid w:val="007F4388"/>
    <w:rsid w:val="007F4788"/>
    <w:rsid w:val="007F618A"/>
    <w:rsid w:val="007F66B7"/>
    <w:rsid w:val="00801104"/>
    <w:rsid w:val="00801432"/>
    <w:rsid w:val="00802290"/>
    <w:rsid w:val="00803305"/>
    <w:rsid w:val="0080375B"/>
    <w:rsid w:val="00803FCC"/>
    <w:rsid w:val="008041F5"/>
    <w:rsid w:val="00804F53"/>
    <w:rsid w:val="0081042F"/>
    <w:rsid w:val="008120AF"/>
    <w:rsid w:val="008125B6"/>
    <w:rsid w:val="00812625"/>
    <w:rsid w:val="00813636"/>
    <w:rsid w:val="00814DBF"/>
    <w:rsid w:val="00817759"/>
    <w:rsid w:val="00817C8F"/>
    <w:rsid w:val="00820982"/>
    <w:rsid w:val="008213C2"/>
    <w:rsid w:val="0082170D"/>
    <w:rsid w:val="0082187A"/>
    <w:rsid w:val="00822223"/>
    <w:rsid w:val="00822802"/>
    <w:rsid w:val="00825521"/>
    <w:rsid w:val="00831989"/>
    <w:rsid w:val="00831EBD"/>
    <w:rsid w:val="008334D6"/>
    <w:rsid w:val="00834BB3"/>
    <w:rsid w:val="00836BE4"/>
    <w:rsid w:val="008378B4"/>
    <w:rsid w:val="00840A1A"/>
    <w:rsid w:val="00840D02"/>
    <w:rsid w:val="008431E0"/>
    <w:rsid w:val="00843A16"/>
    <w:rsid w:val="00844665"/>
    <w:rsid w:val="00845E4B"/>
    <w:rsid w:val="00846735"/>
    <w:rsid w:val="00846837"/>
    <w:rsid w:val="00846E42"/>
    <w:rsid w:val="00850601"/>
    <w:rsid w:val="00852698"/>
    <w:rsid w:val="008527C1"/>
    <w:rsid w:val="00852948"/>
    <w:rsid w:val="00853065"/>
    <w:rsid w:val="00854598"/>
    <w:rsid w:val="00856BDC"/>
    <w:rsid w:val="00857CBA"/>
    <w:rsid w:val="00861C4F"/>
    <w:rsid w:val="00862D0B"/>
    <w:rsid w:val="00863D30"/>
    <w:rsid w:val="008642DF"/>
    <w:rsid w:val="0086434F"/>
    <w:rsid w:val="00864FC3"/>
    <w:rsid w:val="00865AD8"/>
    <w:rsid w:val="00866CE0"/>
    <w:rsid w:val="008721CC"/>
    <w:rsid w:val="00872226"/>
    <w:rsid w:val="0087239F"/>
    <w:rsid w:val="00872B47"/>
    <w:rsid w:val="00874730"/>
    <w:rsid w:val="00874E33"/>
    <w:rsid w:val="008751CE"/>
    <w:rsid w:val="00875F84"/>
    <w:rsid w:val="00876066"/>
    <w:rsid w:val="00876213"/>
    <w:rsid w:val="008773C3"/>
    <w:rsid w:val="00877623"/>
    <w:rsid w:val="008824EE"/>
    <w:rsid w:val="00882B7E"/>
    <w:rsid w:val="00882D96"/>
    <w:rsid w:val="00883EFA"/>
    <w:rsid w:val="00885A80"/>
    <w:rsid w:val="00885D6E"/>
    <w:rsid w:val="008867F6"/>
    <w:rsid w:val="00887322"/>
    <w:rsid w:val="00887818"/>
    <w:rsid w:val="00892C54"/>
    <w:rsid w:val="00893260"/>
    <w:rsid w:val="008952E6"/>
    <w:rsid w:val="0089533A"/>
    <w:rsid w:val="00896227"/>
    <w:rsid w:val="008A063A"/>
    <w:rsid w:val="008A0CAF"/>
    <w:rsid w:val="008A146D"/>
    <w:rsid w:val="008A37E3"/>
    <w:rsid w:val="008A5294"/>
    <w:rsid w:val="008A6398"/>
    <w:rsid w:val="008A73CB"/>
    <w:rsid w:val="008A79AF"/>
    <w:rsid w:val="008A7FE6"/>
    <w:rsid w:val="008B02D1"/>
    <w:rsid w:val="008B14A2"/>
    <w:rsid w:val="008B1A8D"/>
    <w:rsid w:val="008B1C28"/>
    <w:rsid w:val="008B31F8"/>
    <w:rsid w:val="008B7A52"/>
    <w:rsid w:val="008B7F12"/>
    <w:rsid w:val="008C00EC"/>
    <w:rsid w:val="008C0773"/>
    <w:rsid w:val="008C0CE5"/>
    <w:rsid w:val="008C1F78"/>
    <w:rsid w:val="008C5ABC"/>
    <w:rsid w:val="008C5C88"/>
    <w:rsid w:val="008D095A"/>
    <w:rsid w:val="008D1FCD"/>
    <w:rsid w:val="008D75EB"/>
    <w:rsid w:val="008E0A3D"/>
    <w:rsid w:val="008E0A75"/>
    <w:rsid w:val="008E0EAF"/>
    <w:rsid w:val="008E1805"/>
    <w:rsid w:val="008E6453"/>
    <w:rsid w:val="008F51BE"/>
    <w:rsid w:val="009027ED"/>
    <w:rsid w:val="00903409"/>
    <w:rsid w:val="00903846"/>
    <w:rsid w:val="0090525F"/>
    <w:rsid w:val="00911B9C"/>
    <w:rsid w:val="00915D0C"/>
    <w:rsid w:val="00917927"/>
    <w:rsid w:val="009201BE"/>
    <w:rsid w:val="00920B05"/>
    <w:rsid w:val="00924453"/>
    <w:rsid w:val="009254FA"/>
    <w:rsid w:val="00925BAC"/>
    <w:rsid w:val="009267C4"/>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2D77"/>
    <w:rsid w:val="0094326B"/>
    <w:rsid w:val="0094415E"/>
    <w:rsid w:val="0094416B"/>
    <w:rsid w:val="00946625"/>
    <w:rsid w:val="00951733"/>
    <w:rsid w:val="009519FC"/>
    <w:rsid w:val="00952317"/>
    <w:rsid w:val="00953A8D"/>
    <w:rsid w:val="0095692A"/>
    <w:rsid w:val="00957D8E"/>
    <w:rsid w:val="0096040D"/>
    <w:rsid w:val="009606C6"/>
    <w:rsid w:val="00960AA9"/>
    <w:rsid w:val="00960D9D"/>
    <w:rsid w:val="009622C7"/>
    <w:rsid w:val="009663D4"/>
    <w:rsid w:val="00970F6A"/>
    <w:rsid w:val="009712C8"/>
    <w:rsid w:val="0097190C"/>
    <w:rsid w:val="009765DD"/>
    <w:rsid w:val="009775E7"/>
    <w:rsid w:val="0098097B"/>
    <w:rsid w:val="00981906"/>
    <w:rsid w:val="00982E10"/>
    <w:rsid w:val="00985129"/>
    <w:rsid w:val="00985BC6"/>
    <w:rsid w:val="00990CCF"/>
    <w:rsid w:val="009918D7"/>
    <w:rsid w:val="009919C7"/>
    <w:rsid w:val="009932CC"/>
    <w:rsid w:val="0099432E"/>
    <w:rsid w:val="0099453D"/>
    <w:rsid w:val="009951C5"/>
    <w:rsid w:val="00996D23"/>
    <w:rsid w:val="00997A92"/>
    <w:rsid w:val="009A0A11"/>
    <w:rsid w:val="009A1504"/>
    <w:rsid w:val="009A1864"/>
    <w:rsid w:val="009A1C69"/>
    <w:rsid w:val="009A28D5"/>
    <w:rsid w:val="009A3393"/>
    <w:rsid w:val="009A43A3"/>
    <w:rsid w:val="009A5FEB"/>
    <w:rsid w:val="009A7A34"/>
    <w:rsid w:val="009B0288"/>
    <w:rsid w:val="009B077D"/>
    <w:rsid w:val="009B0FA0"/>
    <w:rsid w:val="009B5599"/>
    <w:rsid w:val="009B5BD8"/>
    <w:rsid w:val="009C0FD7"/>
    <w:rsid w:val="009C3C8C"/>
    <w:rsid w:val="009C4B4C"/>
    <w:rsid w:val="009C4C54"/>
    <w:rsid w:val="009C4FD2"/>
    <w:rsid w:val="009C7161"/>
    <w:rsid w:val="009C76C1"/>
    <w:rsid w:val="009D05EC"/>
    <w:rsid w:val="009D1070"/>
    <w:rsid w:val="009D11D6"/>
    <w:rsid w:val="009D3AF6"/>
    <w:rsid w:val="009D4019"/>
    <w:rsid w:val="009D628C"/>
    <w:rsid w:val="009E11BA"/>
    <w:rsid w:val="009E141B"/>
    <w:rsid w:val="009E2D6C"/>
    <w:rsid w:val="009E660D"/>
    <w:rsid w:val="009F50D8"/>
    <w:rsid w:val="009F5F90"/>
    <w:rsid w:val="009F7E80"/>
    <w:rsid w:val="00A03535"/>
    <w:rsid w:val="00A045A2"/>
    <w:rsid w:val="00A04B6D"/>
    <w:rsid w:val="00A06DD7"/>
    <w:rsid w:val="00A12BCC"/>
    <w:rsid w:val="00A14318"/>
    <w:rsid w:val="00A14F4E"/>
    <w:rsid w:val="00A167FB"/>
    <w:rsid w:val="00A174F5"/>
    <w:rsid w:val="00A20E1D"/>
    <w:rsid w:val="00A241E3"/>
    <w:rsid w:val="00A32095"/>
    <w:rsid w:val="00A32C7A"/>
    <w:rsid w:val="00A32E70"/>
    <w:rsid w:val="00A33E33"/>
    <w:rsid w:val="00A34D08"/>
    <w:rsid w:val="00A43557"/>
    <w:rsid w:val="00A44D85"/>
    <w:rsid w:val="00A45025"/>
    <w:rsid w:val="00A45844"/>
    <w:rsid w:val="00A51077"/>
    <w:rsid w:val="00A51224"/>
    <w:rsid w:val="00A53A6B"/>
    <w:rsid w:val="00A5433B"/>
    <w:rsid w:val="00A54C60"/>
    <w:rsid w:val="00A54E1A"/>
    <w:rsid w:val="00A55441"/>
    <w:rsid w:val="00A56A48"/>
    <w:rsid w:val="00A56DEC"/>
    <w:rsid w:val="00A57B7B"/>
    <w:rsid w:val="00A60B48"/>
    <w:rsid w:val="00A612FF"/>
    <w:rsid w:val="00A614D0"/>
    <w:rsid w:val="00A62BFB"/>
    <w:rsid w:val="00A6462A"/>
    <w:rsid w:val="00A65FDE"/>
    <w:rsid w:val="00A6602B"/>
    <w:rsid w:val="00A66E8A"/>
    <w:rsid w:val="00A71943"/>
    <w:rsid w:val="00A730EF"/>
    <w:rsid w:val="00A7361D"/>
    <w:rsid w:val="00A7456C"/>
    <w:rsid w:val="00A75588"/>
    <w:rsid w:val="00A772B5"/>
    <w:rsid w:val="00A778FF"/>
    <w:rsid w:val="00A77D5D"/>
    <w:rsid w:val="00A80635"/>
    <w:rsid w:val="00A82118"/>
    <w:rsid w:val="00A82EA9"/>
    <w:rsid w:val="00A87BD4"/>
    <w:rsid w:val="00A91E7F"/>
    <w:rsid w:val="00A95C14"/>
    <w:rsid w:val="00A95FAA"/>
    <w:rsid w:val="00A9666F"/>
    <w:rsid w:val="00A97BA6"/>
    <w:rsid w:val="00A97C92"/>
    <w:rsid w:val="00AA0797"/>
    <w:rsid w:val="00AA2F4F"/>
    <w:rsid w:val="00AA4BFF"/>
    <w:rsid w:val="00AB0069"/>
    <w:rsid w:val="00AB0351"/>
    <w:rsid w:val="00AB15CC"/>
    <w:rsid w:val="00AB18A3"/>
    <w:rsid w:val="00AB24E1"/>
    <w:rsid w:val="00AB2AB3"/>
    <w:rsid w:val="00AB3D71"/>
    <w:rsid w:val="00AB6EAC"/>
    <w:rsid w:val="00AC07A4"/>
    <w:rsid w:val="00AC241A"/>
    <w:rsid w:val="00AC271E"/>
    <w:rsid w:val="00AC67A5"/>
    <w:rsid w:val="00AD0EF9"/>
    <w:rsid w:val="00AD1F3F"/>
    <w:rsid w:val="00AD2944"/>
    <w:rsid w:val="00AD35EF"/>
    <w:rsid w:val="00AD4A4D"/>
    <w:rsid w:val="00AD57B1"/>
    <w:rsid w:val="00AD612A"/>
    <w:rsid w:val="00AD7A2D"/>
    <w:rsid w:val="00AE2F42"/>
    <w:rsid w:val="00AE33A9"/>
    <w:rsid w:val="00AE4666"/>
    <w:rsid w:val="00AE5255"/>
    <w:rsid w:val="00AF140A"/>
    <w:rsid w:val="00AF1F7E"/>
    <w:rsid w:val="00AF2CDB"/>
    <w:rsid w:val="00AF4251"/>
    <w:rsid w:val="00AF4AEB"/>
    <w:rsid w:val="00AF539D"/>
    <w:rsid w:val="00AF59B9"/>
    <w:rsid w:val="00AF5A5E"/>
    <w:rsid w:val="00AF7241"/>
    <w:rsid w:val="00B001E4"/>
    <w:rsid w:val="00B0153A"/>
    <w:rsid w:val="00B03CE1"/>
    <w:rsid w:val="00B045F0"/>
    <w:rsid w:val="00B04889"/>
    <w:rsid w:val="00B04DC4"/>
    <w:rsid w:val="00B05CA8"/>
    <w:rsid w:val="00B06013"/>
    <w:rsid w:val="00B06CAC"/>
    <w:rsid w:val="00B07049"/>
    <w:rsid w:val="00B1380A"/>
    <w:rsid w:val="00B13902"/>
    <w:rsid w:val="00B13FA7"/>
    <w:rsid w:val="00B14244"/>
    <w:rsid w:val="00B1506B"/>
    <w:rsid w:val="00B234D4"/>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0BE8"/>
    <w:rsid w:val="00B41994"/>
    <w:rsid w:val="00B42655"/>
    <w:rsid w:val="00B44BDA"/>
    <w:rsid w:val="00B4503B"/>
    <w:rsid w:val="00B453F2"/>
    <w:rsid w:val="00B462E6"/>
    <w:rsid w:val="00B46EBD"/>
    <w:rsid w:val="00B51489"/>
    <w:rsid w:val="00B5163B"/>
    <w:rsid w:val="00B51651"/>
    <w:rsid w:val="00B525EE"/>
    <w:rsid w:val="00B55021"/>
    <w:rsid w:val="00B562C4"/>
    <w:rsid w:val="00B571D5"/>
    <w:rsid w:val="00B57273"/>
    <w:rsid w:val="00B6012E"/>
    <w:rsid w:val="00B6112C"/>
    <w:rsid w:val="00B61C6C"/>
    <w:rsid w:val="00B622E7"/>
    <w:rsid w:val="00B62C96"/>
    <w:rsid w:val="00B6380C"/>
    <w:rsid w:val="00B63F64"/>
    <w:rsid w:val="00B641A3"/>
    <w:rsid w:val="00B6545B"/>
    <w:rsid w:val="00B6556C"/>
    <w:rsid w:val="00B6734D"/>
    <w:rsid w:val="00B67AA9"/>
    <w:rsid w:val="00B72B76"/>
    <w:rsid w:val="00B72F4B"/>
    <w:rsid w:val="00B73DAC"/>
    <w:rsid w:val="00B744B2"/>
    <w:rsid w:val="00B7597A"/>
    <w:rsid w:val="00B75E8C"/>
    <w:rsid w:val="00B7603F"/>
    <w:rsid w:val="00B76E5E"/>
    <w:rsid w:val="00B77EF4"/>
    <w:rsid w:val="00B80E36"/>
    <w:rsid w:val="00B815E2"/>
    <w:rsid w:val="00B846D4"/>
    <w:rsid w:val="00B84A71"/>
    <w:rsid w:val="00B8544D"/>
    <w:rsid w:val="00B871A9"/>
    <w:rsid w:val="00B878CE"/>
    <w:rsid w:val="00B87B22"/>
    <w:rsid w:val="00B87F9C"/>
    <w:rsid w:val="00B906FF"/>
    <w:rsid w:val="00B91ED7"/>
    <w:rsid w:val="00B9211C"/>
    <w:rsid w:val="00B92EEC"/>
    <w:rsid w:val="00B950A5"/>
    <w:rsid w:val="00B97541"/>
    <w:rsid w:val="00BA1CA0"/>
    <w:rsid w:val="00BA455A"/>
    <w:rsid w:val="00BA5528"/>
    <w:rsid w:val="00BA688E"/>
    <w:rsid w:val="00BB0742"/>
    <w:rsid w:val="00BB1B0D"/>
    <w:rsid w:val="00BB26FC"/>
    <w:rsid w:val="00BB6818"/>
    <w:rsid w:val="00BC013C"/>
    <w:rsid w:val="00BC0541"/>
    <w:rsid w:val="00BC0C96"/>
    <w:rsid w:val="00BC328D"/>
    <w:rsid w:val="00BC395B"/>
    <w:rsid w:val="00BC3B6D"/>
    <w:rsid w:val="00BC3F67"/>
    <w:rsid w:val="00BC45BA"/>
    <w:rsid w:val="00BC5F4E"/>
    <w:rsid w:val="00BC5FDE"/>
    <w:rsid w:val="00BC7297"/>
    <w:rsid w:val="00BC72EA"/>
    <w:rsid w:val="00BD0240"/>
    <w:rsid w:val="00BD0822"/>
    <w:rsid w:val="00BD1E79"/>
    <w:rsid w:val="00BD2C19"/>
    <w:rsid w:val="00BD5E01"/>
    <w:rsid w:val="00BD799F"/>
    <w:rsid w:val="00BE0125"/>
    <w:rsid w:val="00BE0A98"/>
    <w:rsid w:val="00BE1867"/>
    <w:rsid w:val="00BE5FB6"/>
    <w:rsid w:val="00BE79DB"/>
    <w:rsid w:val="00BF11D7"/>
    <w:rsid w:val="00BF467C"/>
    <w:rsid w:val="00BF59B0"/>
    <w:rsid w:val="00BF7D62"/>
    <w:rsid w:val="00C0130E"/>
    <w:rsid w:val="00C0272E"/>
    <w:rsid w:val="00C02B41"/>
    <w:rsid w:val="00C04D36"/>
    <w:rsid w:val="00C04DB4"/>
    <w:rsid w:val="00C05EB3"/>
    <w:rsid w:val="00C06FCE"/>
    <w:rsid w:val="00C07C03"/>
    <w:rsid w:val="00C10747"/>
    <w:rsid w:val="00C10EB5"/>
    <w:rsid w:val="00C12025"/>
    <w:rsid w:val="00C133C8"/>
    <w:rsid w:val="00C1447E"/>
    <w:rsid w:val="00C15F7E"/>
    <w:rsid w:val="00C21159"/>
    <w:rsid w:val="00C21650"/>
    <w:rsid w:val="00C24BF8"/>
    <w:rsid w:val="00C265C0"/>
    <w:rsid w:val="00C27482"/>
    <w:rsid w:val="00C27872"/>
    <w:rsid w:val="00C30595"/>
    <w:rsid w:val="00C30AAD"/>
    <w:rsid w:val="00C311B3"/>
    <w:rsid w:val="00C33D9D"/>
    <w:rsid w:val="00C35637"/>
    <w:rsid w:val="00C36AC4"/>
    <w:rsid w:val="00C418FA"/>
    <w:rsid w:val="00C44424"/>
    <w:rsid w:val="00C44FA7"/>
    <w:rsid w:val="00C472A4"/>
    <w:rsid w:val="00C537EB"/>
    <w:rsid w:val="00C61A21"/>
    <w:rsid w:val="00C62EDF"/>
    <w:rsid w:val="00C630B4"/>
    <w:rsid w:val="00C654F4"/>
    <w:rsid w:val="00C66654"/>
    <w:rsid w:val="00C706EC"/>
    <w:rsid w:val="00C71716"/>
    <w:rsid w:val="00C71F95"/>
    <w:rsid w:val="00C72C64"/>
    <w:rsid w:val="00C73585"/>
    <w:rsid w:val="00C73C0D"/>
    <w:rsid w:val="00C7436B"/>
    <w:rsid w:val="00C7586A"/>
    <w:rsid w:val="00C7627B"/>
    <w:rsid w:val="00C76480"/>
    <w:rsid w:val="00C77547"/>
    <w:rsid w:val="00C778E6"/>
    <w:rsid w:val="00C81E07"/>
    <w:rsid w:val="00C8388D"/>
    <w:rsid w:val="00C839A9"/>
    <w:rsid w:val="00C83FB4"/>
    <w:rsid w:val="00C849C6"/>
    <w:rsid w:val="00C85D6A"/>
    <w:rsid w:val="00C874E9"/>
    <w:rsid w:val="00C87E38"/>
    <w:rsid w:val="00C9040A"/>
    <w:rsid w:val="00C90AFC"/>
    <w:rsid w:val="00C9408C"/>
    <w:rsid w:val="00C94154"/>
    <w:rsid w:val="00C94693"/>
    <w:rsid w:val="00C94898"/>
    <w:rsid w:val="00CA2D32"/>
    <w:rsid w:val="00CA3FE6"/>
    <w:rsid w:val="00CA6414"/>
    <w:rsid w:val="00CA746D"/>
    <w:rsid w:val="00CA74DC"/>
    <w:rsid w:val="00CA7CA9"/>
    <w:rsid w:val="00CB2AB7"/>
    <w:rsid w:val="00CB5060"/>
    <w:rsid w:val="00CC0083"/>
    <w:rsid w:val="00CC27F3"/>
    <w:rsid w:val="00CC3194"/>
    <w:rsid w:val="00CC3562"/>
    <w:rsid w:val="00CC4D63"/>
    <w:rsid w:val="00CC5E5B"/>
    <w:rsid w:val="00CC61A5"/>
    <w:rsid w:val="00CC772A"/>
    <w:rsid w:val="00CC7E08"/>
    <w:rsid w:val="00CD14DB"/>
    <w:rsid w:val="00CD6D72"/>
    <w:rsid w:val="00CD7B93"/>
    <w:rsid w:val="00CE0348"/>
    <w:rsid w:val="00CE2E0F"/>
    <w:rsid w:val="00CE5FE4"/>
    <w:rsid w:val="00CE6283"/>
    <w:rsid w:val="00CE67AA"/>
    <w:rsid w:val="00CE6F33"/>
    <w:rsid w:val="00CE727A"/>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4D5F"/>
    <w:rsid w:val="00D04DD6"/>
    <w:rsid w:val="00D04DFA"/>
    <w:rsid w:val="00D0597F"/>
    <w:rsid w:val="00D05F35"/>
    <w:rsid w:val="00D06393"/>
    <w:rsid w:val="00D06E5E"/>
    <w:rsid w:val="00D06F79"/>
    <w:rsid w:val="00D10597"/>
    <w:rsid w:val="00D120A3"/>
    <w:rsid w:val="00D13288"/>
    <w:rsid w:val="00D13AF8"/>
    <w:rsid w:val="00D1584B"/>
    <w:rsid w:val="00D20601"/>
    <w:rsid w:val="00D219E9"/>
    <w:rsid w:val="00D2205B"/>
    <w:rsid w:val="00D23418"/>
    <w:rsid w:val="00D24606"/>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74F"/>
    <w:rsid w:val="00D44CA5"/>
    <w:rsid w:val="00D46E12"/>
    <w:rsid w:val="00D503B0"/>
    <w:rsid w:val="00D50734"/>
    <w:rsid w:val="00D507C0"/>
    <w:rsid w:val="00D513CC"/>
    <w:rsid w:val="00D5172A"/>
    <w:rsid w:val="00D56435"/>
    <w:rsid w:val="00D62755"/>
    <w:rsid w:val="00D62AA4"/>
    <w:rsid w:val="00D6318F"/>
    <w:rsid w:val="00D650BB"/>
    <w:rsid w:val="00D6540A"/>
    <w:rsid w:val="00D674AF"/>
    <w:rsid w:val="00D70107"/>
    <w:rsid w:val="00D70438"/>
    <w:rsid w:val="00D717AD"/>
    <w:rsid w:val="00D720AD"/>
    <w:rsid w:val="00D72D1D"/>
    <w:rsid w:val="00D74A18"/>
    <w:rsid w:val="00D74D3E"/>
    <w:rsid w:val="00D757C6"/>
    <w:rsid w:val="00D75C41"/>
    <w:rsid w:val="00D80529"/>
    <w:rsid w:val="00D80F78"/>
    <w:rsid w:val="00D81AC3"/>
    <w:rsid w:val="00D81C59"/>
    <w:rsid w:val="00D82A5B"/>
    <w:rsid w:val="00D84637"/>
    <w:rsid w:val="00D8473B"/>
    <w:rsid w:val="00D85780"/>
    <w:rsid w:val="00D9052A"/>
    <w:rsid w:val="00D925AA"/>
    <w:rsid w:val="00D9283D"/>
    <w:rsid w:val="00D930DD"/>
    <w:rsid w:val="00D9341C"/>
    <w:rsid w:val="00D94B7D"/>
    <w:rsid w:val="00D952FC"/>
    <w:rsid w:val="00DA0109"/>
    <w:rsid w:val="00DA0B1A"/>
    <w:rsid w:val="00DA1560"/>
    <w:rsid w:val="00DA3176"/>
    <w:rsid w:val="00DA4C44"/>
    <w:rsid w:val="00DA4C48"/>
    <w:rsid w:val="00DA4E21"/>
    <w:rsid w:val="00DA71EF"/>
    <w:rsid w:val="00DA7A18"/>
    <w:rsid w:val="00DB1347"/>
    <w:rsid w:val="00DB28CE"/>
    <w:rsid w:val="00DB29BC"/>
    <w:rsid w:val="00DB2A2A"/>
    <w:rsid w:val="00DB479F"/>
    <w:rsid w:val="00DB55B6"/>
    <w:rsid w:val="00DB5EA7"/>
    <w:rsid w:val="00DB5F21"/>
    <w:rsid w:val="00DB6D7C"/>
    <w:rsid w:val="00DB7183"/>
    <w:rsid w:val="00DC090A"/>
    <w:rsid w:val="00DC0E7E"/>
    <w:rsid w:val="00DC2D72"/>
    <w:rsid w:val="00DC30EA"/>
    <w:rsid w:val="00DC4FE9"/>
    <w:rsid w:val="00DC5918"/>
    <w:rsid w:val="00DC6C8D"/>
    <w:rsid w:val="00DC73A5"/>
    <w:rsid w:val="00DD0236"/>
    <w:rsid w:val="00DD3560"/>
    <w:rsid w:val="00DD4100"/>
    <w:rsid w:val="00DD76A4"/>
    <w:rsid w:val="00DD7C65"/>
    <w:rsid w:val="00DE03E4"/>
    <w:rsid w:val="00DE1134"/>
    <w:rsid w:val="00DE1AEB"/>
    <w:rsid w:val="00DE2247"/>
    <w:rsid w:val="00DE2A34"/>
    <w:rsid w:val="00DE37AE"/>
    <w:rsid w:val="00DE4732"/>
    <w:rsid w:val="00DE6668"/>
    <w:rsid w:val="00DE6987"/>
    <w:rsid w:val="00DE7339"/>
    <w:rsid w:val="00DF1246"/>
    <w:rsid w:val="00DF30C0"/>
    <w:rsid w:val="00E0080A"/>
    <w:rsid w:val="00E00F31"/>
    <w:rsid w:val="00E02242"/>
    <w:rsid w:val="00E0300E"/>
    <w:rsid w:val="00E04AE0"/>
    <w:rsid w:val="00E070D0"/>
    <w:rsid w:val="00E0713F"/>
    <w:rsid w:val="00E11517"/>
    <w:rsid w:val="00E12834"/>
    <w:rsid w:val="00E13727"/>
    <w:rsid w:val="00E15630"/>
    <w:rsid w:val="00E17AB3"/>
    <w:rsid w:val="00E20254"/>
    <w:rsid w:val="00E209F0"/>
    <w:rsid w:val="00E219EB"/>
    <w:rsid w:val="00E22C13"/>
    <w:rsid w:val="00E23129"/>
    <w:rsid w:val="00E25045"/>
    <w:rsid w:val="00E2677C"/>
    <w:rsid w:val="00E26D83"/>
    <w:rsid w:val="00E271CD"/>
    <w:rsid w:val="00E27A1E"/>
    <w:rsid w:val="00E306E9"/>
    <w:rsid w:val="00E307DC"/>
    <w:rsid w:val="00E323CF"/>
    <w:rsid w:val="00E334B9"/>
    <w:rsid w:val="00E33905"/>
    <w:rsid w:val="00E342D1"/>
    <w:rsid w:val="00E34B96"/>
    <w:rsid w:val="00E35045"/>
    <w:rsid w:val="00E37502"/>
    <w:rsid w:val="00E40127"/>
    <w:rsid w:val="00E43074"/>
    <w:rsid w:val="00E431C8"/>
    <w:rsid w:val="00E44926"/>
    <w:rsid w:val="00E44E09"/>
    <w:rsid w:val="00E45D53"/>
    <w:rsid w:val="00E46AD5"/>
    <w:rsid w:val="00E46DBD"/>
    <w:rsid w:val="00E51708"/>
    <w:rsid w:val="00E51729"/>
    <w:rsid w:val="00E51D0A"/>
    <w:rsid w:val="00E53139"/>
    <w:rsid w:val="00E53A8F"/>
    <w:rsid w:val="00E5435E"/>
    <w:rsid w:val="00E55A81"/>
    <w:rsid w:val="00E56450"/>
    <w:rsid w:val="00E56DA8"/>
    <w:rsid w:val="00E60ACC"/>
    <w:rsid w:val="00E60C4B"/>
    <w:rsid w:val="00E60E21"/>
    <w:rsid w:val="00E639B7"/>
    <w:rsid w:val="00E6570E"/>
    <w:rsid w:val="00E66638"/>
    <w:rsid w:val="00E6706E"/>
    <w:rsid w:val="00E7211D"/>
    <w:rsid w:val="00E754C2"/>
    <w:rsid w:val="00E757CA"/>
    <w:rsid w:val="00E75D48"/>
    <w:rsid w:val="00E76750"/>
    <w:rsid w:val="00E773CD"/>
    <w:rsid w:val="00E774C9"/>
    <w:rsid w:val="00E77D0C"/>
    <w:rsid w:val="00E80964"/>
    <w:rsid w:val="00E83D43"/>
    <w:rsid w:val="00E841A6"/>
    <w:rsid w:val="00E84BCB"/>
    <w:rsid w:val="00E85905"/>
    <w:rsid w:val="00E85D20"/>
    <w:rsid w:val="00E87C0D"/>
    <w:rsid w:val="00E87C43"/>
    <w:rsid w:val="00E90DC4"/>
    <w:rsid w:val="00E9163F"/>
    <w:rsid w:val="00E91CB7"/>
    <w:rsid w:val="00E955B0"/>
    <w:rsid w:val="00E956E8"/>
    <w:rsid w:val="00EA022D"/>
    <w:rsid w:val="00EA0D10"/>
    <w:rsid w:val="00EA0F2C"/>
    <w:rsid w:val="00EA19CB"/>
    <w:rsid w:val="00EA2C8F"/>
    <w:rsid w:val="00EA5045"/>
    <w:rsid w:val="00EA5D64"/>
    <w:rsid w:val="00EA613A"/>
    <w:rsid w:val="00EA6A8C"/>
    <w:rsid w:val="00EB2AD1"/>
    <w:rsid w:val="00EB2F9F"/>
    <w:rsid w:val="00EB3067"/>
    <w:rsid w:val="00EB353E"/>
    <w:rsid w:val="00EB3AA1"/>
    <w:rsid w:val="00EB56E0"/>
    <w:rsid w:val="00EB5DDF"/>
    <w:rsid w:val="00EB6E66"/>
    <w:rsid w:val="00EC0129"/>
    <w:rsid w:val="00EC3CEC"/>
    <w:rsid w:val="00EC4625"/>
    <w:rsid w:val="00ED139E"/>
    <w:rsid w:val="00ED1759"/>
    <w:rsid w:val="00ED27A5"/>
    <w:rsid w:val="00ED3ECB"/>
    <w:rsid w:val="00ED445D"/>
    <w:rsid w:val="00ED461C"/>
    <w:rsid w:val="00ED5E2B"/>
    <w:rsid w:val="00EE01C2"/>
    <w:rsid w:val="00EE1665"/>
    <w:rsid w:val="00EE2FEA"/>
    <w:rsid w:val="00EE37A2"/>
    <w:rsid w:val="00EE3B12"/>
    <w:rsid w:val="00EE5AF3"/>
    <w:rsid w:val="00EE5E91"/>
    <w:rsid w:val="00EE5F8C"/>
    <w:rsid w:val="00EE73BC"/>
    <w:rsid w:val="00EE7AC8"/>
    <w:rsid w:val="00EF00AA"/>
    <w:rsid w:val="00EF3996"/>
    <w:rsid w:val="00F0026A"/>
    <w:rsid w:val="00F021E7"/>
    <w:rsid w:val="00F026C1"/>
    <w:rsid w:val="00F039D1"/>
    <w:rsid w:val="00F05BEC"/>
    <w:rsid w:val="00F05D0F"/>
    <w:rsid w:val="00F05DB4"/>
    <w:rsid w:val="00F13358"/>
    <w:rsid w:val="00F1456D"/>
    <w:rsid w:val="00F14DA0"/>
    <w:rsid w:val="00F15387"/>
    <w:rsid w:val="00F15D8B"/>
    <w:rsid w:val="00F15F46"/>
    <w:rsid w:val="00F17D58"/>
    <w:rsid w:val="00F228F5"/>
    <w:rsid w:val="00F23FD4"/>
    <w:rsid w:val="00F24143"/>
    <w:rsid w:val="00F241BE"/>
    <w:rsid w:val="00F24962"/>
    <w:rsid w:val="00F25038"/>
    <w:rsid w:val="00F2735C"/>
    <w:rsid w:val="00F3124A"/>
    <w:rsid w:val="00F31D41"/>
    <w:rsid w:val="00F34539"/>
    <w:rsid w:val="00F35005"/>
    <w:rsid w:val="00F359FB"/>
    <w:rsid w:val="00F364CB"/>
    <w:rsid w:val="00F36E13"/>
    <w:rsid w:val="00F37601"/>
    <w:rsid w:val="00F4058E"/>
    <w:rsid w:val="00F4220F"/>
    <w:rsid w:val="00F423B8"/>
    <w:rsid w:val="00F43D4F"/>
    <w:rsid w:val="00F43F58"/>
    <w:rsid w:val="00F45507"/>
    <w:rsid w:val="00F46014"/>
    <w:rsid w:val="00F47670"/>
    <w:rsid w:val="00F51371"/>
    <w:rsid w:val="00F51AF6"/>
    <w:rsid w:val="00F551E9"/>
    <w:rsid w:val="00F55A95"/>
    <w:rsid w:val="00F56113"/>
    <w:rsid w:val="00F5640F"/>
    <w:rsid w:val="00F56735"/>
    <w:rsid w:val="00F56B3A"/>
    <w:rsid w:val="00F60F94"/>
    <w:rsid w:val="00F615F9"/>
    <w:rsid w:val="00F62055"/>
    <w:rsid w:val="00F620BE"/>
    <w:rsid w:val="00F64DC5"/>
    <w:rsid w:val="00F73938"/>
    <w:rsid w:val="00F73E87"/>
    <w:rsid w:val="00F74224"/>
    <w:rsid w:val="00F747A9"/>
    <w:rsid w:val="00F76696"/>
    <w:rsid w:val="00F77295"/>
    <w:rsid w:val="00F77A84"/>
    <w:rsid w:val="00F80438"/>
    <w:rsid w:val="00F87905"/>
    <w:rsid w:val="00F91A0D"/>
    <w:rsid w:val="00F9229E"/>
    <w:rsid w:val="00F92724"/>
    <w:rsid w:val="00F92A12"/>
    <w:rsid w:val="00F93705"/>
    <w:rsid w:val="00F942E2"/>
    <w:rsid w:val="00F9523B"/>
    <w:rsid w:val="00F9546E"/>
    <w:rsid w:val="00F9560B"/>
    <w:rsid w:val="00F95755"/>
    <w:rsid w:val="00F96E67"/>
    <w:rsid w:val="00F96E92"/>
    <w:rsid w:val="00FA0700"/>
    <w:rsid w:val="00FA13CB"/>
    <w:rsid w:val="00FA13E0"/>
    <w:rsid w:val="00FA2BE9"/>
    <w:rsid w:val="00FA31AE"/>
    <w:rsid w:val="00FA4FCD"/>
    <w:rsid w:val="00FB1DA4"/>
    <w:rsid w:val="00FB2973"/>
    <w:rsid w:val="00FB3604"/>
    <w:rsid w:val="00FB42CF"/>
    <w:rsid w:val="00FB511E"/>
    <w:rsid w:val="00FB7B5E"/>
    <w:rsid w:val="00FC07DD"/>
    <w:rsid w:val="00FC2B86"/>
    <w:rsid w:val="00FC48B5"/>
    <w:rsid w:val="00FC4CA2"/>
    <w:rsid w:val="00FC6FF3"/>
    <w:rsid w:val="00FC7629"/>
    <w:rsid w:val="00FC7B2A"/>
    <w:rsid w:val="00FD3D67"/>
    <w:rsid w:val="00FD536A"/>
    <w:rsid w:val="00FD74FF"/>
    <w:rsid w:val="00FE3CEC"/>
    <w:rsid w:val="00FE4145"/>
    <w:rsid w:val="00FE5F2D"/>
    <w:rsid w:val="00FE607C"/>
    <w:rsid w:val="00FE6A1F"/>
    <w:rsid w:val="00FE743E"/>
    <w:rsid w:val="00FF04FB"/>
    <w:rsid w:val="00FF0810"/>
    <w:rsid w:val="00FF11E6"/>
    <w:rsid w:val="00FF32F3"/>
    <w:rsid w:val="00FF46C3"/>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6145">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FootnoteTextChar">
    <w:name w:val="Footnote Text Char"/>
    <w:link w:val="FootnoteText"/>
    <w:semiHidden/>
    <w:locked/>
    <w:rsid w:val="00006923"/>
    <w:rPr>
      <w:rFonts w:ascii="Franklin Gothic Book" w:hAnsi="Franklin Gothic Book"/>
      <w:sz w:val="14"/>
      <w:szCs w:val="14"/>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styleId="TOCHeading">
    <w:name w:val="TOC Heading"/>
    <w:basedOn w:val="Heading1"/>
    <w:next w:val="Normal"/>
    <w:uiPriority w:val="39"/>
    <w:unhideWhenUsed/>
    <w:qFormat/>
    <w:rsid w:val="00764AC1"/>
    <w:pPr>
      <w:keepLines/>
      <w:numPr>
        <w:numId w:val="0"/>
      </w:numPr>
      <w:spacing w:before="240" w:after="0" w:line="259" w:lineRule="auto"/>
      <w:outlineLvl w:val="9"/>
    </w:pPr>
    <w:rPr>
      <w:rFonts w:ascii="Calibri Light" w:hAnsi="Calibri Light"/>
      <w:color w:val="2E74B5"/>
      <w:kern w:val="0"/>
      <w:sz w:val="32"/>
      <w:szCs w:val="32"/>
      <w:lang w:val="en-US" w:eastAsia="en-US"/>
    </w:rPr>
  </w:style>
  <w:style w:type="paragraph" w:customStyle="1" w:styleId="H1A">
    <w:name w:val="H1A"/>
    <w:basedOn w:val="Subtitle"/>
    <w:qFormat/>
    <w:rsid w:val="002F57CD"/>
    <w:rPr>
      <w:sz w:val="46"/>
      <w:szCs w:val="46"/>
    </w:rPr>
  </w:style>
  <w:style w:type="paragraph" w:customStyle="1" w:styleId="H2A">
    <w:name w:val="H2A"/>
    <w:basedOn w:val="Heading1"/>
    <w:qFormat/>
    <w:rsid w:val="00FF46C3"/>
    <w:pPr>
      <w:keepLines/>
      <w:numPr>
        <w:numId w:val="0"/>
      </w:numPr>
      <w:spacing w:before="0" w:after="120"/>
    </w:pPr>
  </w:style>
  <w:style w:type="paragraph" w:customStyle="1" w:styleId="H3A">
    <w:name w:val="H3A"/>
    <w:basedOn w:val="Heading2"/>
    <w:qFormat/>
    <w:rsid w:val="00D9052A"/>
    <w:pPr>
      <w:keepLines/>
      <w:spacing w:before="0" w:after="120"/>
      <w:ind w:left="0"/>
    </w:pPr>
    <w:rPr>
      <w:rFonts w:ascii="Calibri" w:hAnsi="Calibri"/>
      <w:b/>
    </w:rPr>
  </w:style>
  <w:style w:type="paragraph" w:customStyle="1" w:styleId="H4A">
    <w:name w:val="H4A"/>
    <w:basedOn w:val="Normal"/>
    <w:qFormat/>
    <w:rsid w:val="00D9052A"/>
    <w:pPr>
      <w:spacing w:after="120"/>
    </w:pPr>
    <w:rPr>
      <w:rFonts w:ascii="Calibri" w:hAnsi="Calibri"/>
      <w:b/>
      <w:i/>
      <w:szCs w:val="20"/>
    </w:rPr>
  </w:style>
  <w:style w:type="paragraph" w:styleId="ListParagraph">
    <w:name w:val="List Paragraph"/>
    <w:basedOn w:val="Normal"/>
    <w:uiPriority w:val="34"/>
    <w:qFormat/>
    <w:rsid w:val="0072752A"/>
    <w:pPr>
      <w:ind w:left="720"/>
      <w:contextualSpacing/>
    </w:pPr>
  </w:style>
  <w:style w:type="paragraph" w:customStyle="1" w:styleId="Caption1">
    <w:name w:val="Caption1"/>
    <w:basedOn w:val="Normal"/>
    <w:qFormat/>
    <w:rsid w:val="0072752A"/>
    <w:pPr>
      <w:keepNext/>
      <w:spacing w:after="120"/>
    </w:pPr>
    <w:rPr>
      <w:b/>
    </w:rPr>
  </w:style>
  <w:style w:type="paragraph" w:customStyle="1" w:styleId="Caption2">
    <w:name w:val="Caption2"/>
    <w:basedOn w:val="Normal"/>
    <w:qFormat/>
    <w:rsid w:val="0072752A"/>
    <w:rPr>
      <w:rFonts w:ascii="Calibri" w:hAnsi="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FootnoteTextChar">
    <w:name w:val="Footnote Text Char"/>
    <w:link w:val="FootnoteText"/>
    <w:semiHidden/>
    <w:locked/>
    <w:rsid w:val="00006923"/>
    <w:rPr>
      <w:rFonts w:ascii="Franklin Gothic Book" w:hAnsi="Franklin Gothic Book"/>
      <w:sz w:val="14"/>
      <w:szCs w:val="14"/>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styleId="TOCHeading">
    <w:name w:val="TOC Heading"/>
    <w:basedOn w:val="Heading1"/>
    <w:next w:val="Normal"/>
    <w:uiPriority w:val="39"/>
    <w:unhideWhenUsed/>
    <w:qFormat/>
    <w:rsid w:val="00764AC1"/>
    <w:pPr>
      <w:keepLines/>
      <w:numPr>
        <w:numId w:val="0"/>
      </w:numPr>
      <w:spacing w:before="240" w:after="0" w:line="259" w:lineRule="auto"/>
      <w:outlineLvl w:val="9"/>
    </w:pPr>
    <w:rPr>
      <w:rFonts w:ascii="Calibri Light" w:hAnsi="Calibri Light"/>
      <w:color w:val="2E74B5"/>
      <w:kern w:val="0"/>
      <w:sz w:val="32"/>
      <w:szCs w:val="32"/>
      <w:lang w:val="en-US" w:eastAsia="en-US"/>
    </w:rPr>
  </w:style>
  <w:style w:type="paragraph" w:customStyle="1" w:styleId="H1A">
    <w:name w:val="H1A"/>
    <w:basedOn w:val="Subtitle"/>
    <w:qFormat/>
    <w:rsid w:val="002F57CD"/>
    <w:rPr>
      <w:sz w:val="46"/>
      <w:szCs w:val="46"/>
    </w:rPr>
  </w:style>
  <w:style w:type="paragraph" w:customStyle="1" w:styleId="H2A">
    <w:name w:val="H2A"/>
    <w:basedOn w:val="Heading1"/>
    <w:qFormat/>
    <w:rsid w:val="00FF46C3"/>
    <w:pPr>
      <w:keepLines/>
      <w:numPr>
        <w:numId w:val="0"/>
      </w:numPr>
      <w:spacing w:before="0" w:after="120"/>
    </w:pPr>
  </w:style>
  <w:style w:type="paragraph" w:customStyle="1" w:styleId="H3A">
    <w:name w:val="H3A"/>
    <w:basedOn w:val="Heading2"/>
    <w:qFormat/>
    <w:rsid w:val="00D9052A"/>
    <w:pPr>
      <w:keepLines/>
      <w:spacing w:before="0" w:after="120"/>
      <w:ind w:left="0"/>
    </w:pPr>
    <w:rPr>
      <w:rFonts w:ascii="Calibri" w:hAnsi="Calibri"/>
      <w:b/>
    </w:rPr>
  </w:style>
  <w:style w:type="paragraph" w:customStyle="1" w:styleId="H4A">
    <w:name w:val="H4A"/>
    <w:basedOn w:val="Normal"/>
    <w:qFormat/>
    <w:rsid w:val="00D9052A"/>
    <w:pPr>
      <w:spacing w:after="120"/>
    </w:pPr>
    <w:rPr>
      <w:rFonts w:ascii="Calibri" w:hAnsi="Calibri"/>
      <w:b/>
      <w:i/>
      <w:szCs w:val="20"/>
    </w:rPr>
  </w:style>
  <w:style w:type="paragraph" w:styleId="ListParagraph">
    <w:name w:val="List Paragraph"/>
    <w:basedOn w:val="Normal"/>
    <w:uiPriority w:val="34"/>
    <w:qFormat/>
    <w:rsid w:val="0072752A"/>
    <w:pPr>
      <w:ind w:left="720"/>
      <w:contextualSpacing/>
    </w:pPr>
  </w:style>
  <w:style w:type="paragraph" w:customStyle="1" w:styleId="Caption1">
    <w:name w:val="Caption1"/>
    <w:basedOn w:val="Normal"/>
    <w:qFormat/>
    <w:rsid w:val="0072752A"/>
    <w:pPr>
      <w:keepNext/>
      <w:spacing w:after="120"/>
    </w:pPr>
    <w:rPr>
      <w:b/>
    </w:rPr>
  </w:style>
  <w:style w:type="paragraph" w:customStyle="1" w:styleId="Caption2">
    <w:name w:val="Caption2"/>
    <w:basedOn w:val="Normal"/>
    <w:qFormat/>
    <w:rsid w:val="0072752A"/>
    <w:rPr>
      <w:rFonts w:ascii="Calibri" w:hAnsi="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slt\Local%20Settings\Temporary%20Internet%20Files\OLK6C\101109%20T-AnnualProgramPerformanceTemplate-123%20Advisor%20Amendment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6D0440-DCB4-4F9D-8324-093F2BB62345}"/>
</file>

<file path=customXml/itemProps2.xml><?xml version="1.0" encoding="utf-8"?>
<ds:datastoreItem xmlns:ds="http://schemas.openxmlformats.org/officeDocument/2006/customXml" ds:itemID="{88ABEC1A-67D0-425B-A19B-790409568DAC}"/>
</file>

<file path=customXml/itemProps3.xml><?xml version="1.0" encoding="utf-8"?>
<ds:datastoreItem xmlns:ds="http://schemas.openxmlformats.org/officeDocument/2006/customXml" ds:itemID="{33F51581-FDD8-40F0-9688-056E52EEC7AD}"/>
</file>

<file path=customXml/itemProps4.xml><?xml version="1.0" encoding="utf-8"?>
<ds:datastoreItem xmlns:ds="http://schemas.openxmlformats.org/officeDocument/2006/customXml" ds:itemID="{BF9EC9B4-B306-4593-816F-81A5CC48D794}"/>
</file>

<file path=customXml/itemProps5.xml><?xml version="1.0" encoding="utf-8"?>
<ds:datastoreItem xmlns:ds="http://schemas.openxmlformats.org/officeDocument/2006/customXml" ds:itemID="{756F6424-4438-491C-800E-30FD2F2B23C3}"/>
</file>

<file path=docProps/app.xml><?xml version="1.0" encoding="utf-8"?>
<Properties xmlns="http://schemas.openxmlformats.org/officeDocument/2006/extended-properties" xmlns:vt="http://schemas.openxmlformats.org/officeDocument/2006/docPropsVTypes">
  <Template>101109 T-AnnualProgramPerformanceTemplate-123 Advisor Amendments (2)</Template>
  <TotalTime>10</TotalTime>
  <Pages>14</Pages>
  <Words>6426</Words>
  <Characters>37066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APPR 2009</vt:lpstr>
    </vt:vector>
  </TitlesOfParts>
  <Manager>AusAID ADG OPS</Manager>
  <Company>ByWord Services</Company>
  <LinksUpToDate>false</LinksUpToDate>
  <CharactersWithSpaces>43406</CharactersWithSpaces>
  <SharedDoc>false</SharedDoc>
  <HLinks>
    <vt:vector size="36" baseType="variant">
      <vt:variant>
        <vt:i4>1638456</vt:i4>
      </vt:variant>
      <vt:variant>
        <vt:i4>32</vt:i4>
      </vt:variant>
      <vt:variant>
        <vt:i4>0</vt:i4>
      </vt:variant>
      <vt:variant>
        <vt:i4>5</vt:i4>
      </vt:variant>
      <vt:variant>
        <vt:lpwstr/>
      </vt:variant>
      <vt:variant>
        <vt:lpwstr>_Toc360699278</vt:lpwstr>
      </vt:variant>
      <vt:variant>
        <vt:i4>1638456</vt:i4>
      </vt:variant>
      <vt:variant>
        <vt:i4>26</vt:i4>
      </vt:variant>
      <vt:variant>
        <vt:i4>0</vt:i4>
      </vt:variant>
      <vt:variant>
        <vt:i4>5</vt:i4>
      </vt:variant>
      <vt:variant>
        <vt:lpwstr/>
      </vt:variant>
      <vt:variant>
        <vt:lpwstr>_Toc360699277</vt:lpwstr>
      </vt:variant>
      <vt:variant>
        <vt:i4>1638456</vt:i4>
      </vt:variant>
      <vt:variant>
        <vt:i4>20</vt:i4>
      </vt:variant>
      <vt:variant>
        <vt:i4>0</vt:i4>
      </vt:variant>
      <vt:variant>
        <vt:i4>5</vt:i4>
      </vt:variant>
      <vt:variant>
        <vt:lpwstr/>
      </vt:variant>
      <vt:variant>
        <vt:lpwstr>_Toc360699276</vt:lpwstr>
      </vt:variant>
      <vt:variant>
        <vt:i4>1638456</vt:i4>
      </vt:variant>
      <vt:variant>
        <vt:i4>14</vt:i4>
      </vt:variant>
      <vt:variant>
        <vt:i4>0</vt:i4>
      </vt:variant>
      <vt:variant>
        <vt:i4>5</vt:i4>
      </vt:variant>
      <vt:variant>
        <vt:lpwstr/>
      </vt:variant>
      <vt:variant>
        <vt:lpwstr>_Toc360699275</vt:lpwstr>
      </vt:variant>
      <vt:variant>
        <vt:i4>1638456</vt:i4>
      </vt:variant>
      <vt:variant>
        <vt:i4>8</vt:i4>
      </vt:variant>
      <vt:variant>
        <vt:i4>0</vt:i4>
      </vt:variant>
      <vt:variant>
        <vt:i4>5</vt:i4>
      </vt:variant>
      <vt:variant>
        <vt:lpwstr/>
      </vt:variant>
      <vt:variant>
        <vt:lpwstr>_Toc360699274</vt:lpwstr>
      </vt:variant>
      <vt:variant>
        <vt:i4>1638456</vt:i4>
      </vt:variant>
      <vt:variant>
        <vt:i4>2</vt:i4>
      </vt:variant>
      <vt:variant>
        <vt:i4>0</vt:i4>
      </vt:variant>
      <vt:variant>
        <vt:i4>5</vt:i4>
      </vt:variant>
      <vt:variant>
        <vt:lpwstr/>
      </vt:variant>
      <vt:variant>
        <vt:lpwstr>_Toc360699273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subject/>
  <dc:creator>Tamara Khosla</dc:creator>
  <cp:keywords>APPR</cp:keywords>
  <dc:description>Current to January 2011</dc:description>
  <cp:lastModifiedBy>Nashwa Adel</cp:lastModifiedBy>
  <cp:revision>5</cp:revision>
  <cp:lastPrinted>2011-03-03T14:01:00Z</cp:lastPrinted>
  <dcterms:created xsi:type="dcterms:W3CDTF">2013-07-04T10:32:00Z</dcterms:created>
  <dcterms:modified xsi:type="dcterms:W3CDTF">2013-07-04T17:02:00Z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Managing Programs</vt:lpwstr>
  </property>
  <property fmtid="{D5CDD505-2E9C-101B-9397-08002B2CF9AE}" pid="3" name="Keyword">
    <vt:lpwstr/>
  </property>
  <property fmtid="{D5CDD505-2E9C-101B-9397-08002B2CF9AE}" pid="4" name="Owner">
    <vt:lpwstr/>
  </property>
  <property fmtid="{D5CDD505-2E9C-101B-9397-08002B2CF9AE}" pid="5" name="Doc Number">
    <vt:lpwstr/>
  </property>
  <property fmtid="{D5CDD505-2E9C-101B-9397-08002B2CF9AE}" pid="6" name="ContentType">
    <vt:lpwstr>Document</vt:lpwstr>
  </property>
  <property fmtid="{D5CDD505-2E9C-101B-9397-08002B2CF9AE}" pid="7" name="display_urn:schemas-microsoft-com:office:office#Editor">
    <vt:lpwstr>System Account</vt:lpwstr>
  </property>
  <property fmtid="{D5CDD505-2E9C-101B-9397-08002B2CF9AE}" pid="8" name="xd_Signature">
    <vt:lpwstr/>
  </property>
  <property fmtid="{D5CDD505-2E9C-101B-9397-08002B2CF9AE}" pid="9" name="Order">
    <vt:r8>112200</vt:r8>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System Account</vt:lpwstr>
  </property>
  <property fmtid="{D5CDD505-2E9C-101B-9397-08002B2CF9AE}" pid="13" name="_SourceUrl">
    <vt:lpwstr/>
  </property>
  <property fmtid="{D5CDD505-2E9C-101B-9397-08002B2CF9AE}" pid="14" name="_SharedFileIndex">
    <vt:lpwstr/>
  </property>
  <property fmtid="{D5CDD505-2E9C-101B-9397-08002B2CF9AE}" pid="15" name="ContentTypeId">
    <vt:lpwstr>0x01010050F19AC2165D2E47A5E6B7F563E4CF00</vt:lpwstr>
  </property>
  <property fmtid="{D5CDD505-2E9C-101B-9397-08002B2CF9AE}" pid="16" name="PublishingContact">
    <vt:lpwstr/>
  </property>
  <property fmtid="{D5CDD505-2E9C-101B-9397-08002B2CF9AE}" pid="17" name="WCMSPublicationSubCategory">
    <vt:lpwstr/>
  </property>
  <property fmtid="{D5CDD505-2E9C-101B-9397-08002B2CF9AE}" pid="18" name="WCMSIPSSubCategory">
    <vt:lpwstr/>
  </property>
  <property fmtid="{D5CDD505-2E9C-101B-9397-08002B2CF9AE}" pid="19" name="PublishingRollupImage">
    <vt:lpwstr/>
  </property>
  <property fmtid="{D5CDD505-2E9C-101B-9397-08002B2CF9AE}" pid="20" name="AusAIDAggregationLevel">
    <vt:lpwstr/>
  </property>
  <property fmtid="{D5CDD505-2E9C-101B-9397-08002B2CF9AE}" pid="21" name="WCMSStatus">
    <vt:lpwstr/>
  </property>
  <property fmtid="{D5CDD505-2E9C-101B-9397-08002B2CF9AE}" pid="22" name="PublishingContactEmail">
    <vt:lpwstr/>
  </property>
  <property fmtid="{D5CDD505-2E9C-101B-9397-08002B2CF9AE}" pid="23" name="WCMSPrintedMedia">
    <vt:bool>false</vt:bool>
  </property>
  <property fmtid="{D5CDD505-2E9C-101B-9397-08002B2CF9AE}" pid="24" name="WCMSIPSCategory">
    <vt:lpwstr/>
  </property>
  <property fmtid="{D5CDD505-2E9C-101B-9397-08002B2CF9AE}" pid="25" name="RSS Feed Link">
    <vt:lpwstr/>
  </property>
  <property fmtid="{D5CDD505-2E9C-101B-9397-08002B2CF9AE}" pid="26" name="WCMSDocumentLink">
    <vt:lpwstr/>
  </property>
  <property fmtid="{D5CDD505-2E9C-101B-9397-08002B2CF9AE}" pid="27" name="WCMSReportDisclaimer">
    <vt:bool>false</vt:bool>
  </property>
  <property fmtid="{D5CDD505-2E9C-101B-9397-08002B2CF9AE}" pid="28" name="PublishingVariationRelationshipLinkFieldID">
    <vt:lpwstr/>
  </property>
  <property fmtid="{D5CDD505-2E9C-101B-9397-08002B2CF9AE}" pid="29" name="WCMSPublicationCategory">
    <vt:lpwstr/>
  </property>
  <property fmtid="{D5CDD505-2E9C-101B-9397-08002B2CF9AE}" pid="30" name="WCMSElectronicMedia">
    <vt:bool>false</vt:bool>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Audience">
    <vt:lpwstr/>
  </property>
  <property fmtid="{D5CDD505-2E9C-101B-9397-08002B2CF9AE}" pid="39" name="WCMSDescription">
    <vt:lpwstr/>
  </property>
  <property fmtid="{D5CDD505-2E9C-101B-9397-08002B2CF9AE}" pid="41" name="WCMSOtherCategory">
    <vt:lpwstr/>
  </property>
  <property fmtid="{D5CDD505-2E9C-101B-9397-08002B2CF9AE}" pid="42" name="AusAIDPageDescriptionMetadata">
    <vt:lpwstr/>
  </property>
  <property fmtid="{D5CDD505-2E9C-101B-9397-08002B2CF9AE}" pid="43" name="WCMSTheme">
    <vt:lpwstr/>
  </property>
  <property fmtid="{D5CDD505-2E9C-101B-9397-08002B2CF9AE}" pid="44" name="WCMSISBNISSN">
    <vt:lpwstr/>
  </property>
  <property fmtid="{D5CDD505-2E9C-101B-9397-08002B2CF9AE}" pid="45" name="PublishingContactPicture">
    <vt:lpwstr/>
  </property>
  <property fmtid="{D5CDD505-2E9C-101B-9397-08002B2CF9AE}" pid="46" name="PublishingVariationGroupID">
    <vt:lpwstr/>
  </property>
  <property fmtid="{D5CDD505-2E9C-101B-9397-08002B2CF9AE}" pid="47" name="AusAIDIdentifierMetadata">
    <vt:lpwstr/>
  </property>
  <property fmtid="{D5CDD505-2E9C-101B-9397-08002B2CF9AE}" pid="48" name="PublishingContactName">
    <vt:lpwstr/>
  </property>
  <property fmtid="{D5CDD505-2E9C-101B-9397-08002B2CF9AE}" pid="49" name="WCMSRegion">
    <vt:lpwstr/>
  </property>
  <property fmtid="{D5CDD505-2E9C-101B-9397-08002B2CF9AE}" pid="50" name="WCMSPublicationAuthor">
    <vt:lpwstr/>
  </property>
  <property fmtid="{D5CDD505-2E9C-101B-9397-08002B2CF9AE}" pid="51" name="Comments">
    <vt:lpwstr/>
  </property>
  <property fmtid="{D5CDD505-2E9C-101B-9397-08002B2CF9AE}" pid="52" name="PublishingPageLayout">
    <vt:lpwstr/>
  </property>
  <property fmtid="{D5CDD505-2E9C-101B-9397-08002B2CF9AE}" pid="53" name="WCMSCountry">
    <vt:lpwstr/>
  </property>
  <property fmtid="{D5CDD505-2E9C-101B-9397-08002B2CF9AE}" pid="54" name="display_urn">
    <vt:lpwstr>System Account</vt:lpwstr>
  </property>
</Properties>
</file>