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8E" w:rsidRPr="002A018E" w:rsidRDefault="00923790" w:rsidP="002A018E">
      <w:pPr>
        <w:pStyle w:val="H1A"/>
      </w:pPr>
      <w:r w:rsidRPr="009201BE"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3024505"/>
            <wp:effectExtent l="0" t="0" r="2540" b="4445"/>
            <wp:wrapNone/>
            <wp:docPr id="4" name="Picture 2" descr="Australian Goverment AusAi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AID_facsheet_A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AF7">
        <w:t xml:space="preserve">Annual program performance report 2009: </w:t>
      </w:r>
      <w:r w:rsidR="00BC2AF7" w:rsidRPr="002A018E">
        <w:t>Timor</w:t>
      </w:r>
    </w:p>
    <w:sdt>
      <w:sdtPr>
        <w:id w:val="206308539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noProof/>
          <w:color w:val="auto"/>
          <w:sz w:val="20"/>
          <w:szCs w:val="24"/>
          <w:lang w:val="en-AU" w:eastAsia="en-AU"/>
        </w:rPr>
      </w:sdtEndPr>
      <w:sdtContent>
        <w:bookmarkStart w:id="0" w:name="_GoBack" w:displacedByCustomXml="prev"/>
        <w:bookmarkEnd w:id="0" w:displacedByCustomXml="prev"/>
        <w:p w:rsidR="00B053A0" w:rsidRDefault="00B053A0">
          <w:pPr>
            <w:pStyle w:val="TOCHeading"/>
          </w:pPr>
          <w:r>
            <w:t>Contents</w:t>
          </w:r>
        </w:p>
        <w:p w:rsidR="00B053A0" w:rsidRDefault="00B053A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0709783" w:history="1">
            <w:r w:rsidRPr="008571B0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_Toc360709783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3A0" w:rsidRDefault="00B053A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360709784" w:history="1">
            <w:r w:rsidRPr="008571B0">
              <w:rPr>
                <w:rStyle w:val="Hyperlink"/>
                <w:noProof/>
              </w:rPr>
              <w:t>Timor-Leste context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_Toc360709784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3A0" w:rsidRDefault="00B053A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360709785" w:history="1">
            <w:r w:rsidRPr="008571B0">
              <w:rPr>
                <w:rStyle w:val="Hyperlink"/>
                <w:noProof/>
              </w:rPr>
              <w:t>Results of the Timor-Leste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_Toc360709785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3A0" w:rsidRDefault="00B053A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360709786" w:history="1">
            <w:r w:rsidRPr="008571B0">
              <w:rPr>
                <w:rStyle w:val="Hyperlink"/>
                <w:noProof/>
              </w:rPr>
              <w:t>Sector: Health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_Toc360709786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3A0" w:rsidRDefault="00B053A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360709787" w:history="1">
            <w:r w:rsidRPr="008571B0">
              <w:rPr>
                <w:rStyle w:val="Hyperlink"/>
                <w:noProof/>
              </w:rPr>
              <w:t>Sector: Education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_Toc360709787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3A0" w:rsidRDefault="00B053A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360709788" w:history="1">
            <w:r w:rsidRPr="008571B0">
              <w:rPr>
                <w:rStyle w:val="Hyperlink"/>
                <w:noProof/>
              </w:rPr>
              <w:t>Sector: Rural water supply and sanitation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_Toc360709788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3A0" w:rsidRDefault="00B053A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360709789" w:history="1">
            <w:r w:rsidRPr="008571B0">
              <w:rPr>
                <w:rStyle w:val="Hyperlink"/>
                <w:noProof/>
              </w:rPr>
              <w:t>Sector: Infrastructure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_Toc360709789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3A0" w:rsidRDefault="00B053A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360709790" w:history="1">
            <w:r w:rsidRPr="008571B0">
              <w:rPr>
                <w:rStyle w:val="Hyperlink"/>
                <w:noProof/>
              </w:rPr>
              <w:t>Sector: Food security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_Toc360709790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3A0" w:rsidRDefault="00B053A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360709791" w:history="1">
            <w:r w:rsidRPr="008571B0">
              <w:rPr>
                <w:rStyle w:val="Hyperlink"/>
                <w:noProof/>
              </w:rPr>
              <w:t>Sector: Public sector governance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_Toc360709791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3A0" w:rsidRDefault="00B053A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360709792" w:history="1">
            <w:r w:rsidRPr="008571B0">
              <w:rPr>
                <w:rStyle w:val="Hyperlink"/>
                <w:noProof/>
              </w:rPr>
              <w:t>Sector: Public financial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_Toc360709792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3A0" w:rsidRDefault="00B053A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360709793" w:history="1">
            <w:r w:rsidRPr="008571B0">
              <w:rPr>
                <w:rStyle w:val="Hyperlink"/>
                <w:noProof/>
              </w:rPr>
              <w:t>Sector: Political governance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_Toc360709793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3A0" w:rsidRDefault="00B053A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360709794" w:history="1">
            <w:r w:rsidRPr="008571B0">
              <w:rPr>
                <w:rStyle w:val="Hyperlink"/>
                <w:noProof/>
              </w:rPr>
              <w:t>Sector: Community safety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_Toc360709794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3A0" w:rsidRDefault="00B053A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360709795" w:history="1">
            <w:r w:rsidRPr="008571B0">
              <w:rPr>
                <w:rStyle w:val="Hyperlink"/>
                <w:noProof/>
              </w:rPr>
              <w:t>Sector: Policing capacity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_Toc360709795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3A0" w:rsidRDefault="00B053A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 w:eastAsia="en-US"/>
            </w:rPr>
          </w:pPr>
          <w:hyperlink w:anchor="_Toc360709796" w:history="1">
            <w:r w:rsidRPr="008571B0">
              <w:rPr>
                <w:rStyle w:val="Hyperlink"/>
                <w:noProof/>
              </w:rPr>
              <w:t>Agreed actions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_Toc360709796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3A0" w:rsidRDefault="00B053A0">
          <w:r>
            <w:rPr>
              <w:b/>
              <w:bCs/>
              <w:noProof/>
            </w:rPr>
            <w:fldChar w:fldCharType="end"/>
          </w:r>
        </w:p>
      </w:sdtContent>
    </w:sdt>
    <w:p w:rsidR="00923790" w:rsidRDefault="00923790" w:rsidP="00923790">
      <w:pPr>
        <w:pStyle w:val="Subtitle"/>
      </w:pPr>
      <w:r>
        <w:rPr>
          <w:noProof/>
        </w:rPr>
        <w:br w:type="page"/>
      </w:r>
    </w:p>
    <w:p w:rsidR="0082365E" w:rsidRPr="002A018E" w:rsidRDefault="0082365E" w:rsidP="002A018E">
      <w:pPr>
        <w:pStyle w:val="H2A"/>
      </w:pPr>
      <w:bookmarkStart w:id="1" w:name="_Toc360704629"/>
      <w:bookmarkStart w:id="2" w:name="_Toc360709783"/>
      <w:r>
        <w:lastRenderedPageBreak/>
        <w:t>Introduction</w:t>
      </w:r>
      <w:bookmarkEnd w:id="1"/>
      <w:bookmarkEnd w:id="2"/>
    </w:p>
    <w:p w:rsidR="0082365E" w:rsidRDefault="0082365E" w:rsidP="00593060">
      <w:pPr>
        <w:pStyle w:val="BodyText"/>
      </w:pPr>
      <w:r w:rsidRPr="006A1943">
        <w:t xml:space="preserve">This </w:t>
      </w:r>
      <w:r>
        <w:t xml:space="preserve">report summarises the bilateral aid program’s progress in 2009 towards </w:t>
      </w:r>
      <w:r w:rsidRPr="006A1943">
        <w:t xml:space="preserve">the </w:t>
      </w:r>
      <w:r>
        <w:t>objectives of the Timor-Leste</w:t>
      </w:r>
      <w:r w:rsidRPr="006A1943">
        <w:t xml:space="preserve"> Country Strategy.</w:t>
      </w:r>
      <w:r>
        <w:t xml:space="preserve"> Reports on the program’s performance in previous years are available on the Australian Agency for International Development’s (</w:t>
      </w:r>
      <w:r w:rsidRPr="001546F2">
        <w:t>AusAID’s</w:t>
      </w:r>
      <w:r>
        <w:t>) website.</w:t>
      </w:r>
    </w:p>
    <w:p w:rsidR="00BC2AF7" w:rsidRPr="00DD4FCB" w:rsidRDefault="00BC2AF7" w:rsidP="00900AA5">
      <w:pPr>
        <w:pStyle w:val="H2A"/>
        <w:rPr>
          <w:highlight w:val="yellow"/>
        </w:rPr>
      </w:pPr>
      <w:bookmarkStart w:id="3" w:name="_Toc360704630"/>
      <w:bookmarkStart w:id="4" w:name="_Toc360709784"/>
      <w:r>
        <w:t>Timor-</w:t>
      </w:r>
      <w:r w:rsidRPr="003A3F2E">
        <w:t>Leste context</w:t>
      </w:r>
      <w:bookmarkEnd w:id="3"/>
      <w:bookmarkEnd w:id="4"/>
    </w:p>
    <w:p w:rsidR="00900AA5" w:rsidRPr="00891E29" w:rsidRDefault="00BC2AF7" w:rsidP="00900AA5">
      <w:pPr>
        <w:pStyle w:val="H3A"/>
      </w:pPr>
      <w:r>
        <w:t>Longer-term</w:t>
      </w:r>
      <w:r w:rsidRPr="00891E29">
        <w:t xml:space="preserve"> priorities</w:t>
      </w:r>
      <w:r>
        <w:t xml:space="preserve"> </w:t>
      </w:r>
      <w:r w:rsidRPr="00900AA5">
        <w:t>clarified</w:t>
      </w:r>
    </w:p>
    <w:p w:rsidR="00BC2AF7" w:rsidRDefault="00BC2AF7" w:rsidP="00593060">
      <w:pPr>
        <w:pStyle w:val="BodyText"/>
        <w:spacing w:line="280" w:lineRule="exact"/>
      </w:pPr>
      <w:r>
        <w:t xml:space="preserve">During the year, </w:t>
      </w:r>
      <w:smartTag w:uri="urn:schemas-microsoft-com:office:smarttags" w:element="country-region">
        <w:r>
          <w:t>Australia</w:t>
        </w:r>
      </w:smartTag>
      <w:r>
        <w:t xml:space="preserve"> and Timor-Leste conducted extensive consultations before formally agreeing</w:t>
      </w:r>
      <w:r w:rsidR="00DC6772">
        <w:t xml:space="preserve"> to</w:t>
      </w:r>
      <w:r>
        <w:t xml:space="preserve"> the </w:t>
      </w:r>
      <w:smartTag w:uri="urn:schemas-microsoft-com:office:smarttags" w:element="place">
        <w:smartTag w:uri="urn:schemas-microsoft-com:office:smarttags" w:element="country-region">
          <w:r w:rsidRPr="004C2A0B">
            <w:rPr>
              <w:i/>
            </w:rPr>
            <w:t>Australia</w:t>
          </w:r>
        </w:smartTag>
      </w:smartTag>
      <w:r>
        <w:rPr>
          <w:i/>
        </w:rPr>
        <w:t xml:space="preserve"> – Timor</w:t>
      </w:r>
      <w:r w:rsidRPr="004C2A0B">
        <w:rPr>
          <w:i/>
        </w:rPr>
        <w:t>-Leste Country Strategy 2009</w:t>
      </w:r>
      <w:r w:rsidR="00DC6772">
        <w:rPr>
          <w:i/>
        </w:rPr>
        <w:t>–</w:t>
      </w:r>
      <w:r w:rsidRPr="004C2A0B">
        <w:rPr>
          <w:i/>
        </w:rPr>
        <w:t>2014</w:t>
      </w:r>
      <w:r>
        <w:t xml:space="preserve"> in December. In line with the findings </w:t>
      </w:r>
      <w:r w:rsidR="00DD4FCB">
        <w:t xml:space="preserve">of </w:t>
      </w:r>
      <w:r w:rsidR="00E075BF">
        <w:t>AusAID’s</w:t>
      </w:r>
      <w:r w:rsidR="00C27842">
        <w:t xml:space="preserve"> </w:t>
      </w:r>
      <w:r>
        <w:t xml:space="preserve">2008 Annual Program Performance Report, Australian assistance will reduce in breadth </w:t>
      </w:r>
      <w:r w:rsidR="00DC6772">
        <w:t>to</w:t>
      </w:r>
      <w:r>
        <w:t xml:space="preserve"> focus on the </w:t>
      </w:r>
      <w:r w:rsidR="00DC6772">
        <w:t xml:space="preserve">sectors </w:t>
      </w:r>
      <w:r>
        <w:t>of most urgent need</w:t>
      </w:r>
      <w:r w:rsidRPr="00C575AD">
        <w:t xml:space="preserve">: </w:t>
      </w:r>
      <w:r>
        <w:t xml:space="preserve">health, </w:t>
      </w:r>
      <w:r w:rsidRPr="00C575AD">
        <w:t xml:space="preserve">education, employment, infrastructure, </w:t>
      </w:r>
      <w:r>
        <w:t>agricultural productivity, government</w:t>
      </w:r>
      <w:r w:rsidRPr="00C575AD">
        <w:t xml:space="preserve"> accountability and </w:t>
      </w:r>
      <w:r>
        <w:t xml:space="preserve">safety. This will allow </w:t>
      </w:r>
      <w:smartTag w:uri="urn:schemas-microsoft-com:office:smarttags" w:element="place">
        <w:smartTag w:uri="urn:schemas-microsoft-com:office:smarttags" w:element="country-region">
          <w:r>
            <w:t>Australia</w:t>
          </w:r>
        </w:smartTag>
      </w:smartTag>
      <w:r>
        <w:t xml:space="preserve"> to achieve better results and </w:t>
      </w:r>
      <w:r w:rsidR="00C27842">
        <w:t>be</w:t>
      </w:r>
      <w:r>
        <w:t xml:space="preserve"> more influential in policy engagement and donor coordination</w:t>
      </w:r>
      <w:r w:rsidR="00DC6772">
        <w:t xml:space="preserve">. </w:t>
      </w:r>
      <w:smartTag w:uri="urn:schemas-microsoft-com:office:smarttags" w:element="place">
        <w:smartTag w:uri="urn:schemas-microsoft-com:office:smarttags" w:element="country-region">
          <w:r>
            <w:t>Australia</w:t>
          </w:r>
        </w:smartTag>
      </w:smartTag>
      <w:r>
        <w:t xml:space="preserve"> </w:t>
      </w:r>
      <w:r w:rsidR="00C27842">
        <w:t>began</w:t>
      </w:r>
      <w:r>
        <w:t xml:space="preserve"> formulating detailed delivery strategies</w:t>
      </w:r>
      <w:r w:rsidR="00C27842">
        <w:t xml:space="preserve"> for all sectors</w:t>
      </w:r>
      <w:r>
        <w:t xml:space="preserve"> in 2009, beginning with health and infrastructure</w:t>
      </w:r>
      <w:r w:rsidR="00DC6772">
        <w:t xml:space="preserve">. </w:t>
      </w:r>
    </w:p>
    <w:p w:rsidR="00BC2AF7" w:rsidRPr="002C5320" w:rsidRDefault="00BC2AF7" w:rsidP="00900AA5">
      <w:pPr>
        <w:pStyle w:val="H3A"/>
      </w:pPr>
      <w:r>
        <w:t>G</w:t>
      </w:r>
      <w:r w:rsidRPr="002C5320">
        <w:t xml:space="preserve">lobal financial crisis </w:t>
      </w:r>
      <w:r>
        <w:t xml:space="preserve">weathered </w:t>
      </w:r>
      <w:r w:rsidRPr="002C5320">
        <w:t>and stability</w:t>
      </w:r>
      <w:r>
        <w:t xml:space="preserve"> maintained</w:t>
      </w:r>
    </w:p>
    <w:p w:rsidR="0082365E" w:rsidRDefault="0082365E" w:rsidP="00593060">
      <w:pPr>
        <w:pStyle w:val="BodyText"/>
        <w:spacing w:line="280" w:lineRule="exact"/>
      </w:pPr>
      <w:r>
        <w:t>From 2000 to 2007, poverty in Timor-Leste increased, reflecting the destruction of economic and social infrastructure in 1999, the recurring insecurity and political crises culminating in the events of 2006</w:t>
      </w:r>
      <w:r>
        <w:rPr>
          <w:sz w:val="18"/>
          <w:szCs w:val="18"/>
        </w:rPr>
        <w:t>–</w:t>
      </w:r>
      <w:r>
        <w:t xml:space="preserve">07, and the impacts of the global food crisis. </w:t>
      </w:r>
    </w:p>
    <w:p w:rsidR="00BC2AF7" w:rsidRDefault="005F024B" w:rsidP="00593060">
      <w:pPr>
        <w:pStyle w:val="BodyText"/>
        <w:spacing w:line="280" w:lineRule="exact"/>
      </w:pPr>
      <w:r>
        <w:t xml:space="preserve">Against this backdrop, 2009 was a good year for </w:t>
      </w:r>
      <w:r w:rsidR="00BC2AF7">
        <w:t xml:space="preserve">Timor-Leste in terms of economy and stability. Despite the global economic crisis, </w:t>
      </w:r>
      <w:r w:rsidR="00DC6772">
        <w:t>the country</w:t>
      </w:r>
      <w:r w:rsidR="00BC2AF7">
        <w:t xml:space="preserve"> experienced growth of </w:t>
      </w:r>
      <w:r w:rsidR="00DC6772">
        <w:t xml:space="preserve">more than </w:t>
      </w:r>
      <w:r w:rsidR="00BC2AF7">
        <w:t>10</w:t>
      </w:r>
      <w:r w:rsidR="00011CCB">
        <w:t>%</w:t>
      </w:r>
      <w:r w:rsidR="00BC2AF7">
        <w:t xml:space="preserve">. </w:t>
      </w:r>
      <w:r w:rsidR="00CD3B91">
        <w:t>While l</w:t>
      </w:r>
      <w:r w:rsidR="00BC2AF7">
        <w:t xml:space="preserve">ower </w:t>
      </w:r>
      <w:r w:rsidR="00BC2AF7" w:rsidRPr="00C575AD">
        <w:t>oil and gas prices reduced petroleum revenues</w:t>
      </w:r>
      <w:r w:rsidR="00CD3B91">
        <w:t xml:space="preserve">, </w:t>
      </w:r>
      <w:r w:rsidR="00BC2AF7">
        <w:t>the non-oil economy grew at 7.5</w:t>
      </w:r>
      <w:r w:rsidR="0003112E">
        <w:t>%</w:t>
      </w:r>
      <w:r w:rsidR="00BC2AF7">
        <w:t xml:space="preserve"> driven largely by a doubling of government spending from 2</w:t>
      </w:r>
      <w:r w:rsidR="00E075BF">
        <w:t>007</w:t>
      </w:r>
      <w:r w:rsidR="00BC2AF7">
        <w:t xml:space="preserve"> as well as by (modest) increases in private investment. 2009</w:t>
      </w:r>
      <w:r w:rsidR="00DD4FCB">
        <w:t> </w:t>
      </w:r>
      <w:r w:rsidR="00BC2AF7">
        <w:t xml:space="preserve">was designated the </w:t>
      </w:r>
      <w:r w:rsidR="00DD4FCB">
        <w:t>‘</w:t>
      </w:r>
      <w:r w:rsidR="00BC2AF7">
        <w:t>Year of Infrastructure</w:t>
      </w:r>
      <w:r w:rsidR="00DD4FCB">
        <w:t>’</w:t>
      </w:r>
      <w:r w:rsidR="00BC2AF7">
        <w:t xml:space="preserve"> </w:t>
      </w:r>
      <w:r w:rsidR="007D6E68">
        <w:t xml:space="preserve">in Timor-Leste </w:t>
      </w:r>
      <w:r w:rsidR="00BC2AF7">
        <w:t xml:space="preserve">with a boost in capital and development spending. </w:t>
      </w:r>
    </w:p>
    <w:p w:rsidR="00BC2AF7" w:rsidRDefault="00BC2AF7" w:rsidP="00593060">
      <w:pPr>
        <w:pStyle w:val="BodyText"/>
        <w:spacing w:line="280" w:lineRule="exact"/>
      </w:pPr>
      <w:r>
        <w:t>A number of new institutions were created</w:t>
      </w:r>
      <w:r w:rsidR="00DD4FCB">
        <w:t xml:space="preserve"> during the year</w:t>
      </w:r>
      <w:r>
        <w:t xml:space="preserve"> (such as the Civil Service Commission and </w:t>
      </w:r>
      <w:r w:rsidR="00DC6772">
        <w:t xml:space="preserve">the </w:t>
      </w:r>
      <w:r>
        <w:t>Anti</w:t>
      </w:r>
      <w:r w:rsidR="0003112E">
        <w:t>-</w:t>
      </w:r>
      <w:r>
        <w:t>Corruption Commission) and the civil service grew by 40</w:t>
      </w:r>
      <w:r w:rsidR="003F1A3C">
        <w:t>%</w:t>
      </w:r>
      <w:r w:rsidR="00E075BF">
        <w:t xml:space="preserve"> </w:t>
      </w:r>
      <w:r>
        <w:t>(making up 9</w:t>
      </w:r>
      <w:r w:rsidR="003F1A3C">
        <w:t>%</w:t>
      </w:r>
      <w:r w:rsidR="00E075BF">
        <w:t xml:space="preserve"> </w:t>
      </w:r>
      <w:r>
        <w:t>of the total labour force). The public service wage bill grew by 60</w:t>
      </w:r>
      <w:r w:rsidR="003F1A3C">
        <w:t>%</w:t>
      </w:r>
      <w:r>
        <w:t xml:space="preserve"> over the previous year.</w:t>
      </w:r>
    </w:p>
    <w:p w:rsidR="00BC2AF7" w:rsidRDefault="00BC2AF7" w:rsidP="00593060">
      <w:pPr>
        <w:pStyle w:val="BodyText"/>
        <w:spacing w:line="280" w:lineRule="exact"/>
      </w:pPr>
      <w:r>
        <w:t>The government continued to provide cash grants to veterans, old age pensioners and widows. These cash injections were credited not only with supporting consumption, but with helping to keep peace. A stronger police force led to authority for policing being handed back from the U</w:t>
      </w:r>
      <w:r w:rsidR="00DC6772">
        <w:t xml:space="preserve">nited </w:t>
      </w:r>
      <w:r>
        <w:t>N</w:t>
      </w:r>
      <w:r w:rsidR="00DC6772">
        <w:t>ations</w:t>
      </w:r>
      <w:r>
        <w:t xml:space="preserve"> Police in four of </w:t>
      </w:r>
      <w:r w:rsidR="00DC6772">
        <w:t xml:space="preserve">13 </w:t>
      </w:r>
      <w:r>
        <w:t xml:space="preserve">districts in 2009. </w:t>
      </w:r>
      <w:proofErr w:type="spellStart"/>
      <w:r>
        <w:t>Suco</w:t>
      </w:r>
      <w:proofErr w:type="spellEnd"/>
      <w:r w:rsidR="00DD4FCB">
        <w:t> </w:t>
      </w:r>
      <w:r>
        <w:t>elections were held peacefully across the country in October</w:t>
      </w:r>
      <w:r w:rsidR="00DC6772">
        <w:t xml:space="preserve">. </w:t>
      </w:r>
    </w:p>
    <w:p w:rsidR="00BC2AF7" w:rsidRDefault="00BC2AF7" w:rsidP="00593060">
      <w:pPr>
        <w:pStyle w:val="BodyText"/>
        <w:spacing w:line="280" w:lineRule="exact"/>
      </w:pPr>
      <w:r>
        <w:t xml:space="preserve">Scrutiny from the opposition and civil society increased, with legislation and government performance debated in </w:t>
      </w:r>
      <w:r w:rsidR="003408F5">
        <w:t>P</w:t>
      </w:r>
      <w:r>
        <w:t xml:space="preserve">arliament and the media. Throughout the year there was heavy media coverage of allegations of corruption on the part of government ministers and leaders, and though the government established a range of institutions </w:t>
      </w:r>
      <w:r w:rsidR="003C4026">
        <w:t>responsible for</w:t>
      </w:r>
      <w:r w:rsidR="00E075BF">
        <w:t xml:space="preserve"> addressing corruption, </w:t>
      </w:r>
      <w:r>
        <w:t>no</w:t>
      </w:r>
      <w:r w:rsidR="00560EE1">
        <w:t xml:space="preserve"> high profile</w:t>
      </w:r>
      <w:r>
        <w:t xml:space="preserve"> cases </w:t>
      </w:r>
      <w:r w:rsidR="003408F5">
        <w:t>were</w:t>
      </w:r>
      <w:r>
        <w:t xml:space="preserve"> brought to trial</w:t>
      </w:r>
      <w:r w:rsidR="00DC6772">
        <w:t xml:space="preserve">. </w:t>
      </w:r>
    </w:p>
    <w:p w:rsidR="00BC2AF7" w:rsidRDefault="003C4026" w:rsidP="00593060">
      <w:pPr>
        <w:pStyle w:val="ListBullet"/>
        <w:numPr>
          <w:ilvl w:val="0"/>
          <w:numId w:val="0"/>
        </w:numPr>
        <w:spacing w:line="280" w:lineRule="exact"/>
      </w:pPr>
      <w:r>
        <w:t>While t</w:t>
      </w:r>
      <w:r w:rsidR="00BC2AF7">
        <w:t>rends in poverty reduction are unclear</w:t>
      </w:r>
      <w:r w:rsidR="0082365E">
        <w:t xml:space="preserve"> due to unreliable data</w:t>
      </w:r>
      <w:r w:rsidR="00BC2AF7">
        <w:t xml:space="preserve">, it is likely </w:t>
      </w:r>
      <w:r>
        <w:t xml:space="preserve">that </w:t>
      </w:r>
      <w:r w:rsidR="00BC2AF7">
        <w:t xml:space="preserve">there is a growing disparity in wealth: a new urban middle class is forming, while those living in regions continue to be very poor. However, there is some evidence that the </w:t>
      </w:r>
      <w:r w:rsidR="00DD4FCB">
        <w:t xml:space="preserve">country’s </w:t>
      </w:r>
      <w:r w:rsidR="00BC2AF7">
        <w:t xml:space="preserve">sustained period of growth and stability is starting to have some </w:t>
      </w:r>
      <w:r>
        <w:t xml:space="preserve">positive </w:t>
      </w:r>
      <w:r w:rsidR="00BC2AF7">
        <w:t xml:space="preserve">impact on the lives of ordinary Timorese. In particular, some progress was reported in maternal </w:t>
      </w:r>
      <w:r w:rsidR="007E3073">
        <w:t xml:space="preserve">and </w:t>
      </w:r>
      <w:r w:rsidR="00BC2AF7">
        <w:t xml:space="preserve">child health, nutrition, </w:t>
      </w:r>
      <w:r w:rsidR="00BC2AF7">
        <w:lastRenderedPageBreak/>
        <w:t>education and water and sanitation, although rapid p</w:t>
      </w:r>
      <w:r w:rsidR="00BC2AF7" w:rsidRPr="002A5FE3">
        <w:t>opulation growth</w:t>
      </w:r>
      <w:r w:rsidR="00BC2AF7">
        <w:t xml:space="preserve"> puts</w:t>
      </w:r>
      <w:r w:rsidR="003F1A3C">
        <w:t xml:space="preserve"> continued</w:t>
      </w:r>
      <w:r w:rsidR="00BC2AF7">
        <w:t xml:space="preserve"> progress at risk. There are also signs that the private economy is picking up but it is too early to tell </w:t>
      </w:r>
      <w:r w:rsidR="003408F5">
        <w:t xml:space="preserve">if </w:t>
      </w:r>
      <w:r w:rsidR="00BC2AF7">
        <w:t xml:space="preserve">this </w:t>
      </w:r>
      <w:r w:rsidR="003408F5">
        <w:t>will</w:t>
      </w:r>
      <w:r w:rsidR="00BC2AF7">
        <w:t xml:space="preserve"> be sustained or if it represents a temporary response to the increase in government spending.</w:t>
      </w:r>
    </w:p>
    <w:p w:rsidR="00BC2AF7" w:rsidRDefault="00BC2AF7" w:rsidP="00593060">
      <w:pPr>
        <w:pStyle w:val="ListBullet"/>
        <w:numPr>
          <w:ilvl w:val="0"/>
          <w:numId w:val="0"/>
        </w:numPr>
        <w:spacing w:line="280" w:lineRule="exact"/>
      </w:pPr>
      <w:r>
        <w:t>Despite impressive growth figures, Timor-Leste is</w:t>
      </w:r>
      <w:r w:rsidR="003C4026">
        <w:t xml:space="preserve"> still</w:t>
      </w:r>
      <w:r>
        <w:t xml:space="preserve"> a post-conflict, fragile state</w:t>
      </w:r>
      <w:r w:rsidR="00DC6772">
        <w:t xml:space="preserve">. </w:t>
      </w:r>
      <w:r>
        <w:t>While continuing stability is not assured, cautious optimism is warranted.</w:t>
      </w:r>
    </w:p>
    <w:p w:rsidR="00BC2AF7" w:rsidRDefault="00BC2AF7" w:rsidP="00900AA5">
      <w:pPr>
        <w:pStyle w:val="H3A"/>
      </w:pPr>
      <w:r>
        <w:t>Changing relationship</w:t>
      </w:r>
      <w:r w:rsidRPr="000A6092">
        <w:t xml:space="preserve"> with donors </w:t>
      </w:r>
    </w:p>
    <w:p w:rsidR="00BC2AF7" w:rsidRDefault="00BC2AF7" w:rsidP="00593060">
      <w:pPr>
        <w:pStyle w:val="BodyText"/>
        <w:spacing w:line="280" w:lineRule="exact"/>
      </w:pPr>
      <w:r>
        <w:t>With more than US$5</w:t>
      </w:r>
      <w:r w:rsidR="003C4026">
        <w:t> </w:t>
      </w:r>
      <w:r>
        <w:t xml:space="preserve">billion of its own money in the Petroleum Fund at the end of 2009, </w:t>
      </w:r>
      <w:r w:rsidR="003408F5">
        <w:t xml:space="preserve">the </w:t>
      </w:r>
      <w:r>
        <w:t>government began suggest</w:t>
      </w:r>
      <w:r w:rsidR="003408F5">
        <w:t>ing</w:t>
      </w:r>
      <w:r>
        <w:t xml:space="preserve"> that the international aid community </w:t>
      </w:r>
      <w:r w:rsidR="00DD4FCB">
        <w:t xml:space="preserve">was </w:t>
      </w:r>
      <w:r>
        <w:t>not adding sufficient value to state</w:t>
      </w:r>
      <w:r w:rsidR="003408F5">
        <w:t xml:space="preserve"> </w:t>
      </w:r>
      <w:r>
        <w:t>building</w:t>
      </w:r>
      <w:r w:rsidR="00A15EC0">
        <w:t>—in part because t</w:t>
      </w:r>
      <w:r>
        <w:t>he donor community is crowded and</w:t>
      </w:r>
      <w:r w:rsidR="00A15EC0">
        <w:t xml:space="preserve"> its diverse range of interests and agendas</w:t>
      </w:r>
      <w:r>
        <w:t xml:space="preserve"> poorly-coordinated</w:t>
      </w:r>
      <w:r w:rsidR="00DC6772">
        <w:t xml:space="preserve">. </w:t>
      </w:r>
      <w:r w:rsidR="006C75EA">
        <w:t xml:space="preserve">However most donors are willing to align their activities with </w:t>
      </w:r>
      <w:r w:rsidR="003408F5">
        <w:t xml:space="preserve">government </w:t>
      </w:r>
      <w:r w:rsidR="006C75EA">
        <w:t>priorities, and would value clearer direction, such as a medium to long</w:t>
      </w:r>
      <w:r w:rsidR="003408F5">
        <w:t>-</w:t>
      </w:r>
      <w:r w:rsidR="006C75EA">
        <w:t>term strategy and expenditure plan, to support this aim.</w:t>
      </w:r>
      <w:r w:rsidR="00456734">
        <w:t xml:space="preserve"> The Government’s decision to develop </w:t>
      </w:r>
      <w:r w:rsidR="00DE7C4B">
        <w:t xml:space="preserve">the </w:t>
      </w:r>
      <w:r w:rsidR="00456734">
        <w:t xml:space="preserve">Strategic Development Plan is </w:t>
      </w:r>
      <w:r w:rsidR="00DE7C4B">
        <w:t xml:space="preserve">therefore </w:t>
      </w:r>
      <w:r w:rsidR="00456734">
        <w:t>promising.</w:t>
      </w:r>
    </w:p>
    <w:p w:rsidR="00BC2AF7" w:rsidRDefault="00BC2AF7" w:rsidP="00900AA5">
      <w:pPr>
        <w:pStyle w:val="H2A"/>
      </w:pPr>
      <w:bookmarkStart w:id="5" w:name="_Toc360704631"/>
      <w:bookmarkStart w:id="6" w:name="_Toc360709785"/>
      <w:r>
        <w:t xml:space="preserve">Results of the </w:t>
      </w:r>
      <w:smartTag w:uri="urn:schemas-microsoft-com:office:smarttags" w:element="place">
        <w:r w:rsidR="00A15EC0">
          <w:t>Timor</w:t>
        </w:r>
      </w:smartTag>
      <w:r w:rsidR="00A15EC0">
        <w:t>-Leste</w:t>
      </w:r>
      <w:r>
        <w:t xml:space="preserve"> program</w:t>
      </w:r>
      <w:bookmarkEnd w:id="5"/>
      <w:bookmarkEnd w:id="6"/>
    </w:p>
    <w:p w:rsidR="00BC2AF7" w:rsidRDefault="00BC2AF7" w:rsidP="00900AA5">
      <w:pPr>
        <w:pStyle w:val="H3B"/>
      </w:pPr>
      <w:bookmarkStart w:id="7" w:name="_Toc360704632"/>
      <w:bookmarkStart w:id="8" w:name="_Toc360709786"/>
      <w:r>
        <w:t xml:space="preserve">Sector: </w:t>
      </w:r>
      <w:r w:rsidRPr="00900AA5">
        <w:t>Health</w:t>
      </w:r>
      <w:bookmarkEnd w:id="7"/>
      <w:bookmarkEnd w:id="8"/>
    </w:p>
    <w:p w:rsidR="00BC2AF7" w:rsidRPr="00707AD5" w:rsidRDefault="00BC2AF7" w:rsidP="00593060">
      <w:pPr>
        <w:pStyle w:val="BodyText"/>
      </w:pPr>
      <w:r w:rsidRPr="00707AD5">
        <w:t>Timor-Leste has extremely high rates of maternal and child mortality. Australia supports health services through a World Bank</w:t>
      </w:r>
      <w:r w:rsidR="00DD4FCB">
        <w:t>-</w:t>
      </w:r>
      <w:r w:rsidRPr="00707AD5">
        <w:t>administered trust fund</w:t>
      </w:r>
      <w:r w:rsidR="007E3073">
        <w:t xml:space="preserve"> that </w:t>
      </w:r>
      <w:r w:rsidR="009A50FC">
        <w:t>aims to strengthen</w:t>
      </w:r>
      <w:r w:rsidR="007E3073">
        <w:t xml:space="preserve"> the Ministry of Health</w:t>
      </w:r>
      <w:r w:rsidR="009A50FC">
        <w:t>’s service delivery capacity</w:t>
      </w:r>
      <w:r w:rsidRPr="00707AD5">
        <w:t xml:space="preserve">, a program of support to the </w:t>
      </w:r>
      <w:r w:rsidR="003408F5">
        <w:t>n</w:t>
      </w:r>
      <w:r w:rsidRPr="00707AD5">
        <w:t xml:space="preserve">ational </w:t>
      </w:r>
      <w:r w:rsidR="003408F5">
        <w:t>h</w:t>
      </w:r>
      <w:r w:rsidRPr="00707AD5">
        <w:t>ospital</w:t>
      </w:r>
      <w:r w:rsidR="00A15EC0">
        <w:t>,</w:t>
      </w:r>
      <w:r w:rsidRPr="00707AD5">
        <w:t xml:space="preserve"> and funding for </w:t>
      </w:r>
      <w:r w:rsidR="003408F5">
        <w:t>non-government organisations (</w:t>
      </w:r>
      <w:r w:rsidRPr="00707AD5">
        <w:t>NGOs</w:t>
      </w:r>
      <w:r w:rsidR="003408F5">
        <w:t>)</w:t>
      </w:r>
      <w:r w:rsidRPr="00707AD5">
        <w:t xml:space="preserve"> in the areas of maternal and child health, </w:t>
      </w:r>
      <w:r w:rsidR="009249DA">
        <w:t xml:space="preserve">sexual and reproductive health (including family planning), </w:t>
      </w:r>
      <w:r w:rsidRPr="00707AD5">
        <w:t>hygiene and sanitation.</w:t>
      </w:r>
    </w:p>
    <w:p w:rsidR="00BC2AF7" w:rsidRPr="00707AD5" w:rsidRDefault="00BC2AF7" w:rsidP="00593060">
      <w:pPr>
        <w:pStyle w:val="BodyText"/>
      </w:pPr>
      <w:r w:rsidRPr="00707AD5">
        <w:t xml:space="preserve">Donor support to the health sector in Timor-Leste is fragmented, with the Ministry of Health maintaining </w:t>
      </w:r>
      <w:r w:rsidR="003408F5">
        <w:t>more than</w:t>
      </w:r>
      <w:r w:rsidR="003408F5" w:rsidRPr="00707AD5">
        <w:t xml:space="preserve"> </w:t>
      </w:r>
      <w:r w:rsidRPr="00707AD5">
        <w:t>40</w:t>
      </w:r>
      <w:r w:rsidR="00092990">
        <w:t> </w:t>
      </w:r>
      <w:r w:rsidRPr="00707AD5">
        <w:t>separate aid activities. The World Bank-</w:t>
      </w:r>
      <w:r w:rsidR="006C75EA">
        <w:t>supervis</w:t>
      </w:r>
      <w:r w:rsidRPr="00707AD5">
        <w:t>ed Health Sector Strategic Plan Support Project (HSSP</w:t>
      </w:r>
      <w:r w:rsidR="003408F5">
        <w:rPr>
          <w:sz w:val="18"/>
          <w:szCs w:val="18"/>
        </w:rPr>
        <w:t>–</w:t>
      </w:r>
      <w:r w:rsidRPr="00707AD5">
        <w:t xml:space="preserve">SP) was dogged by low rates of disbursement </w:t>
      </w:r>
      <w:r w:rsidR="006C75EA">
        <w:t>and concerns about the coherence of expenditure</w:t>
      </w:r>
      <w:r w:rsidR="00DC6772">
        <w:t xml:space="preserve">. </w:t>
      </w:r>
      <w:r w:rsidR="00663B6F">
        <w:t>In addition, t</w:t>
      </w:r>
      <w:r w:rsidRPr="00707AD5">
        <w:t>he M</w:t>
      </w:r>
      <w:r w:rsidR="003A4475">
        <w:t>inistry of Health</w:t>
      </w:r>
      <w:r w:rsidRPr="00707AD5">
        <w:t xml:space="preserve">’s Health Sector Strategic Plan, to which the </w:t>
      </w:r>
      <w:r w:rsidR="00A15EC0">
        <w:t>HSSP–</w:t>
      </w:r>
      <w:r w:rsidR="00F23140">
        <w:t>SP</w:t>
      </w:r>
      <w:r w:rsidR="00A15EC0" w:rsidRPr="00707AD5">
        <w:t xml:space="preserve"> </w:t>
      </w:r>
      <w:r w:rsidRPr="00707AD5">
        <w:t xml:space="preserve">is aligned, </w:t>
      </w:r>
      <w:r w:rsidR="006C75EA">
        <w:t xml:space="preserve">was developed under the previous </w:t>
      </w:r>
      <w:r w:rsidR="00DD4FCB">
        <w:t>g</w:t>
      </w:r>
      <w:r w:rsidR="006C75EA">
        <w:t>overnment</w:t>
      </w:r>
      <w:r w:rsidRPr="00707AD5">
        <w:t xml:space="preserve"> and omits </w:t>
      </w:r>
      <w:r w:rsidR="006C75EA">
        <w:t>a key</w:t>
      </w:r>
      <w:r w:rsidRPr="00707AD5">
        <w:t xml:space="preserve"> project, the village outreach program</w:t>
      </w:r>
      <w:r w:rsidR="00F23140">
        <w:t xml:space="preserve"> (</w:t>
      </w:r>
      <w:proofErr w:type="spellStart"/>
      <w:r w:rsidRPr="00707AD5">
        <w:t>SISCa</w:t>
      </w:r>
      <w:proofErr w:type="spellEnd"/>
      <w:r w:rsidR="00F23140">
        <w:t>)</w:t>
      </w:r>
      <w:r w:rsidRPr="00707AD5">
        <w:t>.</w:t>
      </w:r>
    </w:p>
    <w:p w:rsidR="00BC2AF7" w:rsidRPr="00707AD5" w:rsidRDefault="00BC2AF7" w:rsidP="00593060">
      <w:pPr>
        <w:pStyle w:val="BodyText"/>
      </w:pPr>
      <w:r w:rsidRPr="00707AD5">
        <w:t>HSSP</w:t>
      </w:r>
      <w:r w:rsidR="003408F5">
        <w:rPr>
          <w:sz w:val="18"/>
          <w:szCs w:val="18"/>
        </w:rPr>
        <w:t>–</w:t>
      </w:r>
      <w:r w:rsidRPr="00707AD5">
        <w:t xml:space="preserve">SP’s direct funding to support implementation of </w:t>
      </w:r>
      <w:proofErr w:type="spellStart"/>
      <w:r w:rsidRPr="00707AD5">
        <w:t>SISCa</w:t>
      </w:r>
      <w:proofErr w:type="spellEnd"/>
      <w:r w:rsidRPr="00707AD5">
        <w:t xml:space="preserve"> (71</w:t>
      </w:r>
      <w:r w:rsidR="00011CCB">
        <w:t>%</w:t>
      </w:r>
      <w:r w:rsidRPr="00707AD5">
        <w:t xml:space="preserve"> of the total</w:t>
      </w:r>
      <w:r w:rsidR="009249DA">
        <w:t xml:space="preserve"> </w:t>
      </w:r>
      <w:proofErr w:type="spellStart"/>
      <w:r w:rsidR="009249DA">
        <w:t>SISCa</w:t>
      </w:r>
      <w:proofErr w:type="spellEnd"/>
      <w:r w:rsidRPr="00707AD5">
        <w:t xml:space="preserve"> budget) brought health services closer to the people</w:t>
      </w:r>
      <w:r w:rsidR="00DC6772">
        <w:t xml:space="preserve">. </w:t>
      </w:r>
      <w:proofErr w:type="spellStart"/>
      <w:r w:rsidRPr="00707AD5">
        <w:t>SISCa</w:t>
      </w:r>
      <w:proofErr w:type="spellEnd"/>
      <w:r w:rsidRPr="00707AD5">
        <w:t xml:space="preserve"> is proving</w:t>
      </w:r>
      <w:r w:rsidR="00BA606D">
        <w:t xml:space="preserve"> to be</w:t>
      </w:r>
      <w:r w:rsidRPr="00707AD5">
        <w:t xml:space="preserve"> a promising model for basic community outreach and health education</w:t>
      </w:r>
      <w:r w:rsidR="00DC6772">
        <w:t xml:space="preserve">. </w:t>
      </w:r>
      <w:r w:rsidRPr="00707AD5">
        <w:t xml:space="preserve">The proportion of births attended by skilled health personnel increased by </w:t>
      </w:r>
      <w:r w:rsidR="007E3073">
        <w:t xml:space="preserve">a third </w:t>
      </w:r>
      <w:r w:rsidR="00586B38">
        <w:t>between</w:t>
      </w:r>
      <w:r w:rsidRPr="00707AD5">
        <w:t xml:space="preserve"> 2008 and 2009.</w:t>
      </w:r>
      <w:r w:rsidRPr="00927B3A">
        <w:rPr>
          <w:rStyle w:val="FootnoteReference"/>
          <w:rFonts w:ascii="Georgia" w:hAnsi="Georgia"/>
          <w:sz w:val="17"/>
          <w:szCs w:val="17"/>
          <w:vertAlign w:val="superscript"/>
        </w:rPr>
        <w:footnoteReference w:id="2"/>
      </w:r>
      <w:r w:rsidRPr="00092990">
        <w:rPr>
          <w:sz w:val="16"/>
          <w:szCs w:val="16"/>
          <w:vertAlign w:val="superscript"/>
        </w:rPr>
        <w:t xml:space="preserve"> </w:t>
      </w:r>
      <w:r w:rsidR="00586B38">
        <w:rPr>
          <w:sz w:val="16"/>
          <w:szCs w:val="16"/>
          <w:vertAlign w:val="superscript"/>
        </w:rPr>
        <w:t xml:space="preserve"> </w:t>
      </w:r>
      <w:r w:rsidRPr="00707AD5">
        <w:t xml:space="preserve">The percentage of children under 1 </w:t>
      </w:r>
      <w:r w:rsidR="00DD4FCB">
        <w:t xml:space="preserve">year of age </w:t>
      </w:r>
      <w:r w:rsidRPr="00707AD5">
        <w:t>vaccinated against measles also increased</w:t>
      </w:r>
      <w:r w:rsidR="00DD4FCB">
        <w:t>,</w:t>
      </w:r>
      <w:r w:rsidRPr="00707AD5">
        <w:t xml:space="preserve"> by 17</w:t>
      </w:r>
      <w:r w:rsidR="003F1A3C">
        <w:t>%</w:t>
      </w:r>
      <w:r w:rsidR="00DD4FCB">
        <w:t> </w:t>
      </w:r>
      <w:r w:rsidR="00586B38">
        <w:t>from</w:t>
      </w:r>
      <w:r w:rsidRPr="00707AD5">
        <w:t xml:space="preserve"> 2006</w:t>
      </w:r>
      <w:r w:rsidR="00586B38">
        <w:t xml:space="preserve"> to 20</w:t>
      </w:r>
      <w:r w:rsidRPr="00707AD5">
        <w:t>09</w:t>
      </w:r>
      <w:r w:rsidR="00DD4FCB">
        <w:t>.</w:t>
      </w:r>
      <w:r w:rsidRPr="00927B3A">
        <w:rPr>
          <w:rStyle w:val="FootnoteReference"/>
          <w:rFonts w:ascii="Georgia" w:hAnsi="Georgia"/>
          <w:sz w:val="17"/>
          <w:szCs w:val="17"/>
          <w:vertAlign w:val="superscript"/>
        </w:rPr>
        <w:footnoteReference w:id="3"/>
      </w:r>
      <w:r w:rsidR="00663B6F">
        <w:t xml:space="preserve"> </w:t>
      </w:r>
      <w:r w:rsidRPr="00707AD5">
        <w:t xml:space="preserve">Foundations were laid for future improvements, through enhancing the qualifications of the total cohort of midwives, </w:t>
      </w:r>
      <w:r w:rsidR="00DD4FCB" w:rsidRPr="00707AD5">
        <w:t>provi</w:t>
      </w:r>
      <w:r w:rsidR="00DD4FCB">
        <w:t>ding</w:t>
      </w:r>
      <w:r w:rsidRPr="00707AD5">
        <w:t xml:space="preserve"> 97</w:t>
      </w:r>
      <w:r w:rsidR="00BA606D">
        <w:t> </w:t>
      </w:r>
      <w:r w:rsidRPr="00707AD5">
        <w:t xml:space="preserve">scholarships in areas of key need (including surgery and ophthalmology) and </w:t>
      </w:r>
      <w:r w:rsidR="00DD4FCB">
        <w:t xml:space="preserve">through </w:t>
      </w:r>
      <w:r w:rsidRPr="00707AD5">
        <w:t>in-service training of 21</w:t>
      </w:r>
      <w:r w:rsidR="00BA606D">
        <w:t> </w:t>
      </w:r>
      <w:r w:rsidRPr="00707AD5">
        <w:t>nurse anaesthetists and three trainee surgeons</w:t>
      </w:r>
      <w:r w:rsidR="00DC6772">
        <w:t xml:space="preserve">. </w:t>
      </w:r>
    </w:p>
    <w:p w:rsidR="009249DA" w:rsidRPr="00064F6E" w:rsidRDefault="00BC2AF7" w:rsidP="00593060">
      <w:pPr>
        <w:pStyle w:val="BodyText"/>
      </w:pPr>
      <w:r w:rsidRPr="00707AD5">
        <w:t>Family planning services provided by NGOs expanded to three districts outside</w:t>
      </w:r>
      <w:r w:rsidR="00DD4FCB">
        <w:t xml:space="preserve"> of</w:t>
      </w:r>
      <w:r w:rsidRPr="00707AD5">
        <w:t xml:space="preserve"> </w:t>
      </w:r>
      <w:proofErr w:type="spellStart"/>
      <w:r w:rsidRPr="00707AD5">
        <w:t>Dili</w:t>
      </w:r>
      <w:proofErr w:type="spellEnd"/>
      <w:r w:rsidRPr="00707AD5">
        <w:t>. In</w:t>
      </w:r>
      <w:r w:rsidR="00092990">
        <w:t> </w:t>
      </w:r>
      <w:r w:rsidRPr="00707AD5">
        <w:t xml:space="preserve">2009 sexual and reproductive health clinical services were provided to </w:t>
      </w:r>
      <w:r w:rsidR="009249DA">
        <w:t>almost 10,000</w:t>
      </w:r>
      <w:r w:rsidRPr="00707AD5">
        <w:t xml:space="preserve"> people, with 40</w:t>
      </w:r>
      <w:r w:rsidR="00780079">
        <w:t>%</w:t>
      </w:r>
      <w:r w:rsidRPr="00707AD5">
        <w:t xml:space="preserve"> of these for family planning. </w:t>
      </w:r>
      <w:r w:rsidR="009249DA" w:rsidRPr="009249DA">
        <w:t>This has been calculated as helping to avert around 130 infant deaths and 170 under-5 deaths.</w:t>
      </w:r>
    </w:p>
    <w:p w:rsidR="00BC2AF7" w:rsidRDefault="00BC2AF7" w:rsidP="00900AA5">
      <w:pPr>
        <w:pStyle w:val="H3B"/>
      </w:pPr>
      <w:bookmarkStart w:id="9" w:name="_Toc360704633"/>
      <w:bookmarkStart w:id="10" w:name="_Toc360709787"/>
      <w:r>
        <w:lastRenderedPageBreak/>
        <w:t>Sector: Education</w:t>
      </w:r>
      <w:bookmarkEnd w:id="9"/>
      <w:bookmarkEnd w:id="10"/>
    </w:p>
    <w:p w:rsidR="00BC2AF7" w:rsidRDefault="00BC2AF7" w:rsidP="00593060">
      <w:pPr>
        <w:pStyle w:val="BodyText"/>
      </w:pPr>
      <w:r>
        <w:t xml:space="preserve">Net enrolment in primary education in Timor-Leste is only </w:t>
      </w:r>
      <w:r w:rsidR="009249DA">
        <w:t>8</w:t>
      </w:r>
      <w:r>
        <w:t>3</w:t>
      </w:r>
      <w:r w:rsidR="00780079">
        <w:t>%</w:t>
      </w:r>
      <w:r>
        <w:t xml:space="preserve"> </w:t>
      </w:r>
      <w:r w:rsidR="009249DA">
        <w:t>and further pressure is being placed upon the school system given rapid population growth</w:t>
      </w:r>
      <w:r w:rsidR="00DC6772">
        <w:t>.</w:t>
      </w:r>
      <w:r w:rsidR="009249DA">
        <w:t xml:space="preserve"> </w:t>
      </w:r>
      <w:r>
        <w:t>A</w:t>
      </w:r>
      <w:r w:rsidR="006C75EA">
        <w:t>t present a</w:t>
      </w:r>
      <w:r>
        <w:t xml:space="preserve">round half </w:t>
      </w:r>
      <w:r w:rsidR="00BA606D">
        <w:t xml:space="preserve">of </w:t>
      </w:r>
      <w:r>
        <w:t>the children who enrol</w:t>
      </w:r>
      <w:r w:rsidR="00BA606D">
        <w:t xml:space="preserve"> in school</w:t>
      </w:r>
      <w:r>
        <w:t xml:space="preserve"> drop out early, and by grade</w:t>
      </w:r>
      <w:r w:rsidR="00DD4FCB">
        <w:t> </w:t>
      </w:r>
      <w:r>
        <w:t>3 a significant number cannot read</w:t>
      </w:r>
      <w:r w:rsidR="00DC6772">
        <w:t xml:space="preserve">. </w:t>
      </w:r>
      <w:r w:rsidR="006C75EA">
        <w:t xml:space="preserve">Many </w:t>
      </w:r>
      <w:r>
        <w:t xml:space="preserve">teachers </w:t>
      </w:r>
      <w:r w:rsidR="006C75EA">
        <w:t xml:space="preserve">lack formal qualifications </w:t>
      </w:r>
      <w:r>
        <w:t xml:space="preserve">and </w:t>
      </w:r>
      <w:r w:rsidR="006C75EA">
        <w:t xml:space="preserve">fluency in </w:t>
      </w:r>
      <w:r>
        <w:t>Portuguese, the official language of instruction</w:t>
      </w:r>
      <w:r w:rsidR="009249DA">
        <w:t xml:space="preserve"> at the basic education level</w:t>
      </w:r>
      <w:r>
        <w:t xml:space="preserve">. </w:t>
      </w:r>
      <w:smartTag w:uri="urn:schemas-microsoft-com:office:smarttags" w:element="place">
        <w:smartTag w:uri="urn:schemas-microsoft-com:office:smarttags" w:element="country-region">
          <w:r>
            <w:t>Australia</w:t>
          </w:r>
        </w:smartTag>
      </w:smartTag>
      <w:r>
        <w:t xml:space="preserve"> supports education through a World Bank-administered Education Sector Support Project (ESSP) and separate vocational education programs undertaken with the </w:t>
      </w:r>
      <w:r w:rsidRPr="00586B38">
        <w:t>International Labour Organi</w:t>
      </w:r>
      <w:r w:rsidR="00586B38" w:rsidRPr="00586B38">
        <w:t>z</w:t>
      </w:r>
      <w:r w:rsidRPr="00586B38">
        <w:t>ation</w:t>
      </w:r>
      <w:r>
        <w:t xml:space="preserve"> and the South</w:t>
      </w:r>
      <w:r w:rsidR="00BA606D">
        <w:t> </w:t>
      </w:r>
      <w:r>
        <w:t>Australian Government</w:t>
      </w:r>
      <w:r w:rsidR="00DC6772">
        <w:t xml:space="preserve">. </w:t>
      </w:r>
    </w:p>
    <w:p w:rsidR="00BC2AF7" w:rsidRDefault="00011CCB" w:rsidP="00593060">
      <w:pPr>
        <w:pStyle w:val="BodyText"/>
        <w:spacing w:line="280" w:lineRule="exact"/>
      </w:pPr>
      <w:r>
        <w:t xml:space="preserve">Due to weak monitoring and </w:t>
      </w:r>
      <w:r w:rsidR="00E075BF">
        <w:t xml:space="preserve">significant changes to ESSP’s </w:t>
      </w:r>
      <w:r>
        <w:t>scope, t</w:t>
      </w:r>
      <w:r w:rsidR="00BC2AF7">
        <w:t xml:space="preserve">racking </w:t>
      </w:r>
      <w:r w:rsidR="00E075BF">
        <w:t xml:space="preserve">its </w:t>
      </w:r>
      <w:r w:rsidR="00BC2AF7">
        <w:t xml:space="preserve">outputs is </w:t>
      </w:r>
      <w:r w:rsidR="006C75EA">
        <w:t xml:space="preserve">sometimes </w:t>
      </w:r>
      <w:r w:rsidR="00BC2AF7">
        <w:t xml:space="preserve">easier than tracking outcomes, and it is difficult to link all of our current funding to </w:t>
      </w:r>
      <w:r w:rsidR="00E075BF">
        <w:t xml:space="preserve">ESSP’s </w:t>
      </w:r>
      <w:r w:rsidR="00BC2AF7">
        <w:t>objective</w:t>
      </w:r>
      <w:r w:rsidR="00E075BF">
        <w:t>s</w:t>
      </w:r>
      <w:r w:rsidR="00DC6772">
        <w:t xml:space="preserve">. </w:t>
      </w:r>
      <w:r w:rsidR="00BC2AF7">
        <w:t>In 2009, 110</w:t>
      </w:r>
      <w:r w:rsidR="00BA606D">
        <w:t> </w:t>
      </w:r>
      <w:r w:rsidR="00BC2AF7">
        <w:t xml:space="preserve">schools were designed and </w:t>
      </w:r>
      <w:r w:rsidR="00EB7A75">
        <w:t xml:space="preserve">built </w:t>
      </w:r>
      <w:r w:rsidR="00BC2AF7">
        <w:t>by the Infrastructure Facilitation Unit with funding from the Go</w:t>
      </w:r>
      <w:r w:rsidR="00BA606D">
        <w:t xml:space="preserve">vernment of </w:t>
      </w:r>
      <w:r w:rsidR="00EB7A75">
        <w:t>Timor-Leste</w:t>
      </w:r>
      <w:r w:rsidR="00BC2AF7">
        <w:t xml:space="preserve"> budget</w:t>
      </w:r>
      <w:r w:rsidR="00DC6772">
        <w:t xml:space="preserve">. </w:t>
      </w:r>
      <w:r w:rsidR="00BC2AF7">
        <w:t xml:space="preserve">The </w:t>
      </w:r>
      <w:r w:rsidR="00BA606D">
        <w:t xml:space="preserve">unit </w:t>
      </w:r>
      <w:r w:rsidR="00DD4FCB">
        <w:t xml:space="preserve">had </w:t>
      </w:r>
      <w:r w:rsidR="00BC2AF7">
        <w:t xml:space="preserve">received advisory support </w:t>
      </w:r>
      <w:r>
        <w:t xml:space="preserve">from ESSP </w:t>
      </w:r>
      <w:r w:rsidR="00BC2AF7">
        <w:t xml:space="preserve">over an extended period, but </w:t>
      </w:r>
      <w:r w:rsidR="00DD4FCB">
        <w:t xml:space="preserve">it </w:t>
      </w:r>
      <w:r w:rsidR="00BC2AF7">
        <w:t xml:space="preserve">has </w:t>
      </w:r>
      <w:r w:rsidR="00DD4FCB">
        <w:t>now undergone a</w:t>
      </w:r>
      <w:r w:rsidR="00EB7A75">
        <w:t xml:space="preserve"> </w:t>
      </w:r>
      <w:r w:rsidR="00BC2AF7">
        <w:t>successful transition to Timorese management</w:t>
      </w:r>
      <w:r w:rsidR="00DC6772">
        <w:t xml:space="preserve">. </w:t>
      </w:r>
      <w:r w:rsidR="00BC2AF7">
        <w:t>Good-quality learning materials were developed and distributed to every school in the country</w:t>
      </w:r>
      <w:r w:rsidR="00DC6772">
        <w:t xml:space="preserve">. </w:t>
      </w:r>
      <w:r w:rsidR="00BC2AF7">
        <w:t xml:space="preserve">ESSP </w:t>
      </w:r>
      <w:r w:rsidR="00EB7A75">
        <w:t xml:space="preserve">also </w:t>
      </w:r>
      <w:r w:rsidR="00BC2AF7">
        <w:t>supported the draft</w:t>
      </w:r>
      <w:r w:rsidR="00DD4FCB">
        <w:t>ing of a</w:t>
      </w:r>
      <w:r w:rsidR="00BC2AF7">
        <w:t xml:space="preserve"> National Education Strategic Plan (2010</w:t>
      </w:r>
      <w:r w:rsidR="00BA606D">
        <w:rPr>
          <w:sz w:val="18"/>
          <w:szCs w:val="18"/>
        </w:rPr>
        <w:t>–</w:t>
      </w:r>
      <w:r w:rsidR="00BC2AF7">
        <w:t>15)</w:t>
      </w:r>
      <w:r w:rsidR="00DC6772">
        <w:t xml:space="preserve">. </w:t>
      </w:r>
    </w:p>
    <w:p w:rsidR="00BC2AF7" w:rsidRDefault="00BC2AF7" w:rsidP="00593060">
      <w:pPr>
        <w:pStyle w:val="BodyText"/>
      </w:pPr>
      <w:smartTag w:uri="urn:schemas-microsoft-com:office:smarttags" w:element="place">
        <w:smartTag w:uri="urn:schemas-microsoft-com:office:smarttags" w:element="country-region">
          <w:r>
            <w:t>Australia</w:t>
          </w:r>
        </w:smartTag>
      </w:smartTag>
      <w:r>
        <w:t xml:space="preserve"> supported the establishment of a competency-based technical and vocational education and training system through </w:t>
      </w:r>
      <w:r w:rsidR="00DD4FCB">
        <w:t xml:space="preserve">the </w:t>
      </w:r>
      <w:r>
        <w:t>development of the National Labour Force Development Institute</w:t>
      </w:r>
      <w:r w:rsidR="00DC6772">
        <w:t xml:space="preserve">. </w:t>
      </w:r>
      <w:r>
        <w:t xml:space="preserve">The first </w:t>
      </w:r>
      <w:r w:rsidR="00BA606D">
        <w:t xml:space="preserve">institute’s </w:t>
      </w:r>
      <w:r w:rsidR="00DD4FCB">
        <w:t>i</w:t>
      </w:r>
      <w:r>
        <w:t xml:space="preserve">ndustry </w:t>
      </w:r>
      <w:r w:rsidR="00DD4FCB">
        <w:t>s</w:t>
      </w:r>
      <w:r>
        <w:t>ub-</w:t>
      </w:r>
      <w:r w:rsidR="00DD4FCB">
        <w:t>c</w:t>
      </w:r>
      <w:r>
        <w:t xml:space="preserve">ommissions have been </w:t>
      </w:r>
      <w:r w:rsidR="00EB7A75">
        <w:t xml:space="preserve">established </w:t>
      </w:r>
      <w:r>
        <w:t>linking industry needs with vocational training courses</w:t>
      </w:r>
      <w:r w:rsidR="00DC6772">
        <w:t xml:space="preserve">. </w:t>
      </w:r>
      <w:r>
        <w:t>In 2009, 105</w:t>
      </w:r>
      <w:r w:rsidR="00BA606D">
        <w:t> </w:t>
      </w:r>
      <w:r>
        <w:t>youths completed basic training in building and construction skills through the AusAID-funded</w:t>
      </w:r>
      <w:r w:rsidR="00011BC2">
        <w:t>,</w:t>
      </w:r>
      <w:r>
        <w:t xml:space="preserve"> Timor</w:t>
      </w:r>
      <w:r w:rsidR="0042669E">
        <w:t>-L</w:t>
      </w:r>
      <w:r w:rsidR="0042669E">
        <w:rPr>
          <w:rStyle w:val="CommentReference"/>
        </w:rPr>
        <w:t>--L</w:t>
      </w:r>
      <w:r>
        <w:t>este Basic Skills Training Project. All higher education institutions in Timor-Leste were reviewed for accreditation</w:t>
      </w:r>
      <w:r w:rsidR="00DC6772">
        <w:t xml:space="preserve">. </w:t>
      </w:r>
      <w:r w:rsidR="00BA606D">
        <w:t xml:space="preserve">Twenty </w:t>
      </w:r>
      <w:r>
        <w:t xml:space="preserve">Australian Development Scholarships and </w:t>
      </w:r>
      <w:r w:rsidR="00BA606D">
        <w:t>three</w:t>
      </w:r>
      <w:r>
        <w:t xml:space="preserve"> Australian Leadership Awards were awarded to East</w:t>
      </w:r>
      <w:r w:rsidR="00BA606D">
        <w:t> </w:t>
      </w:r>
      <w:r>
        <w:t>Timorese, and two students (both women) were granted Honours years.</w:t>
      </w:r>
    </w:p>
    <w:p w:rsidR="00BC2AF7" w:rsidRDefault="00BC2AF7" w:rsidP="00900AA5">
      <w:pPr>
        <w:pStyle w:val="H3B"/>
      </w:pPr>
      <w:bookmarkStart w:id="11" w:name="_Toc360704634"/>
      <w:bookmarkStart w:id="12" w:name="_Toc360709788"/>
      <w:r>
        <w:t xml:space="preserve">Sector: Rural </w:t>
      </w:r>
      <w:r w:rsidR="003A4475">
        <w:t>w</w:t>
      </w:r>
      <w:r>
        <w:t xml:space="preserve">ater </w:t>
      </w:r>
      <w:r w:rsidR="003A4475">
        <w:t>s</w:t>
      </w:r>
      <w:r>
        <w:t xml:space="preserve">upply and </w:t>
      </w:r>
      <w:r w:rsidR="003A4475">
        <w:t>s</w:t>
      </w:r>
      <w:r>
        <w:t>anitation</w:t>
      </w:r>
      <w:bookmarkEnd w:id="11"/>
      <w:bookmarkEnd w:id="12"/>
    </w:p>
    <w:p w:rsidR="00BC2AF7" w:rsidRPr="00CD3B91" w:rsidRDefault="00BC2AF7" w:rsidP="00593060">
      <w:pPr>
        <w:pStyle w:val="BodyText"/>
      </w:pPr>
      <w:r>
        <w:t>Access to clean water supplies in rural communities is low, but increasing</w:t>
      </w:r>
      <w:r w:rsidR="00DC6772">
        <w:t xml:space="preserve">. </w:t>
      </w:r>
      <w:smartTag w:uri="urn:schemas-microsoft-com:office:smarttags" w:element="place">
        <w:smartTag w:uri="urn:schemas-microsoft-com:office:smarttags" w:element="country-region">
          <w:r w:rsidRPr="00CF65DB">
            <w:t>Australia</w:t>
          </w:r>
        </w:smartTag>
      </w:smartTag>
      <w:r w:rsidRPr="00CF65DB">
        <w:t xml:space="preserve">’s </w:t>
      </w:r>
      <w:r w:rsidR="00D819FC" w:rsidRPr="00CD3B91">
        <w:t>Rural Water Supply and Sanitation Program</w:t>
      </w:r>
      <w:r w:rsidR="00D819FC" w:rsidRPr="001E1862">
        <w:t xml:space="preserve"> builds</w:t>
      </w:r>
      <w:smartTag w:uri="urn:schemas-microsoft-com:office:smarttags" w:element="PersonName">
        <w:r w:rsidRPr="001E1862">
          <w:t xml:space="preserve"> </w:t>
        </w:r>
      </w:smartTag>
      <w:r w:rsidRPr="00CF65DB">
        <w:t>the</w:t>
      </w:r>
      <w:smartTag w:uri="urn:schemas-microsoft-com:office:smarttags" w:element="PersonName">
        <w:r w:rsidRPr="00CF65DB">
          <w:t xml:space="preserve"> </w:t>
        </w:r>
      </w:smartTag>
      <w:r w:rsidRPr="00CF65DB">
        <w:t>capacity</w:t>
      </w:r>
      <w:smartTag w:uri="urn:schemas-microsoft-com:office:smarttags" w:element="PersonName">
        <w:r w:rsidRPr="00CF65DB">
          <w:t xml:space="preserve"> </w:t>
        </w:r>
      </w:smartTag>
      <w:r w:rsidRPr="00CF65DB">
        <w:t xml:space="preserve">of </w:t>
      </w:r>
      <w:r>
        <w:t xml:space="preserve">all actors in </w:t>
      </w:r>
      <w:r w:rsidRPr="00CF65DB">
        <w:t>the</w:t>
      </w:r>
      <w:smartTag w:uri="urn:schemas-microsoft-com:office:smarttags" w:element="PersonName">
        <w:r w:rsidRPr="00CF65DB">
          <w:t xml:space="preserve"> </w:t>
        </w:r>
      </w:smartTag>
      <w:r>
        <w:t xml:space="preserve">sector </w:t>
      </w:r>
      <w:r w:rsidRPr="00CF65DB">
        <w:t>to</w:t>
      </w:r>
      <w:smartTag w:uri="urn:schemas-microsoft-com:office:smarttags" w:element="PersonName">
        <w:r w:rsidRPr="00CF65DB">
          <w:t xml:space="preserve"> </w:t>
        </w:r>
      </w:smartTag>
      <w:r w:rsidRPr="00CF65DB">
        <w:t>plan, implement</w:t>
      </w:r>
      <w:smartTag w:uri="urn:schemas-microsoft-com:office:smarttags" w:element="PersonName">
        <w:r w:rsidRPr="00CF65DB">
          <w:t xml:space="preserve"> </w:t>
        </w:r>
      </w:smartTag>
      <w:r w:rsidRPr="00CF65DB">
        <w:t>and</w:t>
      </w:r>
      <w:smartTag w:uri="urn:schemas-microsoft-com:office:smarttags" w:element="PersonName">
        <w:r w:rsidRPr="00CF65DB">
          <w:t xml:space="preserve"> </w:t>
        </w:r>
      </w:smartTag>
      <w:r w:rsidRPr="00CF65DB">
        <w:t>manage rural water, sanitation and hygiene activities</w:t>
      </w:r>
      <w:r w:rsidR="00DC6772">
        <w:t xml:space="preserve">. </w:t>
      </w:r>
      <w:r>
        <w:t>Despite its complexity, s</w:t>
      </w:r>
      <w:r w:rsidRPr="00CF65DB">
        <w:t>teady progress was made during 2009 towards this long-term objective</w:t>
      </w:r>
      <w:r w:rsidR="00CD3B91">
        <w:t>.</w:t>
      </w:r>
      <w:r w:rsidR="00CD3B91" w:rsidDel="00CD3B91">
        <w:t xml:space="preserve"> </w:t>
      </w:r>
    </w:p>
    <w:p w:rsidR="00BC2AF7" w:rsidRDefault="00BC2AF7" w:rsidP="00593060">
      <w:pPr>
        <w:pStyle w:val="BodyText"/>
      </w:pPr>
      <w:r w:rsidRPr="004A09DD">
        <w:t>Australia</w:t>
      </w:r>
      <w:r>
        <w:t xml:space="preserve">n support to planning and budgeting in the Ministry of Infrastructure </w:t>
      </w:r>
      <w:r w:rsidR="00530C84">
        <w:t xml:space="preserve">was matched by </w:t>
      </w:r>
      <w:r>
        <w:t>increased</w:t>
      </w:r>
      <w:r w:rsidRPr="004A09DD">
        <w:t xml:space="preserve"> </w:t>
      </w:r>
      <w:r>
        <w:t xml:space="preserve">government </w:t>
      </w:r>
      <w:r w:rsidR="001D1B26">
        <w:t xml:space="preserve">financial </w:t>
      </w:r>
      <w:r>
        <w:t>commitment to</w:t>
      </w:r>
      <w:r w:rsidRPr="004A09DD">
        <w:t xml:space="preserve"> rural water supply and sanitation</w:t>
      </w:r>
      <w:r w:rsidR="00D819FC">
        <w:t>,</w:t>
      </w:r>
      <w:r>
        <w:t xml:space="preserve"> from</w:t>
      </w:r>
      <w:r w:rsidRPr="004A09DD">
        <w:t xml:space="preserve"> US</w:t>
      </w:r>
      <w:r w:rsidR="00BA606D">
        <w:t>$</w:t>
      </w:r>
      <w:r w:rsidRPr="004A09DD">
        <w:t>1</w:t>
      </w:r>
      <w:r w:rsidR="00BA606D">
        <w:t> </w:t>
      </w:r>
      <w:r>
        <w:t>million in 2009 to</w:t>
      </w:r>
      <w:r w:rsidRPr="004A09DD">
        <w:t xml:space="preserve"> US</w:t>
      </w:r>
      <w:r w:rsidR="001D1B26">
        <w:t>$</w:t>
      </w:r>
      <w:r w:rsidRPr="004A09DD">
        <w:t>5.5</w:t>
      </w:r>
      <w:r w:rsidR="001D1B26">
        <w:t> </w:t>
      </w:r>
      <w:r w:rsidRPr="004A09DD">
        <w:t xml:space="preserve">million for rural water supply </w:t>
      </w:r>
      <w:r>
        <w:t>(</w:t>
      </w:r>
      <w:r w:rsidRPr="004A09DD">
        <w:t>and US</w:t>
      </w:r>
      <w:r w:rsidR="001D1B26">
        <w:t>$</w:t>
      </w:r>
      <w:r w:rsidRPr="004A09DD">
        <w:t>200</w:t>
      </w:r>
      <w:r w:rsidR="001D1B26">
        <w:t> </w:t>
      </w:r>
      <w:r w:rsidRPr="004A09DD">
        <w:t>000 for sanitation</w:t>
      </w:r>
      <w:r>
        <w:t>) in 2010</w:t>
      </w:r>
      <w:r w:rsidR="00DC6772">
        <w:t xml:space="preserve">. </w:t>
      </w:r>
      <w:r>
        <w:t xml:space="preserve">Water was identified </w:t>
      </w:r>
      <w:r w:rsidR="00AA51E7">
        <w:t xml:space="preserve">by the Government </w:t>
      </w:r>
      <w:r>
        <w:t xml:space="preserve">as a key </w:t>
      </w:r>
      <w:r w:rsidR="00DD4FCB">
        <w:t>n</w:t>
      </w:r>
      <w:r>
        <w:t xml:space="preserve">ational </w:t>
      </w:r>
      <w:r w:rsidR="00DD4FCB">
        <w:t>p</w:t>
      </w:r>
      <w:r>
        <w:t>riority for 2010</w:t>
      </w:r>
      <w:r w:rsidR="00DC6772">
        <w:t xml:space="preserve">. </w:t>
      </w:r>
      <w:r>
        <w:t xml:space="preserve">This represents a significant shift in government </w:t>
      </w:r>
      <w:r w:rsidR="006C75EA">
        <w:t>commitment to</w:t>
      </w:r>
      <w:r>
        <w:t xml:space="preserve"> water and sanitation in improved community outcomes</w:t>
      </w:r>
      <w:r w:rsidR="00DC6772">
        <w:t xml:space="preserve">. </w:t>
      </w:r>
    </w:p>
    <w:p w:rsidR="00BC2AF7" w:rsidRDefault="00BC2AF7" w:rsidP="00593060">
      <w:pPr>
        <w:pStyle w:val="BodyText"/>
      </w:pPr>
      <w:r>
        <w:t xml:space="preserve">Working with government, communities, NGOs and other donors, RWSSP delivered an impressive </w:t>
      </w:r>
      <w:r w:rsidR="001D1B26">
        <w:t xml:space="preserve">number </w:t>
      </w:r>
      <w:r>
        <w:t>of outputs (new water systems, system designs, training, hygiene promotion, supervision and monitoring) benefiting tens of thousands of people</w:t>
      </w:r>
      <w:r w:rsidR="00DC6772">
        <w:t xml:space="preserve">. </w:t>
      </w:r>
      <w:r w:rsidRPr="00991AD4">
        <w:t>Government concern over the program’s greater emphasis on capacity building</w:t>
      </w:r>
      <w:r w:rsidR="001D1B26">
        <w:t xml:space="preserve"> </w:t>
      </w:r>
      <w:r w:rsidR="00DD4FCB">
        <w:t>over</w:t>
      </w:r>
      <w:r w:rsidR="001D1B26">
        <w:t xml:space="preserve"> </w:t>
      </w:r>
      <w:r w:rsidRPr="00991AD4">
        <w:t>hardware</w:t>
      </w:r>
      <w:r>
        <w:t xml:space="preserve"> will be partly met through the additional injection of </w:t>
      </w:r>
      <w:r w:rsidRPr="00927B3A">
        <w:t>$12</w:t>
      </w:r>
      <w:r w:rsidR="00BA606D" w:rsidRPr="00927B3A">
        <w:t> </w:t>
      </w:r>
      <w:r w:rsidRPr="00927B3A">
        <w:t>million</w:t>
      </w:r>
      <w:r>
        <w:t xml:space="preserve"> between 2009 and 2011, which will primarily construct more water supply and sanitation systems and increase hygiene education</w:t>
      </w:r>
      <w:r w:rsidR="00DC6772">
        <w:t xml:space="preserve">. </w:t>
      </w:r>
    </w:p>
    <w:p w:rsidR="00BC2AF7" w:rsidRDefault="00BC2AF7" w:rsidP="00900AA5">
      <w:pPr>
        <w:pStyle w:val="H3B"/>
      </w:pPr>
      <w:bookmarkStart w:id="13" w:name="_Toc360704635"/>
      <w:bookmarkStart w:id="14" w:name="_Toc360709789"/>
      <w:r>
        <w:lastRenderedPageBreak/>
        <w:t>Sector: Infrastructure</w:t>
      </w:r>
      <w:bookmarkEnd w:id="13"/>
      <w:bookmarkEnd w:id="14"/>
    </w:p>
    <w:p w:rsidR="00BC2AF7" w:rsidRDefault="00BC2AF7" w:rsidP="00593060">
      <w:pPr>
        <w:pStyle w:val="BodyText"/>
      </w:pPr>
      <w:r>
        <w:t xml:space="preserve">Infrastructure is a critical problem in Timor-Leste, where the quality of roads, access to electricity and </w:t>
      </w:r>
      <w:r w:rsidR="007B3054">
        <w:t xml:space="preserve">state of </w:t>
      </w:r>
      <w:r>
        <w:t>public buildings have all declined since Indonesian times as a result of deliberate destruction or lack of maintenance</w:t>
      </w:r>
      <w:r w:rsidR="00DC6772">
        <w:t xml:space="preserve">. </w:t>
      </w:r>
      <w:r>
        <w:t xml:space="preserve">The government has identified infrastructure </w:t>
      </w:r>
      <w:r w:rsidR="007B3054">
        <w:t xml:space="preserve">as </w:t>
      </w:r>
      <w:r>
        <w:t xml:space="preserve">a key to development, and </w:t>
      </w:r>
      <w:r w:rsidR="007B3054">
        <w:t xml:space="preserve">in 2009 continued to direct </w:t>
      </w:r>
      <w:r>
        <w:t>increased resources into the sector</w:t>
      </w:r>
      <w:r w:rsidR="00DC6772">
        <w:t xml:space="preserve">. </w:t>
      </w:r>
      <w:r>
        <w:t>Australian support is delivered primarily through an A</w:t>
      </w:r>
      <w:r w:rsidR="001D1B26">
        <w:t>sian Development Bank</w:t>
      </w:r>
      <w:r>
        <w:t>-managed program of technical assistance to the M</w:t>
      </w:r>
      <w:r w:rsidR="001D1B26">
        <w:t xml:space="preserve">inistry </w:t>
      </w:r>
      <w:r>
        <w:t>o</w:t>
      </w:r>
      <w:r w:rsidR="001D1B26">
        <w:t xml:space="preserve">f </w:t>
      </w:r>
      <w:r>
        <w:t>I</w:t>
      </w:r>
      <w:r w:rsidR="001D1B26">
        <w:t>nfrastructure</w:t>
      </w:r>
      <w:r w:rsidR="00751420">
        <w:t>, which builds capacity in procurement and project management</w:t>
      </w:r>
      <w:r w:rsidR="00DC6772">
        <w:t xml:space="preserve">. </w:t>
      </w:r>
      <w:smartTag w:uri="urn:schemas-microsoft-com:office:smarttags" w:element="country-region">
        <w:smartTag w:uri="urn:schemas-microsoft-com:office:smarttags" w:element="place">
          <w:r w:rsidR="0023423B">
            <w:t>Australia</w:t>
          </w:r>
        </w:smartTag>
      </w:smartTag>
      <w:r>
        <w:t xml:space="preserve"> also support</w:t>
      </w:r>
      <w:r w:rsidR="0023423B">
        <w:t>s</w:t>
      </w:r>
      <w:r>
        <w:t xml:space="preserve"> public works through the Youth Employment Promotion Program implemented by the </w:t>
      </w:r>
      <w:r w:rsidR="00BA606D" w:rsidRPr="00D819FC">
        <w:t xml:space="preserve">International Labour Organisation </w:t>
      </w:r>
      <w:r w:rsidRPr="00D819FC">
        <w:t>a</w:t>
      </w:r>
      <w:r>
        <w:t>nd the Secretariat of State for Vocational Training and Employment</w:t>
      </w:r>
      <w:r w:rsidR="00DC6772">
        <w:t xml:space="preserve">. </w:t>
      </w:r>
    </w:p>
    <w:p w:rsidR="00BC2AF7" w:rsidRDefault="00BC2AF7" w:rsidP="00593060">
      <w:pPr>
        <w:pStyle w:val="BodyText"/>
      </w:pPr>
      <w:r>
        <w:t>The A</w:t>
      </w:r>
      <w:r w:rsidR="001D1B26">
        <w:t xml:space="preserve">sian </w:t>
      </w:r>
      <w:r>
        <w:t>D</w:t>
      </w:r>
      <w:r w:rsidR="001D1B26">
        <w:t xml:space="preserve">evelopment </w:t>
      </w:r>
      <w:r>
        <w:t>B</w:t>
      </w:r>
      <w:r w:rsidR="001D1B26">
        <w:t>ank</w:t>
      </w:r>
      <w:r>
        <w:t xml:space="preserve"> program struggled to achieve traction during 2009</w:t>
      </w:r>
      <w:r w:rsidR="00DC6772">
        <w:t xml:space="preserve">. </w:t>
      </w:r>
      <w:r>
        <w:t>Budget execution improve</w:t>
      </w:r>
      <w:r w:rsidR="00092990">
        <w:t>d</w:t>
      </w:r>
      <w:r>
        <w:t>, but a key factor was the government’s release of US</w:t>
      </w:r>
      <w:r w:rsidR="00BA606D">
        <w:t>$</w:t>
      </w:r>
      <w:r>
        <w:t>70</w:t>
      </w:r>
      <w:r w:rsidR="00BA606D">
        <w:t> </w:t>
      </w:r>
      <w:r>
        <w:t>million for</w:t>
      </w:r>
      <w:r w:rsidR="00092990">
        <w:t xml:space="preserve"> </w:t>
      </w:r>
      <w:r w:rsidR="00092990">
        <w:br/>
      </w:r>
      <w:r>
        <w:t>small-</w:t>
      </w:r>
      <w:r w:rsidR="00092990">
        <w:t> </w:t>
      </w:r>
      <w:r>
        <w:t>scale</w:t>
      </w:r>
      <w:r w:rsidR="00092990">
        <w:t> </w:t>
      </w:r>
      <w:r>
        <w:t>infrastructure projects to local contractors (the ‘Referendum Package’)</w:t>
      </w:r>
      <w:r w:rsidR="00092990">
        <w:t>,</w:t>
      </w:r>
      <w:r>
        <w:t xml:space="preserve"> </w:t>
      </w:r>
      <w:r w:rsidR="00751420">
        <w:t xml:space="preserve">which was undertaken </w:t>
      </w:r>
      <w:r>
        <w:t>without tendering</w:t>
      </w:r>
      <w:r w:rsidR="00DC6772">
        <w:t xml:space="preserve">. </w:t>
      </w:r>
      <w:r>
        <w:t>A 2009</w:t>
      </w:r>
      <w:r w:rsidR="00092990">
        <w:t> </w:t>
      </w:r>
      <w:r>
        <w:t xml:space="preserve">review of the </w:t>
      </w:r>
      <w:r w:rsidR="0023423B">
        <w:t xml:space="preserve">Asian Development Bank </w:t>
      </w:r>
      <w:r>
        <w:t xml:space="preserve">program resulted in a shift in emphasis and introduction of a scholarship and training program that should improve </w:t>
      </w:r>
      <w:r w:rsidR="00927B3A">
        <w:t>the</w:t>
      </w:r>
      <w:r w:rsidR="00D819FC">
        <w:t xml:space="preserve"> </w:t>
      </w:r>
      <w:r>
        <w:t xml:space="preserve">capacity in </w:t>
      </w:r>
      <w:r w:rsidR="00927B3A">
        <w:t xml:space="preserve">the </w:t>
      </w:r>
      <w:r>
        <w:t>M</w:t>
      </w:r>
      <w:r w:rsidR="00F66F48">
        <w:t>inistry of Infrastructure</w:t>
      </w:r>
      <w:r>
        <w:t xml:space="preserve"> over the longer term</w:t>
      </w:r>
      <w:r w:rsidR="00DC6772">
        <w:t xml:space="preserve">. </w:t>
      </w:r>
      <w:r w:rsidR="001D1B26">
        <w:t>The Youth Employment Promotion Program,</w:t>
      </w:r>
      <w:r>
        <w:t xml:space="preserve"> on the other hand</w:t>
      </w:r>
      <w:r w:rsidR="001D1B26">
        <w:t>,</w:t>
      </w:r>
      <w:r>
        <w:t xml:space="preserve"> performed strongly, despite a shortfall in the</w:t>
      </w:r>
      <w:r w:rsidR="00530C84">
        <w:t xml:space="preserve"> </w:t>
      </w:r>
      <w:r>
        <w:t>government’s co-contribution,</w:t>
      </w:r>
      <w:r w:rsidR="00D819FC">
        <w:t> </w:t>
      </w:r>
      <w:r>
        <w:t>with 683</w:t>
      </w:r>
      <w:r w:rsidR="00BA606D">
        <w:t> </w:t>
      </w:r>
      <w:r>
        <w:t>km of rural roads rehabilitated and 146</w:t>
      </w:r>
      <w:r w:rsidR="00BA606D">
        <w:t> </w:t>
      </w:r>
      <w:r>
        <w:t>484 days of short-term employment</w:t>
      </w:r>
      <w:r w:rsidR="00A36C30">
        <w:t xml:space="preserve"> created</w:t>
      </w:r>
      <w:r>
        <w:t xml:space="preserve"> for </w:t>
      </w:r>
      <w:r w:rsidR="00BA606D">
        <w:t xml:space="preserve">more than </w:t>
      </w:r>
      <w:r>
        <w:t>3000</w:t>
      </w:r>
      <w:r w:rsidR="00BA606D">
        <w:t> </w:t>
      </w:r>
      <w:r>
        <w:t>people.</w:t>
      </w:r>
    </w:p>
    <w:p w:rsidR="00BC2AF7" w:rsidRDefault="00BC2AF7" w:rsidP="00900AA5">
      <w:pPr>
        <w:pStyle w:val="H3B"/>
      </w:pPr>
      <w:bookmarkStart w:id="15" w:name="_Toc360704636"/>
      <w:bookmarkStart w:id="16" w:name="_Toc360709790"/>
      <w:r>
        <w:t xml:space="preserve">Sector: Food </w:t>
      </w:r>
      <w:r w:rsidR="001D1B26">
        <w:t>s</w:t>
      </w:r>
      <w:r>
        <w:t>ecurity</w:t>
      </w:r>
      <w:bookmarkEnd w:id="15"/>
      <w:bookmarkEnd w:id="16"/>
    </w:p>
    <w:p w:rsidR="00BC2AF7" w:rsidRPr="00707AD5" w:rsidRDefault="00BC2AF7" w:rsidP="00593060">
      <w:pPr>
        <w:pStyle w:val="BodyText"/>
      </w:pPr>
      <w:r w:rsidRPr="00707AD5">
        <w:t>Food security is yet to be achieved in Timor</w:t>
      </w:r>
      <w:r w:rsidR="00011BC2">
        <w:t>-</w:t>
      </w:r>
      <w:r w:rsidRPr="00707AD5">
        <w:t>Leste. Rural households do not have sufficient rice or maize to eat for about four months each year, and about 50</w:t>
      </w:r>
      <w:r w:rsidR="00780079">
        <w:t>%</w:t>
      </w:r>
      <w:r w:rsidRPr="00707AD5">
        <w:t xml:space="preserve"> of the total population do not have even one month with high food consumption.</w:t>
      </w:r>
      <w:r w:rsidRPr="00927B3A">
        <w:rPr>
          <w:rStyle w:val="FootnoteReference"/>
          <w:rFonts w:ascii="Georgia" w:hAnsi="Georgia"/>
          <w:sz w:val="17"/>
          <w:szCs w:val="17"/>
          <w:vertAlign w:val="superscript"/>
        </w:rPr>
        <w:footnoteReference w:id="4"/>
      </w:r>
      <w:r w:rsidRPr="00927B3A">
        <w:rPr>
          <w:sz w:val="17"/>
          <w:szCs w:val="17"/>
          <w:vertAlign w:val="superscript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707AD5">
            <w:t>Australia</w:t>
          </w:r>
        </w:smartTag>
      </w:smartTag>
      <w:r w:rsidRPr="00707AD5">
        <w:t>’s support</w:t>
      </w:r>
      <w:r w:rsidR="00F67A34">
        <w:t xml:space="preserve"> aims to </w:t>
      </w:r>
      <w:r w:rsidR="00A36C30">
        <w:t>increas</w:t>
      </w:r>
      <w:r w:rsidR="00F67A34">
        <w:t>e</w:t>
      </w:r>
      <w:r w:rsidRPr="00707AD5">
        <w:t xml:space="preserve"> the capacity of the Ministry of Agriculture and Fisheries (MAF) to evaluate, release and manage the rollout of improved varieties of food crops </w:t>
      </w:r>
      <w:r w:rsidRPr="00707AD5">
        <w:rPr>
          <w:color w:val="000000"/>
        </w:rPr>
        <w:t>and prevent and respond to livestock infectious diseases</w:t>
      </w:r>
      <w:r w:rsidR="00DC6772">
        <w:rPr>
          <w:color w:val="000000"/>
        </w:rPr>
        <w:t xml:space="preserve">. </w:t>
      </w:r>
      <w:r w:rsidR="00A36C30">
        <w:rPr>
          <w:color w:val="000000"/>
        </w:rPr>
        <w:t>In 2009, b</w:t>
      </w:r>
      <w:r w:rsidRPr="00707AD5">
        <w:rPr>
          <w:color w:val="000000"/>
        </w:rPr>
        <w:t>etter than expected results were achieved in distributing new seed varieties. Adequate progress was made with infectious disease prevention.</w:t>
      </w:r>
    </w:p>
    <w:p w:rsidR="00BC2AF7" w:rsidRPr="00707AD5" w:rsidRDefault="00BC2AF7" w:rsidP="00593060">
      <w:pPr>
        <w:pStyle w:val="BodyText"/>
      </w:pPr>
      <w:r w:rsidRPr="00707AD5">
        <w:t xml:space="preserve">As a result of </w:t>
      </w:r>
      <w:r w:rsidR="00F67A34">
        <w:t>Australian</w:t>
      </w:r>
      <w:r w:rsidRPr="00707AD5">
        <w:t xml:space="preserve"> support</w:t>
      </w:r>
      <w:r w:rsidR="00894FFC">
        <w:t>,</w:t>
      </w:r>
      <w:r w:rsidRPr="00707AD5">
        <w:t xml:space="preserve"> nine improved food crop varieties have been released and distributed to around 12</w:t>
      </w:r>
      <w:r w:rsidR="00894FFC">
        <w:t> </w:t>
      </w:r>
      <w:r w:rsidRPr="00707AD5">
        <w:t>000 farmers</w:t>
      </w:r>
      <w:r w:rsidR="00DC6772">
        <w:t xml:space="preserve">. </w:t>
      </w:r>
      <w:r w:rsidRPr="00707AD5">
        <w:t>Yield increases of between 23</w:t>
      </w:r>
      <w:r w:rsidR="00780079">
        <w:t>%</w:t>
      </w:r>
      <w:r w:rsidR="00894FFC">
        <w:t xml:space="preserve"> </w:t>
      </w:r>
      <w:r w:rsidRPr="00707AD5">
        <w:t>and 80</w:t>
      </w:r>
      <w:r w:rsidR="00780079">
        <w:t>%</w:t>
      </w:r>
      <w:r w:rsidRPr="00707AD5">
        <w:t xml:space="preserve"> were recorded.</w:t>
      </w:r>
      <w:r w:rsidRPr="00927B3A">
        <w:rPr>
          <w:rStyle w:val="FootnoteReference"/>
          <w:rFonts w:ascii="Georgia" w:hAnsi="Georgia"/>
          <w:sz w:val="17"/>
          <w:szCs w:val="17"/>
          <w:vertAlign w:val="superscript"/>
        </w:rPr>
        <w:footnoteReference w:id="5"/>
      </w:r>
      <w:r w:rsidRPr="00707AD5">
        <w:t xml:space="preserve"> Farmers are re-planting the</w:t>
      </w:r>
      <w:r w:rsidR="00A36C30">
        <w:t>se</w:t>
      </w:r>
      <w:r w:rsidRPr="00707AD5">
        <w:t xml:space="preserve"> varieties and selling or exchanging crop surpluses to meet household and education needs</w:t>
      </w:r>
      <w:r w:rsidR="00DC6772">
        <w:t xml:space="preserve">. </w:t>
      </w:r>
      <w:r w:rsidR="00A36C30">
        <w:t xml:space="preserve">During the year </w:t>
      </w:r>
      <w:r w:rsidRPr="00707AD5">
        <w:t>MAF staff and NGOs were trained in agronomy, seed</w:t>
      </w:r>
      <w:r w:rsidR="00894FFC">
        <w:t> </w:t>
      </w:r>
      <w:r w:rsidRPr="00707AD5">
        <w:t xml:space="preserve">production, statistics and </w:t>
      </w:r>
      <w:r w:rsidR="00927B3A">
        <w:t xml:space="preserve">the </w:t>
      </w:r>
      <w:r w:rsidRPr="00707AD5">
        <w:t xml:space="preserve">English language (to </w:t>
      </w:r>
      <w:r w:rsidR="00A36C30">
        <w:t>give</w:t>
      </w:r>
      <w:r w:rsidR="00A36C30" w:rsidRPr="00707AD5">
        <w:t xml:space="preserve"> </w:t>
      </w:r>
      <w:r w:rsidRPr="00707AD5">
        <w:t>access to international literature)</w:t>
      </w:r>
      <w:r w:rsidR="00DC6772">
        <w:t xml:space="preserve">. </w:t>
      </w:r>
      <w:r w:rsidR="00064F6E">
        <w:t xml:space="preserve">The program attempts to reduce gender inequality, such as by involving </w:t>
      </w:r>
      <w:r w:rsidRPr="00707AD5">
        <w:t xml:space="preserve">women farmers in seed trials and </w:t>
      </w:r>
      <w:r w:rsidR="00064F6E">
        <w:t xml:space="preserve">ensuring </w:t>
      </w:r>
      <w:r w:rsidRPr="00707AD5">
        <w:t xml:space="preserve">female MAF staff </w:t>
      </w:r>
      <w:r w:rsidR="00064F6E">
        <w:t>can access</w:t>
      </w:r>
      <w:r w:rsidRPr="00707AD5">
        <w:t xml:space="preserve"> training opportunities.</w:t>
      </w:r>
    </w:p>
    <w:p w:rsidR="00BC2AF7" w:rsidRPr="00707AD5" w:rsidRDefault="00BC2AF7" w:rsidP="00593060">
      <w:pPr>
        <w:pStyle w:val="BodyText"/>
      </w:pPr>
      <w:r w:rsidRPr="00707AD5">
        <w:t xml:space="preserve">A veterinary laboratory </w:t>
      </w:r>
      <w:r w:rsidR="00F67A34">
        <w:t>was</w:t>
      </w:r>
      <w:r w:rsidRPr="00707AD5">
        <w:t xml:space="preserve"> established for diagnosis of animal diseases to facilitate rapid outbreak assessment and response</w:t>
      </w:r>
      <w:r w:rsidR="00DC6772">
        <w:t xml:space="preserve">. </w:t>
      </w:r>
      <w:r w:rsidRPr="00707AD5">
        <w:t>Public awareness campaigns were undertaken and information, education and communication materials produced</w:t>
      </w:r>
      <w:r w:rsidR="00DC6772">
        <w:t xml:space="preserve">. </w:t>
      </w:r>
      <w:r w:rsidRPr="00707AD5">
        <w:t>Disease surveillance systems were established and piloted in three districts</w:t>
      </w:r>
      <w:r w:rsidR="00DC6772">
        <w:t xml:space="preserve">. </w:t>
      </w:r>
      <w:r w:rsidRPr="00707AD5">
        <w:t>A vaccination campaign includ</w:t>
      </w:r>
      <w:r w:rsidR="00894FFC">
        <w:t>ed</w:t>
      </w:r>
      <w:r w:rsidRPr="00707AD5">
        <w:t xml:space="preserve"> 670</w:t>
      </w:r>
      <w:r w:rsidR="00894FFC">
        <w:t> </w:t>
      </w:r>
      <w:r w:rsidRPr="00707AD5">
        <w:t xml:space="preserve">000 doses of </w:t>
      </w:r>
      <w:smartTag w:uri="urn:schemas-microsoft-com:office:smarttags" w:element="place">
        <w:smartTag w:uri="urn:schemas-microsoft-com:office:smarttags" w:element="City">
          <w:r w:rsidRPr="00707AD5">
            <w:t>Newcastle</w:t>
          </w:r>
        </w:smartTag>
      </w:smartTag>
      <w:r w:rsidRPr="00707AD5">
        <w:t xml:space="preserve"> disease and 340</w:t>
      </w:r>
      <w:r w:rsidR="00894FFC">
        <w:t> </w:t>
      </w:r>
      <w:r w:rsidRPr="00707AD5">
        <w:t>000 doses of swine flu vaccinations.</w:t>
      </w:r>
      <w:r w:rsidRPr="00927B3A">
        <w:rPr>
          <w:rStyle w:val="FootnoteReference"/>
          <w:rFonts w:ascii="Georgia" w:hAnsi="Georgia"/>
          <w:sz w:val="17"/>
          <w:szCs w:val="17"/>
          <w:vertAlign w:val="superscript"/>
        </w:rPr>
        <w:footnoteReference w:id="6"/>
      </w:r>
      <w:r w:rsidRPr="00707AD5">
        <w:t xml:space="preserve"> Training and capacity building of MAF staff was provided</w:t>
      </w:r>
      <w:r w:rsidR="00DC6772">
        <w:t xml:space="preserve">. </w:t>
      </w:r>
      <w:r w:rsidRPr="00707AD5">
        <w:t>Animal health legislation was drafted and joint Australian and Timorese research projects undertaken.</w:t>
      </w:r>
    </w:p>
    <w:p w:rsidR="00BC2AF7" w:rsidRDefault="00BC2AF7" w:rsidP="00900AA5">
      <w:pPr>
        <w:pStyle w:val="H3B"/>
      </w:pPr>
      <w:bookmarkStart w:id="17" w:name="_Toc360704637"/>
      <w:bookmarkStart w:id="18" w:name="_Toc360709791"/>
      <w:r>
        <w:lastRenderedPageBreak/>
        <w:t xml:space="preserve">Sector: Public </w:t>
      </w:r>
      <w:r w:rsidR="00894FFC">
        <w:t>s</w:t>
      </w:r>
      <w:r>
        <w:t xml:space="preserve">ector </w:t>
      </w:r>
      <w:r w:rsidR="00894FFC">
        <w:t>g</w:t>
      </w:r>
      <w:r>
        <w:t>overnance</w:t>
      </w:r>
      <w:bookmarkEnd w:id="17"/>
      <w:bookmarkEnd w:id="18"/>
    </w:p>
    <w:p w:rsidR="00BC2AF7" w:rsidRDefault="00BC2AF7" w:rsidP="00593060">
      <w:pPr>
        <w:pStyle w:val="BodyText"/>
      </w:pPr>
      <w:r>
        <w:t>Timor-Leste’s public service is barely a decade old</w:t>
      </w:r>
      <w:r w:rsidR="00DC6772">
        <w:t xml:space="preserve">. </w:t>
      </w:r>
      <w:r>
        <w:t>Only 60</w:t>
      </w:r>
      <w:r w:rsidR="000C7969">
        <w:t xml:space="preserve">% </w:t>
      </w:r>
      <w:r>
        <w:t xml:space="preserve">of public servants have completed secondary education and </w:t>
      </w:r>
      <w:r w:rsidRPr="00927B3A">
        <w:t>only 7</w:t>
      </w:r>
      <w:r w:rsidR="000C7969">
        <w:t xml:space="preserve">% </w:t>
      </w:r>
      <w:r w:rsidRPr="00927B3A">
        <w:t>hold</w:t>
      </w:r>
      <w:r>
        <w:t xml:space="preserve"> a bachelor’s degree or higher</w:t>
      </w:r>
      <w:r w:rsidR="00DC6772">
        <w:t xml:space="preserve">. </w:t>
      </w:r>
      <w:r>
        <w:t xml:space="preserve">Even the small number who worked in the public sector </w:t>
      </w:r>
      <w:r w:rsidR="00894FFC">
        <w:t xml:space="preserve">before </w:t>
      </w:r>
      <w:smartTag w:uri="urn:schemas-microsoft-com:office:smarttags" w:element="place">
        <w:smartTag w:uri="urn:schemas-microsoft-com:office:smarttags" w:element="City">
          <w:r w:rsidR="00894FFC">
            <w:t>I</w:t>
          </w:r>
          <w:r>
            <w:t>ndependence</w:t>
          </w:r>
        </w:smartTag>
      </w:smartTag>
      <w:r w:rsidR="000C7969">
        <w:t xml:space="preserve"> in 2002</w:t>
      </w:r>
      <w:r>
        <w:t xml:space="preserve"> were denied entry to senior management positions</w:t>
      </w:r>
      <w:r w:rsidR="00A36C30">
        <w:t xml:space="preserve"> (these</w:t>
      </w:r>
      <w:r>
        <w:t xml:space="preserve"> were reserved exclusively for Indonesians</w:t>
      </w:r>
      <w:r w:rsidR="00A36C30">
        <w:t>)</w:t>
      </w:r>
      <w:r w:rsidR="00DC6772">
        <w:t xml:space="preserve">. </w:t>
      </w:r>
      <w:r>
        <w:t xml:space="preserve">Against </w:t>
      </w:r>
      <w:r w:rsidR="00894FFC">
        <w:t xml:space="preserve">this </w:t>
      </w:r>
      <w:r>
        <w:t xml:space="preserve">background, the growth of national institutions and their functionality is remarkable, but support is still required at every level, from the most basic systems and processes to the highest policy development. </w:t>
      </w:r>
    </w:p>
    <w:p w:rsidR="00BC2AF7" w:rsidRDefault="00BC2AF7" w:rsidP="00593060">
      <w:pPr>
        <w:pStyle w:val="BodyText"/>
      </w:pPr>
      <w:smartTag w:uri="urn:schemas-microsoft-com:office:smarttags" w:element="place">
        <w:smartTag w:uri="urn:schemas-microsoft-com:office:smarttags" w:element="country-region">
          <w:r>
            <w:t>Australia</w:t>
          </w:r>
        </w:smartTag>
      </w:smartTag>
      <w:r>
        <w:t xml:space="preserve"> is the lead donor to the public sector reform agenda through the Public Sector Capacity Development Program (PSCDP)</w:t>
      </w:r>
      <w:r w:rsidR="00DC6772">
        <w:t xml:space="preserve">. </w:t>
      </w:r>
      <w:r>
        <w:t xml:space="preserve">This program was originally established to support the central institutions of state, but an </w:t>
      </w:r>
      <w:r w:rsidR="00894FFC">
        <w:t>‘</w:t>
      </w:r>
      <w:r>
        <w:t>Additional Initiatives</w:t>
      </w:r>
      <w:r w:rsidR="00894FFC">
        <w:t>’</w:t>
      </w:r>
      <w:r>
        <w:t xml:space="preserve"> component was </w:t>
      </w:r>
      <w:r w:rsidR="00927B3A">
        <w:t>added</w:t>
      </w:r>
      <w:r>
        <w:t xml:space="preserve"> to enable AusAID to respond flexibly to ministerial requests for assistance for corporate governance</w:t>
      </w:r>
      <w:r w:rsidR="00DC6772">
        <w:t xml:space="preserve">. </w:t>
      </w:r>
      <w:r w:rsidR="00927B3A">
        <w:t>Throughout</w:t>
      </w:r>
      <w:r>
        <w:t xml:space="preserve"> 2009 considerable effort was </w:t>
      </w:r>
      <w:r w:rsidR="00740FC2">
        <w:t>put into</w:t>
      </w:r>
      <w:r>
        <w:t xml:space="preserve"> restoring the original focus of the program, and pruning back the Additional Initiatives component which had been used to provide </w:t>
      </w:r>
      <w:r w:rsidRPr="00740FC2">
        <w:t>ad hoc</w:t>
      </w:r>
      <w:r>
        <w:t xml:space="preserve"> support to ministries, scattering the program’s resources</w:t>
      </w:r>
      <w:r w:rsidR="00740FC2">
        <w:t>, clouding its focus</w:t>
      </w:r>
      <w:r>
        <w:t xml:space="preserve"> and diluting its effectiveness.</w:t>
      </w:r>
    </w:p>
    <w:p w:rsidR="00BC2AF7" w:rsidRDefault="00BC2AF7" w:rsidP="00593060">
      <w:pPr>
        <w:pStyle w:val="BodyText"/>
      </w:pPr>
      <w:smartTag w:uri="urn:schemas-microsoft-com:office:smarttags" w:element="place">
        <w:smartTag w:uri="urn:schemas-microsoft-com:office:smarttags" w:element="country-region">
          <w:r>
            <w:t>Australia</w:t>
          </w:r>
        </w:smartTag>
      </w:smartTag>
      <w:r>
        <w:t xml:space="preserve"> has contributed material support to three identified Go</w:t>
      </w:r>
      <w:r w:rsidR="00894FFC">
        <w:t>vernment of Timor-Leste</w:t>
      </w:r>
      <w:r>
        <w:t xml:space="preserve"> priorities: establishing a Civil Service Commission, an Anti-Corruption Commission and strengthening the independence of the Office of the Inspector-General</w:t>
      </w:r>
      <w:r w:rsidR="00DC6772">
        <w:t xml:space="preserve">. </w:t>
      </w:r>
      <w:r w:rsidR="00894FFC">
        <w:t>The</w:t>
      </w:r>
      <w:r>
        <w:t xml:space="preserve"> range of other outputs delivered</w:t>
      </w:r>
      <w:r w:rsidR="00894FFC">
        <w:t xml:space="preserve"> included</w:t>
      </w:r>
      <w:r>
        <w:t xml:space="preserve"> the production of a good-quality </w:t>
      </w:r>
      <w:r w:rsidR="00927B3A">
        <w:t>n</w:t>
      </w:r>
      <w:r>
        <w:t xml:space="preserve">ational </w:t>
      </w:r>
      <w:r w:rsidR="00927B3A">
        <w:t>i</w:t>
      </w:r>
      <w:r>
        <w:t xml:space="preserve">nfrastructure </w:t>
      </w:r>
      <w:r w:rsidR="00927B3A">
        <w:t>p</w:t>
      </w:r>
      <w:r>
        <w:t>lan and a policy</w:t>
      </w:r>
      <w:r w:rsidR="00740FC2">
        <w:t xml:space="preserve"> for those with disability</w:t>
      </w:r>
      <w:r>
        <w:t xml:space="preserve">. </w:t>
      </w:r>
    </w:p>
    <w:p w:rsidR="00BC2AF7" w:rsidRPr="00CB1311" w:rsidRDefault="00BC2AF7" w:rsidP="00593060">
      <w:pPr>
        <w:pStyle w:val="BodyText"/>
        <w:rPr>
          <w:lang w:val="pl-PL"/>
        </w:rPr>
      </w:pPr>
      <w:r>
        <w:rPr>
          <w:lang w:val="pl-PL"/>
        </w:rPr>
        <w:t xml:space="preserve">PSCDP’s support </w:t>
      </w:r>
      <w:r>
        <w:t xml:space="preserve">to the National Institute for Public Administration in 2009 included </w:t>
      </w:r>
      <w:r w:rsidR="00740FC2">
        <w:t>developing</w:t>
      </w:r>
      <w:r w:rsidRPr="00CC0293">
        <w:t xml:space="preserve"> </w:t>
      </w:r>
      <w:r>
        <w:t xml:space="preserve">and piloting eight </w:t>
      </w:r>
      <w:r w:rsidRPr="00CC0293">
        <w:t xml:space="preserve">training modules </w:t>
      </w:r>
      <w:r>
        <w:t xml:space="preserve">for a </w:t>
      </w:r>
      <w:r w:rsidR="00927B3A">
        <w:t>s</w:t>
      </w:r>
      <w:r>
        <w:t xml:space="preserve">enior </w:t>
      </w:r>
      <w:r w:rsidR="00927B3A">
        <w:t>m</w:t>
      </w:r>
      <w:r>
        <w:t xml:space="preserve">anagement </w:t>
      </w:r>
      <w:r w:rsidR="00927B3A">
        <w:t>c</w:t>
      </w:r>
      <w:r>
        <w:t xml:space="preserve">ourse while </w:t>
      </w:r>
      <w:r w:rsidR="00894FFC">
        <w:t xml:space="preserve">more than </w:t>
      </w:r>
      <w:r w:rsidRPr="00CC0293">
        <w:t>2</w:t>
      </w:r>
      <w:r>
        <w:t>5</w:t>
      </w:r>
      <w:r w:rsidRPr="00CC0293">
        <w:t>0</w:t>
      </w:r>
      <w:r w:rsidR="00894FFC">
        <w:t> </w:t>
      </w:r>
      <w:r>
        <w:t>civil</w:t>
      </w:r>
      <w:r w:rsidRPr="00CC0293">
        <w:t xml:space="preserve"> servants</w:t>
      </w:r>
      <w:r>
        <w:t xml:space="preserve"> attended an earlier</w:t>
      </w:r>
      <w:r w:rsidR="00740FC2">
        <w:t>-</w:t>
      </w:r>
      <w:r>
        <w:t xml:space="preserve">developed </w:t>
      </w:r>
      <w:r w:rsidR="00927B3A">
        <w:t>a</w:t>
      </w:r>
      <w:r>
        <w:t xml:space="preserve">dministrative </w:t>
      </w:r>
      <w:r w:rsidR="00927B3A">
        <w:t>a</w:t>
      </w:r>
      <w:r>
        <w:t xml:space="preserve">ssistant </w:t>
      </w:r>
      <w:r w:rsidR="00927B3A">
        <w:t>c</w:t>
      </w:r>
      <w:r>
        <w:t>ourse, delivered, with limited oversight, by national staff trained by PSCDP</w:t>
      </w:r>
      <w:r w:rsidR="00894FFC">
        <w:t> </w:t>
      </w:r>
      <w:r>
        <w:t>advisers.</w:t>
      </w:r>
    </w:p>
    <w:p w:rsidR="00BC2AF7" w:rsidRDefault="00BC2AF7" w:rsidP="00900AA5">
      <w:pPr>
        <w:pStyle w:val="H3B"/>
      </w:pPr>
      <w:bookmarkStart w:id="19" w:name="_Toc360704638"/>
      <w:bookmarkStart w:id="20" w:name="_Toc360709792"/>
      <w:r>
        <w:t xml:space="preserve">Sector: Public </w:t>
      </w:r>
      <w:r w:rsidR="00894FFC">
        <w:t>f</w:t>
      </w:r>
      <w:r>
        <w:t xml:space="preserve">inancial </w:t>
      </w:r>
      <w:r w:rsidR="00D460E5">
        <w:t>m</w:t>
      </w:r>
      <w:r>
        <w:t>anagement</w:t>
      </w:r>
      <w:bookmarkEnd w:id="19"/>
      <w:bookmarkEnd w:id="20"/>
    </w:p>
    <w:p w:rsidR="00BC2AF7" w:rsidRDefault="00BC2AF7" w:rsidP="00593060">
      <w:pPr>
        <w:pStyle w:val="BodyText"/>
      </w:pPr>
      <w:r>
        <w:t>Public financial management presented a mixed picture through 2009</w:t>
      </w:r>
      <w:r w:rsidR="00DC6772">
        <w:t xml:space="preserve">. </w:t>
      </w:r>
      <w:smartTag w:uri="urn:schemas-microsoft-com:office:smarttags" w:element="place">
        <w:smartTag w:uri="urn:schemas-microsoft-com:office:smarttags" w:element="country-region">
          <w:r>
            <w:t>Australia</w:t>
          </w:r>
        </w:smartTag>
      </w:smartTag>
      <w:r>
        <w:t xml:space="preserve"> supports public financial management reform through the World Bank-administered Public Financial Management and Capacity Building Program (PFMCBP)</w:t>
      </w:r>
      <w:r w:rsidR="00DC6772">
        <w:t xml:space="preserve">. </w:t>
      </w:r>
      <w:r w:rsidR="00894FFC">
        <w:t>The program</w:t>
      </w:r>
      <w:r>
        <w:t xml:space="preserve"> helped the government prepare and submit </w:t>
      </w:r>
      <w:r w:rsidR="00740FC2">
        <w:t xml:space="preserve">its </w:t>
      </w:r>
      <w:r>
        <w:t>2010</w:t>
      </w:r>
      <w:r w:rsidR="00894FFC">
        <w:t> </w:t>
      </w:r>
      <w:r>
        <w:t>Budget</w:t>
      </w:r>
      <w:r w:rsidR="00740FC2">
        <w:t>, linking it</w:t>
      </w:r>
      <w:r>
        <w:t xml:space="preserve"> to a newly developed macroeconomic framework, which will better enable long-term planning and fiscal sustainability</w:t>
      </w:r>
      <w:r w:rsidR="00DC6772">
        <w:t xml:space="preserve">. </w:t>
      </w:r>
      <w:r>
        <w:t>Government expenditure has doubled since 2007, and budget execution rates have risen from around 50</w:t>
      </w:r>
      <w:r w:rsidR="00011CCB">
        <w:t>%</w:t>
      </w:r>
      <w:r>
        <w:t xml:space="preserve"> in 2007 to 80</w:t>
      </w:r>
      <w:r w:rsidR="00011CCB">
        <w:t>%</w:t>
      </w:r>
      <w:r>
        <w:t xml:space="preserve"> in 2009, helping drive economic growth</w:t>
      </w:r>
      <w:r w:rsidR="00D460E5">
        <w:t xml:space="preserve"> (</w:t>
      </w:r>
      <w:r>
        <w:t xml:space="preserve">estimated at </w:t>
      </w:r>
      <w:r w:rsidR="00927B3A">
        <w:t xml:space="preserve">more than </w:t>
      </w:r>
      <w:r>
        <w:t>10</w:t>
      </w:r>
      <w:r w:rsidR="00011CCB">
        <w:t>%</w:t>
      </w:r>
      <w:r w:rsidR="00D460E5">
        <w:t>)</w:t>
      </w:r>
      <w:r>
        <w:t xml:space="preserve"> and resulting in expanded delivery of basic public services</w:t>
      </w:r>
      <w:r w:rsidR="00DC6772">
        <w:t xml:space="preserve">. </w:t>
      </w:r>
      <w:r w:rsidR="00D460E5">
        <w:t xml:space="preserve">Moreover, the </w:t>
      </w:r>
      <w:r>
        <w:t xml:space="preserve">PFMCBP assisted </w:t>
      </w:r>
      <w:r w:rsidR="00D460E5">
        <w:t xml:space="preserve">with </w:t>
      </w:r>
      <w:r>
        <w:t>the government’s reform efforts in taxation (contributing to Timor-Leste’s advance in the World Bank’s ‘Doing Business Survey’) and the introduction of an Expenditure Review Unit in the Ministry of Finance</w:t>
      </w:r>
      <w:r w:rsidR="00DC6772">
        <w:t xml:space="preserve">. </w:t>
      </w:r>
      <w:r>
        <w:t xml:space="preserve">A major restructure of </w:t>
      </w:r>
      <w:r w:rsidR="0093096D">
        <w:t>the Ministry of Finance</w:t>
      </w:r>
      <w:r>
        <w:t xml:space="preserve"> was carried out </w:t>
      </w:r>
      <w:r w:rsidR="00927B3A">
        <w:t xml:space="preserve">in 2009 </w:t>
      </w:r>
      <w:r>
        <w:t xml:space="preserve">and a Professional Development Unit, providing training and scholarships, </w:t>
      </w:r>
      <w:r w:rsidR="00D460E5">
        <w:t xml:space="preserve">was </w:t>
      </w:r>
      <w:r>
        <w:t>established.</w:t>
      </w:r>
    </w:p>
    <w:p w:rsidR="00BC2AF7" w:rsidRDefault="00BC2AF7" w:rsidP="00593060">
      <w:pPr>
        <w:pStyle w:val="BodyText"/>
      </w:pPr>
      <w:r>
        <w:t>However, while public financial management goes beyond</w:t>
      </w:r>
      <w:r w:rsidR="00D460E5">
        <w:t xml:space="preserve"> the</w:t>
      </w:r>
      <w:r>
        <w:t xml:space="preserve"> M</w:t>
      </w:r>
      <w:r w:rsidR="0093096D">
        <w:t>inistry of Finance</w:t>
      </w:r>
      <w:r>
        <w:t>,</w:t>
      </w:r>
      <w:r w:rsidR="00D460E5">
        <w:t xml:space="preserve"> the</w:t>
      </w:r>
      <w:r>
        <w:t xml:space="preserve"> PFMCBP does not</w:t>
      </w:r>
      <w:r w:rsidR="00DC6772">
        <w:t xml:space="preserve">. </w:t>
      </w:r>
      <w:smartTag w:uri="urn:schemas-microsoft-com:office:smarttags" w:element="place">
        <w:smartTag w:uri="urn:schemas-microsoft-com:office:smarttags" w:element="country-region">
          <w:r w:rsidR="000C7969">
            <w:t>Australia</w:t>
          </w:r>
        </w:smartTag>
      </w:smartTag>
      <w:r w:rsidR="000C7969">
        <w:t xml:space="preserve"> </w:t>
      </w:r>
      <w:r w:rsidR="00530C84">
        <w:t>encouraged</w:t>
      </w:r>
      <w:r>
        <w:t xml:space="preserve"> the </w:t>
      </w:r>
      <w:r w:rsidR="000E3756">
        <w:t xml:space="preserve">World </w:t>
      </w:r>
      <w:r>
        <w:t xml:space="preserve">Bank to coordinate </w:t>
      </w:r>
      <w:r w:rsidR="000E3756">
        <w:t>public financial management</w:t>
      </w:r>
      <w:r>
        <w:t xml:space="preserve"> reforms with its other programs in health and education.</w:t>
      </w:r>
    </w:p>
    <w:p w:rsidR="00BC2AF7" w:rsidRDefault="00BC2AF7" w:rsidP="00900AA5">
      <w:pPr>
        <w:pStyle w:val="H3B"/>
      </w:pPr>
      <w:bookmarkStart w:id="21" w:name="_Toc360704639"/>
      <w:bookmarkStart w:id="22" w:name="_Toc360709793"/>
      <w:r>
        <w:lastRenderedPageBreak/>
        <w:t xml:space="preserve">Sector: Political </w:t>
      </w:r>
      <w:r w:rsidR="00011BC2">
        <w:t>g</w:t>
      </w:r>
      <w:r>
        <w:t>overnance</w:t>
      </w:r>
      <w:bookmarkEnd w:id="21"/>
      <w:bookmarkEnd w:id="22"/>
    </w:p>
    <w:p w:rsidR="00BC2AF7" w:rsidRDefault="00BC2AF7" w:rsidP="00593060">
      <w:pPr>
        <w:pStyle w:val="BodyText"/>
      </w:pPr>
      <w:r>
        <w:t>Timor-Leste</w:t>
      </w:r>
      <w:r w:rsidR="000C7969">
        <w:t>‘</w:t>
      </w:r>
      <w:r w:rsidR="00751420">
        <w:t xml:space="preserve">s emerging </w:t>
      </w:r>
      <w:r>
        <w:t xml:space="preserve">democratic culture is demonstrated </w:t>
      </w:r>
      <w:r w:rsidR="000E3756">
        <w:t xml:space="preserve">through the </w:t>
      </w:r>
      <w:r>
        <w:t xml:space="preserve">lively political debate in Parliament and </w:t>
      </w:r>
      <w:r w:rsidR="000E3756">
        <w:t xml:space="preserve">in </w:t>
      </w:r>
      <w:r>
        <w:t xml:space="preserve">the media, </w:t>
      </w:r>
      <w:r w:rsidR="00B54E9C">
        <w:t>as well as through</w:t>
      </w:r>
      <w:r w:rsidR="000E3756">
        <w:t xml:space="preserve"> the country’s </w:t>
      </w:r>
      <w:r>
        <w:t>critical and curious civil society</w:t>
      </w:r>
      <w:r w:rsidR="00DC6772">
        <w:t xml:space="preserve">. </w:t>
      </w:r>
      <w:smartTag w:uri="urn:schemas-microsoft-com:office:smarttags" w:element="place">
        <w:smartTag w:uri="urn:schemas-microsoft-com:office:smarttags" w:element="country-region">
          <w:r>
            <w:t>Australia</w:t>
          </w:r>
        </w:smartTag>
      </w:smartTag>
      <w:r>
        <w:t xml:space="preserve"> funded</w:t>
      </w:r>
      <w:r w:rsidR="00B54E9C">
        <w:t xml:space="preserve"> improvements to</w:t>
      </w:r>
      <w:r>
        <w:t xml:space="preserve"> political governance through </w:t>
      </w:r>
      <w:r w:rsidRPr="00D460E5">
        <w:t>U</w:t>
      </w:r>
      <w:r w:rsidR="000E3756" w:rsidRPr="00D460E5">
        <w:t>nited Nations Development Programme</w:t>
      </w:r>
      <w:r w:rsidRPr="00D460E5">
        <w:t xml:space="preserve"> </w:t>
      </w:r>
      <w:r>
        <w:t>support to Parliament and th</w:t>
      </w:r>
      <w:r w:rsidRPr="00B54E9C">
        <w:t>e Technical Secretariat for Administration of Elections (STAE)</w:t>
      </w:r>
      <w:r w:rsidR="00DC6772" w:rsidRPr="00B54E9C">
        <w:t>.</w:t>
      </w:r>
      <w:r w:rsidR="00DC6772">
        <w:t xml:space="preserve"> </w:t>
      </w:r>
      <w:r w:rsidR="00B54E9C">
        <w:t xml:space="preserve">Specifically, </w:t>
      </w:r>
      <w:r>
        <w:t>Australian aid contributed to the development of the Parliament’s five-year strategic plan</w:t>
      </w:r>
      <w:r w:rsidR="00132D55">
        <w:t xml:space="preserve"> and</w:t>
      </w:r>
      <w:r>
        <w:t xml:space="preserve"> revised </w:t>
      </w:r>
      <w:r w:rsidR="000E3756">
        <w:t>s</w:t>
      </w:r>
      <w:r>
        <w:t xml:space="preserve">tanding </w:t>
      </w:r>
      <w:r w:rsidR="000E3756">
        <w:t>o</w:t>
      </w:r>
      <w:r>
        <w:t>rders</w:t>
      </w:r>
      <w:r w:rsidR="00132D55">
        <w:t xml:space="preserve">. </w:t>
      </w:r>
      <w:smartTag w:uri="urn:schemas-microsoft-com:office:smarttags" w:element="place">
        <w:smartTag w:uri="urn:schemas-microsoft-com:office:smarttags" w:element="country-region">
          <w:r w:rsidR="00132D55">
            <w:t>Australia</w:t>
          </w:r>
        </w:smartTag>
      </w:smartTag>
      <w:r w:rsidR="00132D55">
        <w:t xml:space="preserve"> also helped to</w:t>
      </w:r>
      <w:r>
        <w:t xml:space="preserve"> buil</w:t>
      </w:r>
      <w:r w:rsidR="00132D55">
        <w:t>d</w:t>
      </w:r>
      <w:r>
        <w:t xml:space="preserve"> the capacity of Parliament’s nine </w:t>
      </w:r>
      <w:r w:rsidR="00132D55">
        <w:t>co</w:t>
      </w:r>
      <w:r>
        <w:t xml:space="preserve">mmittees, by providing </w:t>
      </w:r>
      <w:r w:rsidRPr="00B54E9C">
        <w:t>advisers who</w:t>
      </w:r>
      <w:r>
        <w:t xml:space="preserve"> </w:t>
      </w:r>
      <w:r w:rsidR="00011CCB">
        <w:t>became part of the Parliament’s staff complement</w:t>
      </w:r>
      <w:r>
        <w:t xml:space="preserve"> in October</w:t>
      </w:r>
      <w:r w:rsidR="000E3756">
        <w:t> </w:t>
      </w:r>
      <w:r>
        <w:t>2009</w:t>
      </w:r>
      <w:r w:rsidR="00DC6772">
        <w:t xml:space="preserve">. </w:t>
      </w:r>
      <w:r w:rsidR="00132D55">
        <w:t xml:space="preserve">Parliament’s </w:t>
      </w:r>
      <w:r>
        <w:t xml:space="preserve">Gender Resource Centre </w:t>
      </w:r>
      <w:r w:rsidR="00B54E9C">
        <w:t>was</w:t>
      </w:r>
      <w:r>
        <w:t xml:space="preserve"> active in </w:t>
      </w:r>
      <w:r w:rsidR="00700979">
        <w:t xml:space="preserve">supporting </w:t>
      </w:r>
      <w:r>
        <w:t>female members of parliament and contributing to gender-sensitive legislation (such as the preparation of domestic violence laws)</w:t>
      </w:r>
      <w:r w:rsidR="00DC6772">
        <w:t xml:space="preserve">. </w:t>
      </w:r>
      <w:r>
        <w:t xml:space="preserve">With </w:t>
      </w:r>
      <w:r w:rsidRPr="00B54E9C">
        <w:t>U</w:t>
      </w:r>
      <w:r w:rsidR="00F66F48" w:rsidRPr="00B54E9C">
        <w:t xml:space="preserve">nited </w:t>
      </w:r>
      <w:r w:rsidRPr="00B54E9C">
        <w:t>N</w:t>
      </w:r>
      <w:r w:rsidR="00F66F48" w:rsidRPr="00B54E9C">
        <w:t>ations Development Programme</w:t>
      </w:r>
      <w:r w:rsidRPr="00B54E9C">
        <w:t xml:space="preserve"> and the Australian Electoral Commission</w:t>
      </w:r>
      <w:r w:rsidR="00700979">
        <w:t>, AusAID</w:t>
      </w:r>
      <w:r w:rsidRPr="00B54E9C">
        <w:t xml:space="preserve"> helpe</w:t>
      </w:r>
      <w:r>
        <w:t>d STAE conduct successful elections in all 432</w:t>
      </w:r>
      <w:r w:rsidR="00011BC2">
        <w:t> </w:t>
      </w:r>
      <w:proofErr w:type="spellStart"/>
      <w:r>
        <w:t>sucos</w:t>
      </w:r>
      <w:proofErr w:type="spellEnd"/>
      <w:r>
        <w:t xml:space="preserve"> during the year, and developed a five-year plan to guide STAE’s operations and capacity development</w:t>
      </w:r>
      <w:r w:rsidR="00DC6772">
        <w:t xml:space="preserve">. </w:t>
      </w:r>
      <w:smartTag w:uri="urn:schemas-microsoft-com:office:smarttags" w:element="place">
        <w:smartTag w:uri="urn:schemas-microsoft-com:office:smarttags" w:element="country-region">
          <w:r w:rsidR="00700979">
            <w:t>Australia</w:t>
          </w:r>
        </w:smartTag>
      </w:smartTag>
      <w:r w:rsidR="00700979">
        <w:t xml:space="preserve"> </w:t>
      </w:r>
      <w:r>
        <w:t>also funded training and facilities to foster an independent media</w:t>
      </w:r>
      <w:r w:rsidRPr="00E012D5">
        <w:t xml:space="preserve"> </w:t>
      </w:r>
      <w:r>
        <w:t>through the International Centre for Journalism.</w:t>
      </w:r>
    </w:p>
    <w:p w:rsidR="00BC2AF7" w:rsidRDefault="00BC2AF7" w:rsidP="00900AA5">
      <w:pPr>
        <w:pStyle w:val="H3B"/>
      </w:pPr>
      <w:bookmarkStart w:id="23" w:name="_Toc360704640"/>
      <w:bookmarkStart w:id="24" w:name="_Toc360709794"/>
      <w:r>
        <w:t xml:space="preserve">Sector: Community </w:t>
      </w:r>
      <w:r w:rsidR="000E3756">
        <w:t>s</w:t>
      </w:r>
      <w:r>
        <w:t>afety</w:t>
      </w:r>
      <w:bookmarkEnd w:id="23"/>
      <w:bookmarkEnd w:id="24"/>
    </w:p>
    <w:p w:rsidR="00BC2AF7" w:rsidRPr="00707AD5" w:rsidRDefault="00BC2AF7" w:rsidP="00593060">
      <w:pPr>
        <w:pStyle w:val="BodyText"/>
      </w:pPr>
      <w:r w:rsidRPr="00707AD5">
        <w:t>Timor-Leste is vulnerable to natural disasters and civil unrest</w:t>
      </w:r>
      <w:r w:rsidR="00DC6772">
        <w:t xml:space="preserve">. </w:t>
      </w:r>
      <w:smartTag w:uri="urn:schemas-microsoft-com:office:smarttags" w:element="place">
        <w:smartTag w:uri="urn:schemas-microsoft-com:office:smarttags" w:element="country-region">
          <w:r w:rsidRPr="00707AD5">
            <w:t>Australia</w:t>
          </w:r>
        </w:smartTag>
      </w:smartTag>
      <w:r w:rsidRPr="00707AD5">
        <w:t xml:space="preserve"> is the leading bilateral donor supporting the government’s efforts to address the</w:t>
      </w:r>
      <w:r w:rsidR="000E3756">
        <w:t xml:space="preserve"> country’s</w:t>
      </w:r>
      <w:r w:rsidRPr="00707AD5">
        <w:t xml:space="preserve"> ongoing humanitarian needs and </w:t>
      </w:r>
      <w:r w:rsidR="000E3756">
        <w:t xml:space="preserve">help it to </w:t>
      </w:r>
      <w:r w:rsidRPr="00707AD5">
        <w:t>prepare for future emergencies</w:t>
      </w:r>
      <w:r w:rsidR="00DC6772">
        <w:t xml:space="preserve">. </w:t>
      </w:r>
      <w:r w:rsidRPr="00707AD5">
        <w:t>Despite warnings that resettling the 150</w:t>
      </w:r>
      <w:r w:rsidR="000E3756">
        <w:t> </w:t>
      </w:r>
      <w:r w:rsidRPr="00707AD5">
        <w:t xml:space="preserve">000 people displaced during the </w:t>
      </w:r>
      <w:r w:rsidRPr="00700979">
        <w:t xml:space="preserve">2006 </w:t>
      </w:r>
      <w:r w:rsidR="00700979" w:rsidRPr="00700979">
        <w:t xml:space="preserve">domestic </w:t>
      </w:r>
      <w:r w:rsidRPr="00700979">
        <w:t>crisis</w:t>
      </w:r>
      <w:r w:rsidRPr="00707AD5">
        <w:t xml:space="preserve"> would take a decade, the government </w:t>
      </w:r>
      <w:r w:rsidR="000E3756">
        <w:t>had closed</w:t>
      </w:r>
      <w:r w:rsidRPr="00707AD5">
        <w:t xml:space="preserve"> 54 </w:t>
      </w:r>
      <w:r w:rsidR="00B54E9C">
        <w:t>internally displaced persons</w:t>
      </w:r>
      <w:r w:rsidRPr="00707AD5">
        <w:t xml:space="preserve"> camps by July 2009</w:t>
      </w:r>
      <w:r w:rsidR="00DC6772">
        <w:t xml:space="preserve">. </w:t>
      </w:r>
      <w:r w:rsidRPr="00707AD5">
        <w:t xml:space="preserve">Australian support for </w:t>
      </w:r>
      <w:r w:rsidR="00132D55">
        <w:t>discussion</w:t>
      </w:r>
      <w:r w:rsidR="00132D55" w:rsidRPr="00707AD5">
        <w:t xml:space="preserve"> </w:t>
      </w:r>
      <w:r w:rsidRPr="00707AD5">
        <w:t xml:space="preserve">and mediation </w:t>
      </w:r>
      <w:r w:rsidR="00865731">
        <w:t>processes helped</w:t>
      </w:r>
      <w:r w:rsidRPr="00707AD5">
        <w:t xml:space="preserve"> around 11</w:t>
      </w:r>
      <w:r w:rsidR="00132D55">
        <w:t> </w:t>
      </w:r>
      <w:r w:rsidRPr="00707AD5">
        <w:t>000 Timorese resolve tensions in their communities and enabled 300</w:t>
      </w:r>
      <w:r w:rsidR="00132D55">
        <w:t> </w:t>
      </w:r>
      <w:r w:rsidRPr="00707AD5">
        <w:t>families to return home.</w:t>
      </w:r>
      <w:r w:rsidRPr="00132D55">
        <w:rPr>
          <w:rStyle w:val="FootnoteReference"/>
          <w:rFonts w:ascii="Georgia" w:hAnsi="Georgia"/>
          <w:sz w:val="17"/>
          <w:szCs w:val="17"/>
          <w:vertAlign w:val="superscript"/>
        </w:rPr>
        <w:footnoteReference w:id="7"/>
      </w:r>
      <w:r w:rsidRPr="00707AD5">
        <w:t xml:space="preserve"> We continue to support national district and </w:t>
      </w:r>
      <w:proofErr w:type="spellStart"/>
      <w:r w:rsidRPr="00707AD5">
        <w:t>suco</w:t>
      </w:r>
      <w:proofErr w:type="spellEnd"/>
      <w:r w:rsidRPr="00707AD5">
        <w:t xml:space="preserve"> emergency planning and response capacities and have strengthened logistics and administrative systems in the National Disaster Management Directorate</w:t>
      </w:r>
      <w:r w:rsidR="00DC6772">
        <w:t xml:space="preserve">. </w:t>
      </w:r>
    </w:p>
    <w:p w:rsidR="00BC2AF7" w:rsidRPr="00707AD5" w:rsidRDefault="00BC2AF7" w:rsidP="00593060">
      <w:pPr>
        <w:pStyle w:val="BodyText"/>
      </w:pPr>
      <w:r w:rsidRPr="00707AD5">
        <w:t>Violence against women is endemic in Timor-Leste</w:t>
      </w:r>
      <w:r w:rsidR="00DC6772">
        <w:t xml:space="preserve">. </w:t>
      </w:r>
      <w:r w:rsidRPr="00707AD5">
        <w:t xml:space="preserve">In July, a new grant-fund mechanism, </w:t>
      </w:r>
      <w:proofErr w:type="spellStart"/>
      <w:r w:rsidRPr="00707AD5">
        <w:rPr>
          <w:i/>
        </w:rPr>
        <w:t>Serbisu</w:t>
      </w:r>
      <w:proofErr w:type="spellEnd"/>
      <w:r w:rsidRPr="00707AD5">
        <w:rPr>
          <w:i/>
        </w:rPr>
        <w:t xml:space="preserve"> </w:t>
      </w:r>
      <w:proofErr w:type="spellStart"/>
      <w:r w:rsidRPr="00707AD5">
        <w:rPr>
          <w:i/>
        </w:rPr>
        <w:t>ba</w:t>
      </w:r>
      <w:proofErr w:type="spellEnd"/>
      <w:r w:rsidRPr="00707AD5">
        <w:rPr>
          <w:i/>
        </w:rPr>
        <w:t xml:space="preserve"> </w:t>
      </w:r>
      <w:proofErr w:type="spellStart"/>
      <w:r w:rsidRPr="00707AD5">
        <w:rPr>
          <w:i/>
        </w:rPr>
        <w:t>Justic</w:t>
      </w:r>
      <w:proofErr w:type="spellEnd"/>
      <w:r w:rsidRPr="00707AD5">
        <w:t xml:space="preserve">’, was established under </w:t>
      </w:r>
      <w:smartTag w:uri="urn:schemas-microsoft-com:office:smarttags" w:element="place">
        <w:smartTag w:uri="urn:schemas-microsoft-com:office:smarttags" w:element="country-region">
          <w:r w:rsidRPr="00707AD5">
            <w:t>Australia</w:t>
          </w:r>
        </w:smartTag>
      </w:smartTag>
      <w:r w:rsidRPr="00707AD5">
        <w:t xml:space="preserve">’s bilateral Justice Sector Support Facility to enable civil society to improve community-based access to justice, with a focus on reducing violence against women and girls in rural areas. </w:t>
      </w:r>
      <w:r w:rsidR="00700979">
        <w:t>Australian f</w:t>
      </w:r>
      <w:r w:rsidRPr="00707AD5">
        <w:t xml:space="preserve">unding of around </w:t>
      </w:r>
      <w:r w:rsidRPr="00865731">
        <w:t>$750</w:t>
      </w:r>
      <w:r w:rsidR="000E3756" w:rsidRPr="00865731">
        <w:t> </w:t>
      </w:r>
      <w:r w:rsidRPr="00865731">
        <w:t>000 has no</w:t>
      </w:r>
      <w:r w:rsidRPr="00707AD5">
        <w:t>w been disbursed to enable 13</w:t>
      </w:r>
      <w:r w:rsidR="000E3756">
        <w:t> </w:t>
      </w:r>
      <w:r w:rsidRPr="00707AD5">
        <w:t>NGOs to provide these services from 2010.</w:t>
      </w:r>
    </w:p>
    <w:p w:rsidR="00BC2AF7" w:rsidRPr="00707AD5" w:rsidRDefault="00BC2AF7" w:rsidP="00593060">
      <w:pPr>
        <w:pStyle w:val="BodyText"/>
      </w:pPr>
      <w:r w:rsidRPr="00707AD5">
        <w:t xml:space="preserve">Australia also played a critical role in the development of the government’s inaugural Justice Sector Strategic Plan; provided critical support for </w:t>
      </w:r>
      <w:r w:rsidR="00865731">
        <w:t xml:space="preserve">the formulation and execution of the </w:t>
      </w:r>
      <w:r w:rsidRPr="00707AD5">
        <w:t>budget in the Ministry of Justice; and support</w:t>
      </w:r>
      <w:r w:rsidR="00865731">
        <w:t>ed</w:t>
      </w:r>
      <w:r w:rsidRPr="00707AD5">
        <w:t xml:space="preserve"> restructure and institutional planning processes in the Office of the Prosecutor-General</w:t>
      </w:r>
      <w:r w:rsidR="00DC6772">
        <w:t xml:space="preserve">. </w:t>
      </w:r>
    </w:p>
    <w:p w:rsidR="00BC2AF7" w:rsidRDefault="00BC2AF7" w:rsidP="00900AA5">
      <w:pPr>
        <w:pStyle w:val="H3B"/>
      </w:pPr>
      <w:bookmarkStart w:id="25" w:name="_Toc360704641"/>
      <w:bookmarkStart w:id="26" w:name="_Toc360709795"/>
      <w:r>
        <w:t xml:space="preserve">Sector: Policing </w:t>
      </w:r>
      <w:r w:rsidR="000E3756">
        <w:t>c</w:t>
      </w:r>
      <w:r>
        <w:t>apacity</w:t>
      </w:r>
      <w:bookmarkEnd w:id="25"/>
      <w:bookmarkEnd w:id="26"/>
    </w:p>
    <w:p w:rsidR="00BC2AF7" w:rsidRDefault="00BC2AF7" w:rsidP="00593060">
      <w:pPr>
        <w:pStyle w:val="ListBullet"/>
        <w:numPr>
          <w:ilvl w:val="0"/>
          <w:numId w:val="0"/>
        </w:numPr>
      </w:pPr>
      <w:r>
        <w:t>The Australian Federal Police</w:t>
      </w:r>
      <w:r w:rsidR="000E3756">
        <w:t>,</w:t>
      </w:r>
      <w:r>
        <w:t xml:space="preserve"> through the Timor-Leste Police Development Program</w:t>
      </w:r>
      <w:r w:rsidR="000E3756">
        <w:t>,</w:t>
      </w:r>
      <w:r>
        <w:t xml:space="preserve"> has </w:t>
      </w:r>
      <w:r w:rsidR="00865731">
        <w:t>helped</w:t>
      </w:r>
      <w:r>
        <w:t xml:space="preserve"> the </w:t>
      </w:r>
      <w:proofErr w:type="spellStart"/>
      <w:r w:rsidRPr="004370F2">
        <w:rPr>
          <w:i/>
        </w:rPr>
        <w:t>Policia</w:t>
      </w:r>
      <w:proofErr w:type="spellEnd"/>
      <w:r w:rsidRPr="004370F2">
        <w:rPr>
          <w:i/>
        </w:rPr>
        <w:t xml:space="preserve"> </w:t>
      </w:r>
      <w:proofErr w:type="spellStart"/>
      <w:r w:rsidRPr="004370F2">
        <w:rPr>
          <w:i/>
        </w:rPr>
        <w:t>Nacional</w:t>
      </w:r>
      <w:proofErr w:type="spellEnd"/>
      <w:r w:rsidRPr="004370F2">
        <w:rPr>
          <w:i/>
        </w:rPr>
        <w:t xml:space="preserve"> de Timor-Leste</w:t>
      </w:r>
      <w:r>
        <w:t xml:space="preserve"> (PNTL) build the foundations of a more effective and accountable police service. Although the PNTL is a more robust institution now than it was </w:t>
      </w:r>
      <w:r w:rsidR="00700979">
        <w:t xml:space="preserve">in </w:t>
      </w:r>
      <w:r>
        <w:t xml:space="preserve">2006, </w:t>
      </w:r>
      <w:r w:rsidR="00751420">
        <w:t xml:space="preserve">it </w:t>
      </w:r>
      <w:r w:rsidR="00865731">
        <w:t xml:space="preserve">remains </w:t>
      </w:r>
      <w:r w:rsidR="00751420">
        <w:t xml:space="preserve">important to continue building </w:t>
      </w:r>
      <w:r>
        <w:t xml:space="preserve">a strong </w:t>
      </w:r>
      <w:proofErr w:type="spellStart"/>
      <w:r w:rsidRPr="00865731">
        <w:t>espirit</w:t>
      </w:r>
      <w:proofErr w:type="spellEnd"/>
      <w:r w:rsidRPr="00865731">
        <w:t xml:space="preserve"> de corps</w:t>
      </w:r>
      <w:r>
        <w:t xml:space="preserve"> and a shared set of common values</w:t>
      </w:r>
      <w:r w:rsidR="00751420">
        <w:t xml:space="preserve"> among</w:t>
      </w:r>
      <w:r w:rsidR="004370F2">
        <w:t xml:space="preserve"> police</w:t>
      </w:r>
      <w:r w:rsidR="00751420">
        <w:t xml:space="preserve"> officers</w:t>
      </w:r>
      <w:r>
        <w:t xml:space="preserve">. The </w:t>
      </w:r>
      <w:r w:rsidR="00751420">
        <w:t xml:space="preserve">PNTL is </w:t>
      </w:r>
      <w:r>
        <w:t>legal</w:t>
      </w:r>
      <w:r w:rsidR="00751420">
        <w:t>ly</w:t>
      </w:r>
      <w:r>
        <w:t xml:space="preserve"> </w:t>
      </w:r>
      <w:r w:rsidR="00751420">
        <w:t xml:space="preserve">committed </w:t>
      </w:r>
      <w:r>
        <w:t xml:space="preserve">to a community-based model of policing </w:t>
      </w:r>
      <w:r w:rsidR="00751420">
        <w:t>but current arrangements often seem more p</w:t>
      </w:r>
      <w:r>
        <w:t xml:space="preserve">aramilitary </w:t>
      </w:r>
      <w:r w:rsidR="00751420">
        <w:t>in approach</w:t>
      </w:r>
      <w:r>
        <w:t xml:space="preserve">. </w:t>
      </w:r>
      <w:r>
        <w:lastRenderedPageBreak/>
        <w:t>Strengthening discipline, accountability and management in the PNTL remain</w:t>
      </w:r>
      <w:r w:rsidR="00751420">
        <w:t xml:space="preserve">s a priority, and </w:t>
      </w:r>
      <w:r>
        <w:t xml:space="preserve">will take considerable time and continued attention. </w:t>
      </w:r>
    </w:p>
    <w:p w:rsidR="00BC2AF7" w:rsidRDefault="00700979" w:rsidP="00593060">
      <w:pPr>
        <w:pStyle w:val="ListBullet"/>
        <w:numPr>
          <w:ilvl w:val="0"/>
          <w:numId w:val="0"/>
        </w:numPr>
      </w:pPr>
      <w:r>
        <w:t xml:space="preserve">In 2009, </w:t>
      </w:r>
      <w:smartTag w:uri="urn:schemas-microsoft-com:office:smarttags" w:element="place">
        <w:smartTag w:uri="urn:schemas-microsoft-com:office:smarttags" w:element="country-region">
          <w:r w:rsidR="00BC2AF7">
            <w:t>Australia</w:t>
          </w:r>
        </w:smartTag>
      </w:smartTag>
      <w:r w:rsidR="00BC2AF7">
        <w:t xml:space="preserve"> provided training to PNTL officers across a wide range of functional areas including leadership development, project management, investigations, criminal intelligence, computer-based training and criminal procedure code. PNTL members have</w:t>
      </w:r>
      <w:r w:rsidR="004370F2">
        <w:t xml:space="preserve"> since</w:t>
      </w:r>
      <w:r w:rsidR="00BC2AF7">
        <w:t xml:space="preserve"> taken ownership of strategies and methodologies previously unfamiliar to them.</w:t>
      </w:r>
    </w:p>
    <w:p w:rsidR="00BC2AF7" w:rsidRDefault="004370F2" w:rsidP="00593060">
      <w:pPr>
        <w:pStyle w:val="ListBullet"/>
        <w:numPr>
          <w:ilvl w:val="0"/>
          <w:numId w:val="0"/>
        </w:numPr>
      </w:pPr>
      <w:r>
        <w:t xml:space="preserve">The </w:t>
      </w:r>
      <w:r w:rsidR="00BC2AF7">
        <w:t>PNTL has reassumed primary policing responsibility from the United Nations Police in four</w:t>
      </w:r>
      <w:r w:rsidR="00132D55">
        <w:t> </w:t>
      </w:r>
      <w:r w:rsidR="00BC2AF7">
        <w:t xml:space="preserve">districts and three units, with the expectation that the majority of the remaining nine districts and </w:t>
      </w:r>
      <w:r w:rsidR="000E3756">
        <w:t xml:space="preserve">10 </w:t>
      </w:r>
      <w:r w:rsidR="00BC2AF7">
        <w:t>units will be completed by the end of 2010. The security situation remains calm in the transferred districts.</w:t>
      </w:r>
    </w:p>
    <w:p w:rsidR="00BC2AF7" w:rsidRDefault="00BC2AF7" w:rsidP="00593060">
      <w:pPr>
        <w:pStyle w:val="ListBullet"/>
        <w:numPr>
          <w:ilvl w:val="0"/>
          <w:numId w:val="0"/>
        </w:numPr>
      </w:pPr>
      <w:r>
        <w:t>A new merit-based promotions system</w:t>
      </w:r>
      <w:r w:rsidR="000E3756">
        <w:t xml:space="preserve"> </w:t>
      </w:r>
      <w:r w:rsidR="0082365E">
        <w:t xml:space="preserve">has been </w:t>
      </w:r>
      <w:r>
        <w:t xml:space="preserve">developed and implemented. </w:t>
      </w:r>
      <w:smartTag w:uri="urn:schemas-microsoft-com:office:smarttags" w:element="country-region">
        <w:r>
          <w:t>Australia</w:t>
        </w:r>
      </w:smartTag>
      <w:r>
        <w:t xml:space="preserve"> participated with </w:t>
      </w:r>
      <w:smartTag w:uri="urn:schemas-microsoft-com:office:smarttags" w:element="country-region">
        <w:r>
          <w:t>Portugal</w:t>
        </w:r>
      </w:smartTag>
      <w:r>
        <w:t xml:space="preserve">, </w:t>
      </w:r>
      <w:smartTag w:uri="urn:schemas-microsoft-com:office:smarttags" w:element="country-region">
        <w:r>
          <w:t>New Zealand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ountry-region">
          <w:r>
            <w:t>Singapore</w:t>
          </w:r>
        </w:smartTag>
      </w:smartTag>
      <w:r>
        <w:t xml:space="preserve"> and Timorese government representatives in selecting officers to staff the new ranks. New laws have been passed </w:t>
      </w:r>
      <w:r w:rsidR="0016636D">
        <w:t xml:space="preserve">to </w:t>
      </w:r>
      <w:r>
        <w:t xml:space="preserve">delimit the relationship between </w:t>
      </w:r>
      <w:r w:rsidR="004370F2">
        <w:t xml:space="preserve">the </w:t>
      </w:r>
      <w:r>
        <w:t xml:space="preserve">PNTL and </w:t>
      </w:r>
      <w:r w:rsidR="004370F2">
        <w:t xml:space="preserve">the </w:t>
      </w:r>
      <w:proofErr w:type="spellStart"/>
      <w:r w:rsidR="004370F2" w:rsidRPr="004370F2">
        <w:rPr>
          <w:i/>
        </w:rPr>
        <w:t>Falintil-Forças</w:t>
      </w:r>
      <w:proofErr w:type="spellEnd"/>
      <w:r w:rsidR="004370F2" w:rsidRPr="004370F2">
        <w:rPr>
          <w:i/>
        </w:rPr>
        <w:t xml:space="preserve"> de </w:t>
      </w:r>
      <w:proofErr w:type="spellStart"/>
      <w:r w:rsidR="004370F2" w:rsidRPr="004370F2">
        <w:rPr>
          <w:i/>
        </w:rPr>
        <w:t>Defesa</w:t>
      </w:r>
      <w:proofErr w:type="spellEnd"/>
      <w:r w:rsidR="004370F2" w:rsidRPr="004370F2">
        <w:rPr>
          <w:i/>
        </w:rPr>
        <w:t xml:space="preserve"> de Timor </w:t>
      </w:r>
      <w:proofErr w:type="spellStart"/>
      <w:r w:rsidR="004370F2" w:rsidRPr="004370F2">
        <w:rPr>
          <w:i/>
        </w:rPr>
        <w:t>Leste</w:t>
      </w:r>
      <w:proofErr w:type="spellEnd"/>
      <w:r w:rsidR="004370F2">
        <w:rPr>
          <w:rFonts w:ascii="Arial" w:hAnsi="Arial" w:cs="Arial"/>
          <w:color w:val="000000"/>
          <w:lang w:val="en"/>
        </w:rPr>
        <w:t xml:space="preserve"> </w:t>
      </w:r>
      <w:r w:rsidR="004370F2" w:rsidRPr="004370F2">
        <w:t>(</w:t>
      </w:r>
      <w:r w:rsidR="00A17983">
        <w:t>the Army of Timor-Leste</w:t>
      </w:r>
      <w:r w:rsidR="004370F2" w:rsidRPr="004370F2">
        <w:t>)</w:t>
      </w:r>
      <w:r w:rsidRPr="004370F2">
        <w:t>,</w:t>
      </w:r>
      <w:r>
        <w:t xml:space="preserve"> and a National Security Policy setting out security challenges and responses is now awaiting approval from the Council of Ministers and Parliament.</w:t>
      </w:r>
    </w:p>
    <w:p w:rsidR="00BC2AF7" w:rsidRDefault="00716A79" w:rsidP="00900AA5">
      <w:pPr>
        <w:pStyle w:val="H2A"/>
      </w:pPr>
      <w:bookmarkStart w:id="27" w:name="_Toc360704642"/>
      <w:bookmarkStart w:id="28" w:name="_Toc360709796"/>
      <w:r>
        <w:t>Agreed actions</w:t>
      </w:r>
      <w:bookmarkEnd w:id="27"/>
      <w:bookmarkEnd w:id="28"/>
    </w:p>
    <w:p w:rsidR="00126E78" w:rsidRPr="00EA3BBB" w:rsidRDefault="00126E78" w:rsidP="00593060">
      <w:pPr>
        <w:pStyle w:val="Caption"/>
        <w:rPr>
          <w:rFonts w:ascii="Georgia" w:hAnsi="Georgia"/>
          <w:color w:val="auto"/>
        </w:rPr>
      </w:pPr>
      <w:r w:rsidRPr="00EA3BBB">
        <w:rPr>
          <w:rFonts w:ascii="Georgia" w:hAnsi="Georgia"/>
          <w:color w:val="auto"/>
        </w:rPr>
        <w:t xml:space="preserve">AusAID and the Government of Timor-Leste will develop options </w:t>
      </w:r>
      <w:r w:rsidR="0016636D">
        <w:rPr>
          <w:rFonts w:ascii="Georgia" w:hAnsi="Georgia"/>
          <w:color w:val="auto"/>
        </w:rPr>
        <w:t>for</w:t>
      </w:r>
      <w:r w:rsidR="0016636D" w:rsidRPr="00EA3BBB">
        <w:rPr>
          <w:rFonts w:ascii="Georgia" w:hAnsi="Georgia"/>
          <w:color w:val="auto"/>
        </w:rPr>
        <w:t xml:space="preserve"> </w:t>
      </w:r>
      <w:r w:rsidRPr="00EA3BBB">
        <w:rPr>
          <w:rFonts w:ascii="Georgia" w:hAnsi="Georgia"/>
          <w:color w:val="auto"/>
        </w:rPr>
        <w:t>engag</w:t>
      </w:r>
      <w:r w:rsidR="0016636D">
        <w:rPr>
          <w:rFonts w:ascii="Georgia" w:hAnsi="Georgia"/>
          <w:color w:val="auto"/>
        </w:rPr>
        <w:t>ing</w:t>
      </w:r>
      <w:r w:rsidRPr="00EA3BBB">
        <w:rPr>
          <w:rFonts w:ascii="Georgia" w:hAnsi="Georgia"/>
          <w:color w:val="auto"/>
        </w:rPr>
        <w:t xml:space="preserve"> on policy and program management issues.</w:t>
      </w:r>
    </w:p>
    <w:p w:rsidR="00126E78" w:rsidRDefault="00AE77B2" w:rsidP="00593060">
      <w:pPr>
        <w:pStyle w:val="BodyText"/>
      </w:pPr>
      <w:r>
        <w:t>AusAID</w:t>
      </w:r>
      <w:r w:rsidR="00126E78">
        <w:t xml:space="preserve"> will work with </w:t>
      </w:r>
      <w:r w:rsidR="0016636D">
        <w:t xml:space="preserve">the </w:t>
      </w:r>
      <w:r w:rsidR="000E3756">
        <w:t>g</w:t>
      </w:r>
      <w:r w:rsidR="00126E78">
        <w:t>overnment and World Bank to review and</w:t>
      </w:r>
      <w:r w:rsidR="004901DD">
        <w:t>,</w:t>
      </w:r>
      <w:r w:rsidR="00126E78">
        <w:t xml:space="preserve"> if </w:t>
      </w:r>
      <w:r w:rsidR="004901DD">
        <w:t xml:space="preserve">necessary, </w:t>
      </w:r>
      <w:r w:rsidR="00126E78">
        <w:t xml:space="preserve">redesign the </w:t>
      </w:r>
      <w:r w:rsidR="004901DD" w:rsidRPr="00707AD5">
        <w:t>HSSP</w:t>
      </w:r>
      <w:r w:rsidR="004901DD">
        <w:rPr>
          <w:sz w:val="18"/>
          <w:szCs w:val="18"/>
        </w:rPr>
        <w:t>–</w:t>
      </w:r>
      <w:r w:rsidR="004901DD" w:rsidRPr="00707AD5">
        <w:t xml:space="preserve">SP </w:t>
      </w:r>
      <w:r w:rsidR="00126E78">
        <w:t>to ensure it meet</w:t>
      </w:r>
      <w:r w:rsidR="0082365E">
        <w:t>s</w:t>
      </w:r>
      <w:r w:rsidR="00126E78">
        <w:t xml:space="preserve"> the needs of the M</w:t>
      </w:r>
      <w:r w:rsidR="003A4475">
        <w:t>inistry of Health</w:t>
      </w:r>
      <w:r w:rsidR="00126E78">
        <w:t>, particularly in improving maternal and child health outcomes</w:t>
      </w:r>
      <w:r w:rsidR="00DC6772">
        <w:t xml:space="preserve">. </w:t>
      </w:r>
      <w:r w:rsidR="00126E78">
        <w:t>We will also work closely with the European</w:t>
      </w:r>
      <w:r w:rsidR="00132D55">
        <w:t> </w:t>
      </w:r>
      <w:r w:rsidR="00126E78">
        <w:t>Union to encourage joint investment in the</w:t>
      </w:r>
      <w:r w:rsidR="004901DD">
        <w:t xml:space="preserve"> health</w:t>
      </w:r>
      <w:r w:rsidR="00126E78">
        <w:t xml:space="preserve"> sector and explore options for supporting family planning through </w:t>
      </w:r>
      <w:r w:rsidR="004901DD">
        <w:t>NGOs</w:t>
      </w:r>
      <w:r w:rsidR="009249DA">
        <w:t xml:space="preserve"> and UN agencies.</w:t>
      </w:r>
    </w:p>
    <w:p w:rsidR="00126E78" w:rsidRDefault="00AE77B2" w:rsidP="00593060">
      <w:pPr>
        <w:pStyle w:val="BodyText"/>
      </w:pPr>
      <w:r>
        <w:t xml:space="preserve">AusAID will review its support for education to ensure that appropriate levels and types of assistance </w:t>
      </w:r>
      <w:r w:rsidR="0082365E">
        <w:t>will be</w:t>
      </w:r>
      <w:r>
        <w:t xml:space="preserve"> provided to the sector in future.</w:t>
      </w:r>
    </w:p>
    <w:p w:rsidR="00AE77B2" w:rsidRDefault="00AE77B2" w:rsidP="00593060">
      <w:pPr>
        <w:pStyle w:val="BodyText"/>
      </w:pPr>
      <w:r>
        <w:t>AusAID will review existing support for capacity building in the M</w:t>
      </w:r>
      <w:r w:rsidR="009C24D9">
        <w:t xml:space="preserve">inistry </w:t>
      </w:r>
      <w:r w:rsidR="004901DD">
        <w:t>o</w:t>
      </w:r>
      <w:r w:rsidR="009C24D9">
        <w:t xml:space="preserve">f </w:t>
      </w:r>
      <w:r w:rsidR="004901DD">
        <w:t>I</w:t>
      </w:r>
      <w:r w:rsidR="009C24D9">
        <w:t>nfrastructure</w:t>
      </w:r>
      <w:r>
        <w:t xml:space="preserve"> to ensure it is effective and well-targeted, and will negotiate an expansion of the Tim-Works program (into Tim-Roads)</w:t>
      </w:r>
      <w:r w:rsidR="0082365E">
        <w:t xml:space="preserve"> with the International Labour Organisation</w:t>
      </w:r>
      <w:r>
        <w:t>.</w:t>
      </w:r>
    </w:p>
    <w:p w:rsidR="00AE77B2" w:rsidRDefault="00AE77B2" w:rsidP="00593060">
      <w:pPr>
        <w:pStyle w:val="BodyText"/>
      </w:pPr>
      <w:smartTag w:uri="urn:schemas-microsoft-com:office:smarttags" w:element="country-region">
        <w:r>
          <w:t>Australia</w:t>
        </w:r>
      </w:smartTag>
      <w:r>
        <w:t xml:space="preserve"> will ensure that the M</w:t>
      </w:r>
      <w:r w:rsidR="00092990">
        <w:t>AF</w:t>
      </w:r>
      <w:r>
        <w:t xml:space="preserve"> is closely involved in the design and future management of the Seeds</w:t>
      </w:r>
      <w:r w:rsidR="00092990">
        <w:t> </w:t>
      </w:r>
      <w:r>
        <w:t>of</w:t>
      </w:r>
      <w:r w:rsidR="00092990">
        <w:t> </w:t>
      </w:r>
      <w:r>
        <w:t>Life</w:t>
      </w:r>
      <w:r w:rsidR="00092990">
        <w:t> </w:t>
      </w:r>
      <w:r>
        <w:t>3 program</w:t>
      </w:r>
      <w:r w:rsidR="0082365E">
        <w:t xml:space="preserve">, which </w:t>
      </w:r>
      <w:r w:rsidR="0082365E" w:rsidRPr="0082365E">
        <w:t xml:space="preserve">aims to improve food security in </w:t>
      </w:r>
      <w:smartTag w:uri="urn:schemas-microsoft-com:office:smarttags" w:element="place">
        <w:r w:rsidR="0082365E" w:rsidRPr="0082365E">
          <w:t>East Timor</w:t>
        </w:r>
      </w:smartTag>
      <w:r w:rsidR="0082365E" w:rsidRPr="0082365E">
        <w:t xml:space="preserve"> through increased productivity of food crops</w:t>
      </w:r>
      <w:r w:rsidR="0082365E">
        <w:t>.</w:t>
      </w:r>
    </w:p>
    <w:p w:rsidR="00AE77B2" w:rsidRDefault="00AE77B2" w:rsidP="00593060">
      <w:pPr>
        <w:pStyle w:val="BodyText"/>
      </w:pPr>
      <w:r>
        <w:t xml:space="preserve">AusAID will consult with key central </w:t>
      </w:r>
      <w:r w:rsidR="00132D55">
        <w:t>g</w:t>
      </w:r>
      <w:r>
        <w:t xml:space="preserve">overnment institutions in the continuing reform of the PSCDP and ensure that inputs </w:t>
      </w:r>
      <w:r w:rsidR="00F7019D">
        <w:t xml:space="preserve">centre </w:t>
      </w:r>
      <w:r w:rsidRPr="0016636D">
        <w:t>on i</w:t>
      </w:r>
      <w:r>
        <w:t xml:space="preserve">mproving </w:t>
      </w:r>
      <w:r w:rsidR="004901DD">
        <w:t>g</w:t>
      </w:r>
      <w:r>
        <w:t>overnment institutions, systems and processes.</w:t>
      </w:r>
    </w:p>
    <w:p w:rsidR="00AE77B2" w:rsidRDefault="00AE77B2" w:rsidP="00593060">
      <w:pPr>
        <w:pStyle w:val="BodyText"/>
      </w:pPr>
      <w:r>
        <w:t>AusAID will continue to support public financial management reform but will look</w:t>
      </w:r>
      <w:r w:rsidR="007F79C9">
        <w:t xml:space="preserve"> at</w:t>
      </w:r>
      <w:r>
        <w:t xml:space="preserve"> </w:t>
      </w:r>
      <w:r w:rsidR="0082365E">
        <w:t xml:space="preserve">better ways to deliver </w:t>
      </w:r>
      <w:r>
        <w:t>its support.</w:t>
      </w:r>
    </w:p>
    <w:p w:rsidR="00126E78" w:rsidRDefault="00AE77B2" w:rsidP="001848F4">
      <w:pPr>
        <w:pStyle w:val="BodyText"/>
      </w:pPr>
      <w:r>
        <w:t xml:space="preserve">AusAID will, in consultation with </w:t>
      </w:r>
      <w:r w:rsidR="004901DD">
        <w:t xml:space="preserve">the </w:t>
      </w:r>
      <w:r>
        <w:t>Go</w:t>
      </w:r>
      <w:r w:rsidR="004901DD">
        <w:t>vernment of Timor-Leste</w:t>
      </w:r>
      <w:r w:rsidR="007F79C9">
        <w:t>,</w:t>
      </w:r>
      <w:r w:rsidR="004901DD">
        <w:t xml:space="preserve"> </w:t>
      </w:r>
      <w:r>
        <w:t xml:space="preserve">reduce the use of technical assistance across the </w:t>
      </w:r>
      <w:r w:rsidR="007F79C9">
        <w:t xml:space="preserve">aid </w:t>
      </w:r>
      <w:r>
        <w:t>program.</w:t>
      </w:r>
    </w:p>
    <w:p w:rsidR="00BC2AF7" w:rsidRPr="00373D91" w:rsidRDefault="00BC2AF7" w:rsidP="00593060">
      <w:pPr>
        <w:pStyle w:val="Caption"/>
      </w:pPr>
      <w:r w:rsidRPr="006272D8">
        <w:rPr>
          <w:rFonts w:ascii="Georgia" w:hAnsi="Georgia"/>
        </w:rPr>
        <w:br w:type="page"/>
      </w:r>
      <w:r>
        <w:lastRenderedPageBreak/>
        <w:t xml:space="preserve">Progress against </w:t>
      </w:r>
      <w:r w:rsidR="007F79C9">
        <w:t xml:space="preserve">the management consequences identified in the </w:t>
      </w:r>
      <w:r w:rsidRPr="007F79C9">
        <w:t>2008 A</w:t>
      </w:r>
      <w:r w:rsidR="007F79C9" w:rsidRPr="007F79C9">
        <w:t>nnual Program Performance Report</w:t>
      </w:r>
      <w:r w:rsidRPr="007F79C9">
        <w:t xml:space="preserve"> </w:t>
      </w:r>
    </w:p>
    <w:tbl>
      <w:tblPr>
        <w:tblW w:w="7920" w:type="dxa"/>
        <w:tblInd w:w="57" w:type="dxa"/>
        <w:tblLook w:val="01E0" w:firstRow="1" w:lastRow="1" w:firstColumn="1" w:lastColumn="1" w:noHBand="0" w:noVBand="0"/>
      </w:tblPr>
      <w:tblGrid>
        <w:gridCol w:w="4394"/>
        <w:gridCol w:w="967"/>
        <w:gridCol w:w="2559"/>
      </w:tblGrid>
      <w:tr w:rsidR="00BC2AF7" w:rsidTr="00900AA5">
        <w:trPr>
          <w:cantSplit/>
          <w:tblHeader/>
        </w:trPr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C85B22" w:rsidRDefault="00BC2AF7" w:rsidP="00593060">
            <w:pPr>
              <w:pStyle w:val="TableTextColumnHeading"/>
              <w:rPr>
                <w:b/>
              </w:rPr>
            </w:pPr>
            <w:r w:rsidRPr="00C85B22">
              <w:rPr>
                <w:b/>
              </w:rPr>
              <w:t>Objectives</w:t>
            </w:r>
          </w:p>
        </w:tc>
        <w:tc>
          <w:tcPr>
            <w:tcW w:w="967" w:type="dxa"/>
            <w:tcBorders>
              <w:top w:val="single" w:sz="12" w:space="0" w:color="auto"/>
              <w:bottom w:val="single" w:sz="2" w:space="0" w:color="auto"/>
            </w:tcBorders>
          </w:tcPr>
          <w:p w:rsidR="00BC2AF7" w:rsidRDefault="00BC2AF7" w:rsidP="00593060">
            <w:pPr>
              <w:pStyle w:val="TableTextColumnHeading"/>
              <w:rPr>
                <w:b/>
              </w:rPr>
            </w:pPr>
            <w:r>
              <w:rPr>
                <w:b/>
              </w:rPr>
              <w:t>Progress</w:t>
            </w:r>
          </w:p>
        </w:tc>
        <w:tc>
          <w:tcPr>
            <w:tcW w:w="2559" w:type="dxa"/>
            <w:tcBorders>
              <w:top w:val="single" w:sz="1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C85B22" w:rsidRDefault="00BC2AF7" w:rsidP="00593060">
            <w:pPr>
              <w:pStyle w:val="TableTextColumnHeading"/>
              <w:rPr>
                <w:b/>
              </w:rPr>
            </w:pPr>
            <w:r>
              <w:rPr>
                <w:b/>
              </w:rPr>
              <w:t>Explanation</w:t>
            </w:r>
          </w:p>
        </w:tc>
      </w:tr>
      <w:tr w:rsidR="00BC2AF7" w:rsidTr="00900AA5">
        <w:trPr>
          <w:cantSplit/>
        </w:trPr>
        <w:tc>
          <w:tcPr>
            <w:tcW w:w="4394" w:type="dxa"/>
            <w:tcBorders>
              <w:top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9268A4" w:rsidRDefault="00BC2AF7" w:rsidP="00593060">
            <w:pPr>
              <w:pStyle w:val="TableTextEntries"/>
            </w:pPr>
            <w:r w:rsidRPr="009268A4">
              <w:t>Establish and institutionalise a new country strategy</w:t>
            </w:r>
            <w:r>
              <w:t xml:space="preserve"> in partnership with the Go</w:t>
            </w:r>
            <w:r w:rsidR="00132D55">
              <w:t>vernment of Timor-Leste</w:t>
            </w:r>
          </w:p>
        </w:tc>
        <w:tc>
          <w:tcPr>
            <w:tcW w:w="967" w:type="dxa"/>
            <w:tcBorders>
              <w:top w:val="single" w:sz="2" w:space="0" w:color="auto"/>
            </w:tcBorders>
            <w:vAlign w:val="center"/>
          </w:tcPr>
          <w:p w:rsidR="00BC2AF7" w:rsidRPr="00023925" w:rsidRDefault="00BC2AF7" w:rsidP="00593060">
            <w:pPr>
              <w:pStyle w:val="TableDataEntries"/>
              <w:jc w:val="left"/>
              <w:rPr>
                <w:color w:val="99CC00"/>
              </w:rPr>
            </w:pPr>
            <w:r w:rsidRPr="000C4C3C">
              <w:rPr>
                <w:color w:val="99CC00"/>
                <w:sz w:val="22"/>
                <w:szCs w:val="22"/>
              </w:rPr>
              <w:sym w:font="Webdings" w:char="F067"/>
            </w:r>
          </w:p>
        </w:tc>
        <w:tc>
          <w:tcPr>
            <w:tcW w:w="2559" w:type="dxa"/>
            <w:tcBorders>
              <w:top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9268A4" w:rsidRDefault="00BC2AF7" w:rsidP="00593060">
            <w:pPr>
              <w:pStyle w:val="TableTextEntries"/>
            </w:pPr>
            <w:r>
              <w:t xml:space="preserve">Achieved </w:t>
            </w:r>
          </w:p>
        </w:tc>
      </w:tr>
      <w:tr w:rsidR="00BC2AF7" w:rsidTr="00900AA5">
        <w:trPr>
          <w:cantSplit/>
        </w:trPr>
        <w:tc>
          <w:tcPr>
            <w:tcW w:w="43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9268A4" w:rsidRDefault="00BC2AF7" w:rsidP="00593060">
            <w:pPr>
              <w:pStyle w:val="TableTextEntries"/>
            </w:pPr>
            <w:r w:rsidRPr="009268A4">
              <w:t xml:space="preserve">Identify (as part of </w:t>
            </w:r>
            <w:r>
              <w:t xml:space="preserve">developing the </w:t>
            </w:r>
            <w:r w:rsidRPr="009268A4">
              <w:t>country strategy) th</w:t>
            </w:r>
            <w:r>
              <w:t>e</w:t>
            </w:r>
            <w:r w:rsidRPr="009268A4">
              <w:t xml:space="preserve"> areas in which the program may scale back or terminate activities</w:t>
            </w:r>
          </w:p>
        </w:tc>
        <w:tc>
          <w:tcPr>
            <w:tcW w:w="967" w:type="dxa"/>
          </w:tcPr>
          <w:p w:rsidR="00BC2AF7" w:rsidRDefault="00BC2AF7" w:rsidP="00593060">
            <w:pPr>
              <w:pStyle w:val="TableTextEntries"/>
            </w:pPr>
            <w:r w:rsidRPr="000C4C3C">
              <w:rPr>
                <w:color w:val="FFCC00"/>
                <w:sz w:val="22"/>
                <w:szCs w:val="22"/>
              </w:rPr>
              <w:sym w:font="Webdings" w:char="F067"/>
            </w:r>
          </w:p>
        </w:tc>
        <w:tc>
          <w:tcPr>
            <w:tcW w:w="2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69636D" w:rsidRDefault="00BC2AF7" w:rsidP="00593060">
            <w:pPr>
              <w:pStyle w:val="TableTextEntries"/>
            </w:pPr>
            <w:r>
              <w:t>The delivery strategies should play a role in this</w:t>
            </w:r>
          </w:p>
        </w:tc>
      </w:tr>
      <w:tr w:rsidR="00BC2AF7" w:rsidTr="00900AA5">
        <w:trPr>
          <w:cantSplit/>
        </w:trPr>
        <w:tc>
          <w:tcPr>
            <w:tcW w:w="43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9268A4" w:rsidRDefault="00BC2AF7" w:rsidP="00593060">
            <w:pPr>
              <w:pStyle w:val="TableTextEntries"/>
            </w:pPr>
            <w:r w:rsidRPr="009268A4">
              <w:t xml:space="preserve">Reduce </w:t>
            </w:r>
            <w:r>
              <w:t xml:space="preserve">the </w:t>
            </w:r>
            <w:r w:rsidRPr="009268A4">
              <w:t>number of initiatives</w:t>
            </w:r>
          </w:p>
        </w:tc>
        <w:tc>
          <w:tcPr>
            <w:tcW w:w="967" w:type="dxa"/>
            <w:vAlign w:val="center"/>
          </w:tcPr>
          <w:p w:rsidR="00BC2AF7" w:rsidRPr="00023925" w:rsidRDefault="00BC2AF7" w:rsidP="00593060">
            <w:pPr>
              <w:pStyle w:val="TableDataEntries"/>
              <w:jc w:val="left"/>
              <w:rPr>
                <w:color w:val="99CC00"/>
              </w:rPr>
            </w:pPr>
            <w:r w:rsidRPr="000C4C3C">
              <w:rPr>
                <w:color w:val="99CC00"/>
                <w:sz w:val="22"/>
                <w:szCs w:val="22"/>
              </w:rPr>
              <w:sym w:font="Webdings" w:char="F067"/>
            </w:r>
          </w:p>
        </w:tc>
        <w:tc>
          <w:tcPr>
            <w:tcW w:w="2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9268A4" w:rsidRDefault="00BC2AF7" w:rsidP="00593060">
            <w:pPr>
              <w:pStyle w:val="TableTextEntries"/>
            </w:pPr>
            <w:r>
              <w:t xml:space="preserve">Initiatives reduced </w:t>
            </w:r>
            <w:r w:rsidR="00132D55">
              <w:t>by 22</w:t>
            </w:r>
            <w:r w:rsidR="00780079">
              <w:t>%</w:t>
            </w:r>
            <w:r w:rsidR="00132D55">
              <w:t xml:space="preserve">, </w:t>
            </w:r>
            <w:r>
              <w:t>from 35 to 27)</w:t>
            </w:r>
          </w:p>
        </w:tc>
      </w:tr>
      <w:tr w:rsidR="00BC2AF7" w:rsidTr="00900AA5">
        <w:trPr>
          <w:cantSplit/>
        </w:trPr>
        <w:tc>
          <w:tcPr>
            <w:tcW w:w="43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9268A4" w:rsidRDefault="00BC2AF7" w:rsidP="00593060">
            <w:pPr>
              <w:pStyle w:val="TableTextEntries"/>
            </w:pPr>
            <w:r w:rsidRPr="009268A4">
              <w:t xml:space="preserve">Clarify management responsibilities between </w:t>
            </w:r>
            <w:smartTag w:uri="urn:schemas-microsoft-com:office:smarttags" w:element="place">
              <w:smartTag w:uri="urn:schemas-microsoft-com:office:smarttags" w:element="City">
                <w:r w:rsidR="0082365E">
                  <w:t>Canberra</w:t>
                </w:r>
              </w:smartTag>
            </w:smartTag>
            <w:r w:rsidR="0082365E">
              <w:t xml:space="preserve"> </w:t>
            </w:r>
            <w:r w:rsidRPr="009268A4">
              <w:t xml:space="preserve">and </w:t>
            </w:r>
            <w:proofErr w:type="spellStart"/>
            <w:r w:rsidR="0082365E">
              <w:t>Dili</w:t>
            </w:r>
            <w:proofErr w:type="spellEnd"/>
            <w:r w:rsidR="0082365E">
              <w:t>-based staff</w:t>
            </w:r>
          </w:p>
        </w:tc>
        <w:tc>
          <w:tcPr>
            <w:tcW w:w="967" w:type="dxa"/>
            <w:vAlign w:val="center"/>
          </w:tcPr>
          <w:p w:rsidR="00BC2AF7" w:rsidRDefault="00BC2AF7" w:rsidP="00593060">
            <w:pPr>
              <w:pStyle w:val="TableTextEntries"/>
            </w:pPr>
            <w:r w:rsidRPr="000C4C3C">
              <w:rPr>
                <w:color w:val="99CC00"/>
                <w:sz w:val="22"/>
                <w:szCs w:val="22"/>
              </w:rPr>
              <w:sym w:font="Webdings" w:char="F067"/>
            </w:r>
          </w:p>
        </w:tc>
        <w:tc>
          <w:tcPr>
            <w:tcW w:w="2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9268A4" w:rsidRDefault="00BC2AF7" w:rsidP="00593060">
            <w:pPr>
              <w:pStyle w:val="TableTextEntries"/>
            </w:pPr>
            <w:r>
              <w:t xml:space="preserve">Working levels are now effectively aligned with clear roles and responsibilities </w:t>
            </w:r>
            <w:proofErr w:type="spellStart"/>
            <w:r>
              <w:t>indentified</w:t>
            </w:r>
            <w:proofErr w:type="spellEnd"/>
            <w:r>
              <w:t>. Management roles clear</w:t>
            </w:r>
          </w:p>
        </w:tc>
      </w:tr>
      <w:tr w:rsidR="00BC2AF7" w:rsidTr="00900AA5">
        <w:trPr>
          <w:cantSplit/>
        </w:trPr>
        <w:tc>
          <w:tcPr>
            <w:tcW w:w="43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9268A4" w:rsidRDefault="00BC2AF7" w:rsidP="00593060">
            <w:pPr>
              <w:pStyle w:val="TableTextEntries"/>
            </w:pPr>
            <w:r w:rsidRPr="009268A4">
              <w:t xml:space="preserve">Review </w:t>
            </w:r>
            <w:r>
              <w:t xml:space="preserve">the </w:t>
            </w:r>
            <w:r w:rsidRPr="009268A4">
              <w:t xml:space="preserve">quality and practice of program policy </w:t>
            </w:r>
            <w:r w:rsidR="0082365E">
              <w:t>discussion</w:t>
            </w:r>
            <w:r w:rsidRPr="009268A4">
              <w:t xml:space="preserve">, including </w:t>
            </w:r>
            <w:r>
              <w:t>through</w:t>
            </w:r>
            <w:r w:rsidRPr="009268A4">
              <w:t xml:space="preserve"> </w:t>
            </w:r>
            <w:r>
              <w:t>technical assistance</w:t>
            </w:r>
          </w:p>
        </w:tc>
        <w:tc>
          <w:tcPr>
            <w:tcW w:w="967" w:type="dxa"/>
          </w:tcPr>
          <w:p w:rsidR="00BC2AF7" w:rsidRDefault="00BC2AF7" w:rsidP="00593060">
            <w:pPr>
              <w:pStyle w:val="TableTextEntries"/>
            </w:pPr>
            <w:r w:rsidRPr="000C4C3C">
              <w:rPr>
                <w:color w:val="FFCC00"/>
                <w:sz w:val="22"/>
                <w:szCs w:val="22"/>
              </w:rPr>
              <w:sym w:font="Webdings" w:char="F067"/>
            </w:r>
          </w:p>
        </w:tc>
        <w:tc>
          <w:tcPr>
            <w:tcW w:w="2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9268A4" w:rsidRDefault="00BC2AF7" w:rsidP="00593060">
            <w:pPr>
              <w:pStyle w:val="TableTextEntries"/>
            </w:pPr>
            <w:r>
              <w:t>Improved efforts in dialogue with major stakeholders</w:t>
            </w:r>
          </w:p>
        </w:tc>
      </w:tr>
      <w:tr w:rsidR="00BC2AF7" w:rsidTr="00900AA5">
        <w:trPr>
          <w:cantSplit/>
        </w:trPr>
        <w:tc>
          <w:tcPr>
            <w:tcW w:w="43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9268A4" w:rsidRDefault="00BC2AF7" w:rsidP="00593060">
            <w:pPr>
              <w:pStyle w:val="TableTextEntries"/>
            </w:pPr>
            <w:r w:rsidRPr="009268A4">
              <w:t>Strengthen deep knowledge of key</w:t>
            </w:r>
            <w:r>
              <w:t>-</w:t>
            </w:r>
            <w:r w:rsidRPr="009268A4">
              <w:t>sector and cross</w:t>
            </w:r>
            <w:r w:rsidR="00132D55">
              <w:t>-</w:t>
            </w:r>
            <w:r w:rsidRPr="009268A4">
              <w:t>sector</w:t>
            </w:r>
            <w:r w:rsidR="00132D55">
              <w:t> </w:t>
            </w:r>
            <w:r w:rsidRPr="009268A4">
              <w:t>areas</w:t>
            </w:r>
          </w:p>
        </w:tc>
        <w:tc>
          <w:tcPr>
            <w:tcW w:w="967" w:type="dxa"/>
            <w:vAlign w:val="center"/>
          </w:tcPr>
          <w:p w:rsidR="00BC2AF7" w:rsidRPr="00FD3D0A" w:rsidRDefault="00BC2AF7" w:rsidP="00593060">
            <w:pPr>
              <w:pStyle w:val="TableDataEntries"/>
              <w:jc w:val="left"/>
              <w:rPr>
                <w:color w:val="000000"/>
              </w:rPr>
            </w:pPr>
            <w:r w:rsidRPr="000C4C3C">
              <w:rPr>
                <w:color w:val="FFCC00"/>
                <w:sz w:val="22"/>
                <w:szCs w:val="22"/>
              </w:rPr>
              <w:sym w:font="Webdings" w:char="F067"/>
            </w:r>
          </w:p>
        </w:tc>
        <w:tc>
          <w:tcPr>
            <w:tcW w:w="2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9268A4" w:rsidRDefault="00BC2AF7" w:rsidP="00593060">
            <w:pPr>
              <w:pStyle w:val="TableTextEntries"/>
            </w:pPr>
            <w:r>
              <w:t>Some gender and macro-economic analysis undertaken; conflict and affordability of governance analysis postponed</w:t>
            </w:r>
          </w:p>
        </w:tc>
      </w:tr>
      <w:tr w:rsidR="00BC2AF7" w:rsidTr="00900AA5">
        <w:trPr>
          <w:cantSplit/>
        </w:trPr>
        <w:tc>
          <w:tcPr>
            <w:tcW w:w="43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9268A4" w:rsidRDefault="00BC2AF7" w:rsidP="00593060">
            <w:pPr>
              <w:pStyle w:val="TableTextEntries"/>
            </w:pPr>
            <w:r w:rsidRPr="009268A4">
              <w:t xml:space="preserve">Strengthen understanding of how capacity building can work in </w:t>
            </w:r>
            <w:r>
              <w:t>Timor-Leste</w:t>
            </w:r>
          </w:p>
        </w:tc>
        <w:tc>
          <w:tcPr>
            <w:tcW w:w="967" w:type="dxa"/>
            <w:vAlign w:val="center"/>
          </w:tcPr>
          <w:p w:rsidR="00BC2AF7" w:rsidRPr="00BF3B32" w:rsidRDefault="00BC2AF7" w:rsidP="00593060">
            <w:pPr>
              <w:pStyle w:val="TableDataEntries"/>
              <w:jc w:val="left"/>
              <w:rPr>
                <w:color w:val="FF0000"/>
              </w:rPr>
            </w:pPr>
            <w:r w:rsidRPr="000C4C3C">
              <w:rPr>
                <w:color w:val="FFCC00"/>
                <w:sz w:val="22"/>
                <w:szCs w:val="22"/>
              </w:rPr>
              <w:sym w:font="Webdings" w:char="F067"/>
            </w:r>
          </w:p>
        </w:tc>
        <w:tc>
          <w:tcPr>
            <w:tcW w:w="2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9268A4" w:rsidRDefault="00BC2AF7" w:rsidP="00593060">
            <w:pPr>
              <w:pStyle w:val="TableTextEntries"/>
            </w:pPr>
            <w:r>
              <w:t>Reorientation of major capacity development programs to increase emphasis on non-</w:t>
            </w:r>
            <w:r w:rsidR="00132D55">
              <w:t>technical assistance</w:t>
            </w:r>
            <w:r>
              <w:t xml:space="preserve"> approaches; review to follow </w:t>
            </w:r>
          </w:p>
        </w:tc>
      </w:tr>
      <w:tr w:rsidR="00BC2AF7" w:rsidTr="00900AA5">
        <w:trPr>
          <w:cantSplit/>
        </w:trPr>
        <w:tc>
          <w:tcPr>
            <w:tcW w:w="43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9268A4" w:rsidRDefault="00BC2AF7" w:rsidP="00593060">
            <w:pPr>
              <w:pStyle w:val="TableTextEntries"/>
            </w:pPr>
            <w:r w:rsidRPr="009268A4">
              <w:t>Strengthen policy dialogue capacity</w:t>
            </w:r>
          </w:p>
        </w:tc>
        <w:tc>
          <w:tcPr>
            <w:tcW w:w="967" w:type="dxa"/>
            <w:vAlign w:val="center"/>
          </w:tcPr>
          <w:p w:rsidR="00BC2AF7" w:rsidRDefault="00BC2AF7" w:rsidP="00593060">
            <w:pPr>
              <w:pStyle w:val="TableTextEntries"/>
            </w:pPr>
            <w:r w:rsidRPr="000C4C3C">
              <w:rPr>
                <w:color w:val="FFCC00"/>
                <w:sz w:val="22"/>
                <w:szCs w:val="22"/>
              </w:rPr>
              <w:sym w:font="Webdings" w:char="F067"/>
            </w:r>
          </w:p>
        </w:tc>
        <w:tc>
          <w:tcPr>
            <w:tcW w:w="2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9268A4" w:rsidRDefault="00BC2AF7" w:rsidP="00593060">
            <w:pPr>
              <w:pStyle w:val="TableTextEntries"/>
            </w:pPr>
            <w:r>
              <w:t>Policy dialogue strategy developed</w:t>
            </w:r>
          </w:p>
        </w:tc>
      </w:tr>
      <w:tr w:rsidR="00BC2AF7" w:rsidTr="00900AA5">
        <w:trPr>
          <w:cantSplit/>
        </w:trPr>
        <w:tc>
          <w:tcPr>
            <w:tcW w:w="43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9268A4" w:rsidRDefault="00BC2AF7" w:rsidP="00593060">
            <w:pPr>
              <w:pStyle w:val="TableTextEntries"/>
            </w:pPr>
            <w:r w:rsidRPr="009268A4">
              <w:t>Improve management of principal partnerships</w:t>
            </w:r>
          </w:p>
        </w:tc>
        <w:tc>
          <w:tcPr>
            <w:tcW w:w="967" w:type="dxa"/>
            <w:vAlign w:val="center"/>
          </w:tcPr>
          <w:p w:rsidR="00BC2AF7" w:rsidRDefault="00BC2AF7" w:rsidP="00593060">
            <w:pPr>
              <w:pStyle w:val="TableTextEntries"/>
            </w:pPr>
            <w:r w:rsidRPr="000C4C3C">
              <w:rPr>
                <w:color w:val="FFCC00"/>
                <w:sz w:val="22"/>
                <w:szCs w:val="22"/>
              </w:rPr>
              <w:sym w:font="Webdings" w:char="F067"/>
            </w:r>
          </w:p>
        </w:tc>
        <w:tc>
          <w:tcPr>
            <w:tcW w:w="2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9268A4" w:rsidRDefault="00BC2AF7" w:rsidP="00593060">
            <w:pPr>
              <w:pStyle w:val="TableTextEntries"/>
            </w:pPr>
            <w:r>
              <w:t xml:space="preserve">Partnership strategy developed </w:t>
            </w:r>
          </w:p>
        </w:tc>
      </w:tr>
      <w:tr w:rsidR="00BC2AF7" w:rsidTr="00900AA5">
        <w:trPr>
          <w:cantSplit/>
        </w:trPr>
        <w:tc>
          <w:tcPr>
            <w:tcW w:w="43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9268A4" w:rsidRDefault="00BC2AF7" w:rsidP="00593060">
            <w:pPr>
              <w:pStyle w:val="TableTextEntries"/>
            </w:pPr>
            <w:r w:rsidRPr="009268A4">
              <w:t>Strengthen performance orientation</w:t>
            </w:r>
          </w:p>
        </w:tc>
        <w:tc>
          <w:tcPr>
            <w:tcW w:w="967" w:type="dxa"/>
            <w:vAlign w:val="center"/>
          </w:tcPr>
          <w:p w:rsidR="00BC2AF7" w:rsidRPr="00023925" w:rsidRDefault="00BC2AF7" w:rsidP="00593060">
            <w:pPr>
              <w:pStyle w:val="TableDataEntries"/>
              <w:jc w:val="left"/>
              <w:rPr>
                <w:color w:val="99CC00"/>
              </w:rPr>
            </w:pPr>
            <w:r w:rsidRPr="000C4C3C">
              <w:rPr>
                <w:color w:val="99CC00"/>
                <w:sz w:val="22"/>
                <w:szCs w:val="22"/>
              </w:rPr>
              <w:sym w:font="Webdings" w:char="F067"/>
            </w:r>
          </w:p>
        </w:tc>
        <w:tc>
          <w:tcPr>
            <w:tcW w:w="2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9268A4" w:rsidRDefault="00BC2AF7" w:rsidP="00593060">
            <w:pPr>
              <w:pStyle w:val="TableTextEntries"/>
            </w:pPr>
            <w:r>
              <w:t>Review of performance orientation undertaken and staff capacity building training implemented</w:t>
            </w:r>
          </w:p>
        </w:tc>
      </w:tr>
      <w:tr w:rsidR="00BC2AF7" w:rsidTr="00900AA5">
        <w:trPr>
          <w:cantSplit/>
        </w:trPr>
        <w:tc>
          <w:tcPr>
            <w:tcW w:w="4394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9268A4" w:rsidRDefault="00BC2AF7" w:rsidP="00593060">
            <w:pPr>
              <w:pStyle w:val="TableTextEntries"/>
            </w:pPr>
            <w:r>
              <w:t>Plan to s</w:t>
            </w:r>
            <w:r w:rsidRPr="004C28F0">
              <w:t>trengthen public relations</w:t>
            </w:r>
          </w:p>
        </w:tc>
        <w:tc>
          <w:tcPr>
            <w:tcW w:w="967" w:type="dxa"/>
            <w:tcBorders>
              <w:bottom w:val="single" w:sz="12" w:space="0" w:color="auto"/>
            </w:tcBorders>
            <w:vAlign w:val="center"/>
          </w:tcPr>
          <w:p w:rsidR="00BC2AF7" w:rsidRDefault="00BC2AF7" w:rsidP="00593060">
            <w:pPr>
              <w:pStyle w:val="TableTextEntries"/>
            </w:pPr>
            <w:r w:rsidRPr="000C4C3C">
              <w:rPr>
                <w:color w:val="FFCC00"/>
                <w:sz w:val="22"/>
                <w:szCs w:val="22"/>
              </w:rPr>
              <w:sym w:font="Webdings" w:char="F067"/>
            </w:r>
          </w:p>
        </w:tc>
        <w:tc>
          <w:tcPr>
            <w:tcW w:w="2559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9268A4" w:rsidRDefault="00132D55" w:rsidP="00593060">
            <w:pPr>
              <w:pStyle w:val="TableTextEntries"/>
            </w:pPr>
            <w:r>
              <w:t>P</w:t>
            </w:r>
            <w:r w:rsidR="00BC2AF7">
              <w:t>ublic diplomacy plan introduced and implementation underway</w:t>
            </w:r>
          </w:p>
        </w:tc>
      </w:tr>
    </w:tbl>
    <w:p w:rsidR="00BC2AF7" w:rsidRDefault="00BC2AF7" w:rsidP="001848F4">
      <w:pPr>
        <w:pStyle w:val="Caption"/>
        <w:spacing w:before="480"/>
      </w:pPr>
      <w:r w:rsidRPr="00EE03B1">
        <w:t>Evaluations and reviews planned over the next 12 months</w:t>
      </w:r>
    </w:p>
    <w:tbl>
      <w:tblPr>
        <w:tblW w:w="0" w:type="auto"/>
        <w:tblInd w:w="57" w:type="dxa"/>
        <w:tblLook w:val="01E0" w:firstRow="1" w:lastRow="1" w:firstColumn="1" w:lastColumn="1" w:noHBand="0" w:noVBand="0"/>
      </w:tblPr>
      <w:tblGrid>
        <w:gridCol w:w="5076"/>
        <w:gridCol w:w="2805"/>
      </w:tblGrid>
      <w:tr w:rsidR="00BC2AF7" w:rsidTr="00900AA5">
        <w:trPr>
          <w:cantSplit/>
          <w:tblHeader/>
        </w:trPr>
        <w:tc>
          <w:tcPr>
            <w:tcW w:w="5114" w:type="dxa"/>
            <w:tcBorders>
              <w:top w:val="single" w:sz="1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C85B22" w:rsidRDefault="00BC2AF7" w:rsidP="00593060">
            <w:pPr>
              <w:pStyle w:val="TableTextColumnHeading"/>
              <w:rPr>
                <w:b/>
              </w:rPr>
            </w:pPr>
            <w:r w:rsidRPr="00C85B22">
              <w:rPr>
                <w:b/>
              </w:rPr>
              <w:t>Planned evaluations</w:t>
            </w:r>
          </w:p>
        </w:tc>
        <w:tc>
          <w:tcPr>
            <w:tcW w:w="2823" w:type="dxa"/>
            <w:tcBorders>
              <w:top w:val="single" w:sz="1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Pr="00C85B22" w:rsidRDefault="00BC2AF7" w:rsidP="00593060">
            <w:pPr>
              <w:pStyle w:val="TableTextColumnHeading"/>
              <w:rPr>
                <w:b/>
              </w:rPr>
            </w:pPr>
            <w:r w:rsidRPr="00C85B22">
              <w:rPr>
                <w:b/>
              </w:rPr>
              <w:t>Timeframe</w:t>
            </w:r>
          </w:p>
        </w:tc>
      </w:tr>
      <w:tr w:rsidR="00BC2AF7" w:rsidTr="00900AA5">
        <w:trPr>
          <w:cantSplit/>
        </w:trPr>
        <w:tc>
          <w:tcPr>
            <w:tcW w:w="5114" w:type="dxa"/>
            <w:tcBorders>
              <w:top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Default="00BC2AF7" w:rsidP="00593060">
            <w:pPr>
              <w:pStyle w:val="TableTextEntries"/>
            </w:pPr>
            <w:r>
              <w:t xml:space="preserve">Mid-term evaluation of Australia Timor-Leste Program of Assistance for Specialised Services </w:t>
            </w:r>
          </w:p>
        </w:tc>
        <w:tc>
          <w:tcPr>
            <w:tcW w:w="2823" w:type="dxa"/>
            <w:tcBorders>
              <w:top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Default="00BC2AF7" w:rsidP="00593060">
            <w:pPr>
              <w:pStyle w:val="TableTextEntries"/>
            </w:pPr>
            <w:r>
              <w:t>February 2010</w:t>
            </w:r>
          </w:p>
        </w:tc>
      </w:tr>
      <w:tr w:rsidR="00BC2AF7" w:rsidTr="00900AA5">
        <w:trPr>
          <w:cantSplit/>
        </w:trPr>
        <w:tc>
          <w:tcPr>
            <w:tcW w:w="51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Default="00BC2AF7" w:rsidP="00593060">
            <w:pPr>
              <w:pStyle w:val="TableTextEntries"/>
            </w:pPr>
            <w:r>
              <w:t xml:space="preserve">Mid-term evaluation of </w:t>
            </w:r>
            <w:r w:rsidR="0093096D">
              <w:t xml:space="preserve">the </w:t>
            </w:r>
            <w:r>
              <w:rPr>
                <w:spacing w:val="-2"/>
              </w:rPr>
              <w:t>Youth Employment Promotion Pro</w:t>
            </w:r>
            <w:r w:rsidR="0082365E">
              <w:rPr>
                <w:spacing w:val="-2"/>
              </w:rPr>
              <w:t>gram</w:t>
            </w:r>
          </w:p>
        </w:tc>
        <w:tc>
          <w:tcPr>
            <w:tcW w:w="28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Default="00BC2AF7" w:rsidP="00593060">
            <w:pPr>
              <w:pStyle w:val="TableTextEntries"/>
            </w:pPr>
            <w:r>
              <w:t>March 2010</w:t>
            </w:r>
          </w:p>
        </w:tc>
      </w:tr>
      <w:tr w:rsidR="00BC2AF7" w:rsidTr="00900AA5">
        <w:trPr>
          <w:cantSplit/>
        </w:trPr>
        <w:tc>
          <w:tcPr>
            <w:tcW w:w="51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Default="00BC2AF7" w:rsidP="00593060">
            <w:pPr>
              <w:pStyle w:val="TableTextEntries"/>
            </w:pPr>
            <w:r>
              <w:t>O</w:t>
            </w:r>
            <w:r w:rsidR="00132D55">
              <w:t>ffice of Development Effectiveness (AusAID)</w:t>
            </w:r>
            <w:r>
              <w:t xml:space="preserve"> </w:t>
            </w:r>
            <w:r w:rsidR="0093096D">
              <w:t>s</w:t>
            </w:r>
            <w:r>
              <w:t xml:space="preserve">trategic </w:t>
            </w:r>
            <w:r w:rsidR="0093096D">
              <w:t>e</w:t>
            </w:r>
            <w:r>
              <w:t xml:space="preserve">valuation of </w:t>
            </w:r>
            <w:r w:rsidR="0093096D">
              <w:t>r</w:t>
            </w:r>
            <w:r>
              <w:t xml:space="preserve">ural </w:t>
            </w:r>
            <w:r w:rsidR="0093096D">
              <w:t>d</w:t>
            </w:r>
            <w:r>
              <w:t>evelopment</w:t>
            </w:r>
          </w:p>
        </w:tc>
        <w:tc>
          <w:tcPr>
            <w:tcW w:w="28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Default="00BC2AF7" w:rsidP="00593060">
            <w:pPr>
              <w:pStyle w:val="TableTextEntries"/>
            </w:pPr>
            <w:r>
              <w:t>March 2010</w:t>
            </w:r>
          </w:p>
        </w:tc>
      </w:tr>
      <w:tr w:rsidR="00BC2AF7" w:rsidTr="00900AA5">
        <w:trPr>
          <w:cantSplit/>
        </w:trPr>
        <w:tc>
          <w:tcPr>
            <w:tcW w:w="51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Default="00BC2AF7" w:rsidP="00593060">
            <w:pPr>
              <w:pStyle w:val="TableTextEntries"/>
            </w:pPr>
            <w:r>
              <w:t xml:space="preserve">Mid-term evaluation of </w:t>
            </w:r>
            <w:r w:rsidR="0093096D">
              <w:t xml:space="preserve">the </w:t>
            </w:r>
            <w:r>
              <w:t>Rural Water Supply and Sanitation Pro</w:t>
            </w:r>
            <w:r w:rsidR="0082365E">
              <w:t>gram</w:t>
            </w:r>
            <w:r>
              <w:t xml:space="preserve"> </w:t>
            </w:r>
          </w:p>
        </w:tc>
        <w:tc>
          <w:tcPr>
            <w:tcW w:w="28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Default="00BC2AF7" w:rsidP="00593060">
            <w:pPr>
              <w:pStyle w:val="TableTextEntries"/>
            </w:pPr>
            <w:r>
              <w:t>April 2010</w:t>
            </w:r>
          </w:p>
        </w:tc>
      </w:tr>
      <w:tr w:rsidR="00BC2AF7" w:rsidTr="00900AA5">
        <w:trPr>
          <w:cantSplit/>
        </w:trPr>
        <w:tc>
          <w:tcPr>
            <w:tcW w:w="51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Default="00BC2AF7" w:rsidP="00593060">
            <w:pPr>
              <w:pStyle w:val="TableTextEntries"/>
            </w:pPr>
            <w:r>
              <w:t>Mid-term evaluation of A</w:t>
            </w:r>
            <w:r w:rsidR="001D1B26">
              <w:t>sian Development Bank</w:t>
            </w:r>
            <w:r>
              <w:t xml:space="preserve"> Infrastructure Technical Assistance </w:t>
            </w:r>
          </w:p>
        </w:tc>
        <w:tc>
          <w:tcPr>
            <w:tcW w:w="28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Default="00BC2AF7" w:rsidP="00593060">
            <w:pPr>
              <w:pStyle w:val="TableTextEntries"/>
            </w:pPr>
            <w:r>
              <w:t>May 2010</w:t>
            </w:r>
          </w:p>
        </w:tc>
      </w:tr>
      <w:tr w:rsidR="00BC2AF7" w:rsidTr="00900AA5">
        <w:trPr>
          <w:cantSplit/>
        </w:trPr>
        <w:tc>
          <w:tcPr>
            <w:tcW w:w="51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Default="00BC2AF7" w:rsidP="00593060">
            <w:pPr>
              <w:pStyle w:val="TableTextEntries"/>
            </w:pPr>
            <w:r>
              <w:t xml:space="preserve">Mid-term evaluation of </w:t>
            </w:r>
            <w:r w:rsidR="0093096D">
              <w:t xml:space="preserve">the </w:t>
            </w:r>
            <w:r>
              <w:t xml:space="preserve">Public Financial Management Capacity Development Program </w:t>
            </w:r>
          </w:p>
        </w:tc>
        <w:tc>
          <w:tcPr>
            <w:tcW w:w="28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Default="00BC2AF7" w:rsidP="00593060">
            <w:pPr>
              <w:pStyle w:val="TableTextEntries"/>
            </w:pPr>
            <w:r>
              <w:t>June 2010</w:t>
            </w:r>
          </w:p>
        </w:tc>
      </w:tr>
      <w:tr w:rsidR="00BC2AF7" w:rsidTr="00900AA5">
        <w:trPr>
          <w:cantSplit/>
        </w:trPr>
        <w:tc>
          <w:tcPr>
            <w:tcW w:w="51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Default="00BC2AF7" w:rsidP="00593060">
            <w:pPr>
              <w:pStyle w:val="TableTextEntries"/>
            </w:pPr>
            <w:r>
              <w:t xml:space="preserve">Mid-term evaluation </w:t>
            </w:r>
            <w:r w:rsidR="0093096D">
              <w:t xml:space="preserve">of the </w:t>
            </w:r>
            <w:r>
              <w:t xml:space="preserve">Health Sector Strategic Plan – Support </w:t>
            </w:r>
            <w:r w:rsidR="0082365E">
              <w:t xml:space="preserve">Program </w:t>
            </w:r>
          </w:p>
        </w:tc>
        <w:tc>
          <w:tcPr>
            <w:tcW w:w="28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Default="00BC2AF7" w:rsidP="00593060">
            <w:pPr>
              <w:pStyle w:val="TableTextEntries"/>
            </w:pPr>
            <w:r>
              <w:t>July 2010</w:t>
            </w:r>
          </w:p>
        </w:tc>
      </w:tr>
      <w:tr w:rsidR="00BC2AF7" w:rsidTr="00900AA5">
        <w:trPr>
          <w:cantSplit/>
        </w:trPr>
        <w:tc>
          <w:tcPr>
            <w:tcW w:w="511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Default="00BC2AF7" w:rsidP="00593060">
            <w:pPr>
              <w:pStyle w:val="TableTextEntries"/>
            </w:pPr>
            <w:r>
              <w:t xml:space="preserve">Mid-term evaluation of </w:t>
            </w:r>
            <w:r w:rsidR="0093096D">
              <w:t xml:space="preserve">the </w:t>
            </w:r>
            <w:r>
              <w:t xml:space="preserve">Education Sector Support Program </w:t>
            </w:r>
          </w:p>
        </w:tc>
        <w:tc>
          <w:tcPr>
            <w:tcW w:w="28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Default="00BC2AF7" w:rsidP="00593060">
            <w:pPr>
              <w:pStyle w:val="TableTextEntries"/>
            </w:pPr>
            <w:r>
              <w:t>August 2010</w:t>
            </w:r>
          </w:p>
        </w:tc>
      </w:tr>
      <w:tr w:rsidR="00BC2AF7" w:rsidTr="00900AA5">
        <w:trPr>
          <w:cantSplit/>
        </w:trPr>
        <w:tc>
          <w:tcPr>
            <w:tcW w:w="5114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Default="00BC2AF7" w:rsidP="00593060">
            <w:pPr>
              <w:pStyle w:val="TableTextEntries"/>
            </w:pPr>
            <w:r>
              <w:t xml:space="preserve">Internal review of Public Sector Capacity Development Program </w:t>
            </w:r>
          </w:p>
        </w:tc>
        <w:tc>
          <w:tcPr>
            <w:tcW w:w="2823" w:type="dxa"/>
            <w:tcBorders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AF7" w:rsidRDefault="00BC2AF7" w:rsidP="00593060">
            <w:pPr>
              <w:pStyle w:val="TableTextEntries"/>
            </w:pPr>
            <w:r>
              <w:t>September 2010</w:t>
            </w:r>
          </w:p>
        </w:tc>
      </w:tr>
    </w:tbl>
    <w:p w:rsidR="00BC2AF7" w:rsidRPr="000C6046" w:rsidRDefault="00BC2AF7" w:rsidP="00593060">
      <w:pPr>
        <w:pStyle w:val="BodyText"/>
      </w:pPr>
    </w:p>
    <w:sectPr w:rsidR="00BC2AF7" w:rsidRPr="000C6046" w:rsidSect="00E77D0C">
      <w:headerReference w:type="even" r:id="rId13"/>
      <w:footerReference w:type="even" r:id="rId14"/>
      <w:footerReference w:type="default" r:id="rId15"/>
      <w:footerReference w:type="first" r:id="rId16"/>
      <w:pgSz w:w="11907" w:h="16840" w:code="9"/>
      <w:pgMar w:top="2381" w:right="2155" w:bottom="851" w:left="1814" w:header="851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58E" w:rsidRDefault="00BE558E">
      <w:r>
        <w:separator/>
      </w:r>
    </w:p>
    <w:p w:rsidR="00BE558E" w:rsidRDefault="00BE558E"/>
  </w:endnote>
  <w:endnote w:type="continuationSeparator" w:id="0">
    <w:p w:rsidR="00BE558E" w:rsidRDefault="00BE558E">
      <w:r>
        <w:continuationSeparator/>
      </w:r>
    </w:p>
    <w:p w:rsidR="00BE558E" w:rsidRDefault="00BE55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302">
    <w:altName w:val="Times New Roman"/>
    <w:panose1 w:val="00000000000000000000"/>
    <w:charset w:val="00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073" w:rsidRPr="00AD612A" w:rsidRDefault="00923790">
    <w:pPr>
      <w:pStyle w:val="Footer"/>
    </w:pPr>
    <w:r>
      <w:rPr>
        <w:noProof/>
        <w:color w:val="54534A"/>
        <w:lang w:val="en-US" w:eastAsia="en-US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8821420</wp:posOffset>
          </wp:positionV>
          <wp:extent cx="396240" cy="1508125"/>
          <wp:effectExtent l="0" t="0" r="3810" b="0"/>
          <wp:wrapNone/>
          <wp:docPr id="1" name="Picture 1" descr="AusAID_MDG_2_factsheet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AID_MDG_2_factsheet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150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073" w:rsidRPr="007C1ECE">
      <w:tab/>
    </w:r>
    <w:r w:rsidR="007E3073">
      <w:tab/>
    </w:r>
    <w:r w:rsidR="007E3073">
      <w:tab/>
    </w:r>
    <w:r w:rsidR="007E3073">
      <w:rPr>
        <w:rStyle w:val="PageNumber"/>
      </w:rPr>
      <w:fldChar w:fldCharType="begin"/>
    </w:r>
    <w:r w:rsidR="007E3073">
      <w:rPr>
        <w:rStyle w:val="PageNumber"/>
      </w:rPr>
      <w:instrText xml:space="preserve"> PAGE </w:instrText>
    </w:r>
    <w:r w:rsidR="007E3073">
      <w:rPr>
        <w:rStyle w:val="PageNumber"/>
      </w:rPr>
      <w:fldChar w:fldCharType="separate"/>
    </w:r>
    <w:r w:rsidR="007E3073">
      <w:rPr>
        <w:rStyle w:val="PageNumber"/>
        <w:noProof/>
      </w:rPr>
      <w:t>2</w:t>
    </w:r>
    <w:r w:rsidR="007E3073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073" w:rsidRPr="004A4B6B" w:rsidRDefault="00923790" w:rsidP="001260C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4035"/>
          <wp:effectExtent l="0" t="0" r="2540" b="0"/>
          <wp:wrapNone/>
          <wp:docPr id="3" name="Picture 3" descr="AusAID_facsheet_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usAID_facsheet_D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073">
      <w:tab/>
    </w:r>
    <w:r w:rsidR="007E3073">
      <w:fldChar w:fldCharType="begin"/>
    </w:r>
    <w:r w:rsidR="007E3073">
      <w:instrText xml:space="preserve"> STYLEREF  Title </w:instrText>
    </w:r>
    <w:r w:rsidR="007E3073">
      <w:fldChar w:fldCharType="separate"/>
    </w:r>
    <w:r w:rsidR="00B053A0">
      <w:rPr>
        <w:b/>
        <w:bCs/>
        <w:noProof/>
        <w:lang w:val="en-US"/>
      </w:rPr>
      <w:t>Error! No text of specified style in document.</w:t>
    </w:r>
    <w:r w:rsidR="007E3073">
      <w:fldChar w:fldCharType="end"/>
    </w:r>
    <w:r w:rsidR="007E3073">
      <w:rPr>
        <w:rStyle w:val="PageNumber"/>
      </w:rPr>
      <w:tab/>
    </w:r>
    <w:r w:rsidR="007E3073">
      <w:rPr>
        <w:rStyle w:val="PageNumber"/>
      </w:rPr>
      <w:tab/>
    </w:r>
    <w:r w:rsidR="007E3073" w:rsidRPr="004A26C9">
      <w:rPr>
        <w:rStyle w:val="PageNumber"/>
      </w:rPr>
      <w:fldChar w:fldCharType="begin"/>
    </w:r>
    <w:r w:rsidR="007E3073" w:rsidRPr="004A26C9">
      <w:rPr>
        <w:rStyle w:val="PageNumber"/>
      </w:rPr>
      <w:instrText xml:space="preserve"> PAGE </w:instrText>
    </w:r>
    <w:r w:rsidR="007E3073" w:rsidRPr="004A26C9">
      <w:rPr>
        <w:rStyle w:val="PageNumber"/>
      </w:rPr>
      <w:fldChar w:fldCharType="separate"/>
    </w:r>
    <w:r w:rsidR="00B053A0">
      <w:rPr>
        <w:rStyle w:val="PageNumber"/>
        <w:noProof/>
      </w:rPr>
      <w:t>2</w:t>
    </w:r>
    <w:r w:rsidR="007E3073" w:rsidRPr="004A26C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073" w:rsidRDefault="007E3073">
    <w:pPr>
      <w:pStyle w:val="Footer"/>
    </w:pPr>
    <w:r>
      <w:tab/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53A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58E" w:rsidRDefault="00BE558E" w:rsidP="00D62AA4">
      <w:pPr>
        <w:spacing w:before="60" w:after="40" w:line="180" w:lineRule="exact"/>
      </w:pPr>
      <w:r>
        <w:continuationSeparator/>
      </w:r>
    </w:p>
  </w:footnote>
  <w:footnote w:type="continuationSeparator" w:id="0">
    <w:p w:rsidR="00BE558E" w:rsidRDefault="00BE558E">
      <w:r>
        <w:continuationSeparator/>
      </w:r>
    </w:p>
    <w:p w:rsidR="00BE558E" w:rsidRDefault="00BE558E"/>
  </w:footnote>
  <w:footnote w:type="continuationNotice" w:id="1">
    <w:p w:rsidR="00BE558E" w:rsidRDefault="00BE558E"/>
    <w:p w:rsidR="00BE558E" w:rsidRDefault="00BE558E"/>
  </w:footnote>
  <w:footnote w:id="2">
    <w:p w:rsidR="007E3073" w:rsidRDefault="007E3073" w:rsidP="00BC2AF7">
      <w:pPr>
        <w:pStyle w:val="FootnoteText"/>
      </w:pPr>
      <w:r>
        <w:rPr>
          <w:rStyle w:val="FootnoteReference"/>
        </w:rPr>
        <w:footnoteRef/>
      </w:r>
      <w:r>
        <w:t xml:space="preserve"> Ministry of Health, Demographic and Health Survey 2009</w:t>
      </w:r>
      <w:r>
        <w:rPr>
          <w:sz w:val="18"/>
          <w:szCs w:val="18"/>
        </w:rPr>
        <w:t>–</w:t>
      </w:r>
      <w:r>
        <w:t>2010.</w:t>
      </w:r>
    </w:p>
  </w:footnote>
  <w:footnote w:id="3">
    <w:p w:rsidR="007E3073" w:rsidRPr="00152CC5" w:rsidRDefault="007E3073" w:rsidP="00BC2A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2CC5">
        <w:t>M</w:t>
      </w:r>
      <w:r>
        <w:t xml:space="preserve">inistry </w:t>
      </w:r>
      <w:r w:rsidRPr="00152CC5">
        <w:t>o</w:t>
      </w:r>
      <w:r>
        <w:t xml:space="preserve">f </w:t>
      </w:r>
      <w:r w:rsidRPr="00152CC5">
        <w:t>H</w:t>
      </w:r>
      <w:r>
        <w:t>ealth</w:t>
      </w:r>
      <w:r w:rsidRPr="00152CC5">
        <w:t>, Demographic and Health Survey 2009</w:t>
      </w:r>
      <w:r>
        <w:rPr>
          <w:sz w:val="18"/>
          <w:szCs w:val="18"/>
        </w:rPr>
        <w:t>–</w:t>
      </w:r>
      <w:r w:rsidRPr="00152CC5">
        <w:t>2010.</w:t>
      </w:r>
      <w:r>
        <w:t xml:space="preserve"> </w:t>
      </w:r>
    </w:p>
  </w:footnote>
  <w:footnote w:id="4">
    <w:p w:rsidR="007E3073" w:rsidRDefault="007E3073" w:rsidP="00BC2AF7">
      <w:pPr>
        <w:pStyle w:val="FootnoteText"/>
      </w:pPr>
      <w:r>
        <w:rPr>
          <w:rStyle w:val="FootnoteReference"/>
        </w:rPr>
        <w:footnoteRef/>
      </w:r>
      <w:r>
        <w:t xml:space="preserve"> World Bank Draft Policy Paper, ‘A new Strategy for Food and Cash Crop Production in Timor-Leste (2010)’, </w:t>
      </w:r>
      <w:smartTag w:uri="urn:schemas-microsoft-com:office:smarttags" w:element="place">
        <w:r>
          <w:t>Timor</w:t>
        </w:r>
      </w:smartTag>
      <w:r>
        <w:t>-Leste Sustainable</w:t>
      </w:r>
    </w:p>
    <w:p w:rsidR="007E3073" w:rsidRDefault="007E3073" w:rsidP="00BC2AF7">
      <w:pPr>
        <w:pStyle w:val="FootnoteText"/>
      </w:pPr>
      <w:r w:rsidRPr="00AA1AE5">
        <w:t xml:space="preserve">Livelihoods Survey </w:t>
      </w:r>
      <w:r>
        <w:t>2007.</w:t>
      </w:r>
    </w:p>
  </w:footnote>
  <w:footnote w:id="5">
    <w:p w:rsidR="007E3073" w:rsidRDefault="007E3073" w:rsidP="00BC2AF7">
      <w:pPr>
        <w:pStyle w:val="FootnoteText"/>
      </w:pPr>
      <w:r>
        <w:rPr>
          <w:rStyle w:val="FootnoteReference"/>
        </w:rPr>
        <w:footnoteRef/>
      </w:r>
      <w:r>
        <w:t xml:space="preserve"> Seeds of Life Technical Advisory Group Report, August 2009, page 4.</w:t>
      </w:r>
    </w:p>
  </w:footnote>
  <w:footnote w:id="6">
    <w:p w:rsidR="007E3073" w:rsidRDefault="007E3073" w:rsidP="00BC2A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40FC2">
        <w:t>Food and Agriculture Organization</w:t>
      </w:r>
      <w:r>
        <w:t xml:space="preserve"> Biosecurity Strengthening Project Report, July–December 2009.</w:t>
      </w:r>
    </w:p>
  </w:footnote>
  <w:footnote w:id="7">
    <w:p w:rsidR="007E3073" w:rsidRDefault="007E3073" w:rsidP="00BC2A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370F2">
        <w:t>United Nations Development Programme</w:t>
      </w:r>
      <w:r>
        <w:t xml:space="preserve">, </w:t>
      </w:r>
      <w:r w:rsidRPr="002635B5">
        <w:t xml:space="preserve">Timor-Leste 2009 Annual </w:t>
      </w:r>
      <w:r w:rsidRPr="00064F6E">
        <w:t>Report.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073" w:rsidRDefault="00923790" w:rsidP="00B7603F">
    <w:pPr>
      <w:pStyle w:val="Header"/>
      <w:jc w:val="left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4035"/>
          <wp:effectExtent l="0" t="0" r="2540" b="0"/>
          <wp:wrapNone/>
          <wp:docPr id="2" name="Picture 2" descr="AusAID_facsheet_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usAID_facsheet_D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0FD4"/>
    <w:multiLevelType w:val="hybridMultilevel"/>
    <w:tmpl w:val="F83CDA08"/>
    <w:lvl w:ilvl="0" w:tplc="DB6678E8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font302" w:hAnsi="font302" w:hint="default"/>
        <w:color w:val="0000FF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21CE7"/>
    <w:multiLevelType w:val="hybridMultilevel"/>
    <w:tmpl w:val="0D18B67E"/>
    <w:lvl w:ilvl="0" w:tplc="ACFA6F56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7B7DD8"/>
    <w:multiLevelType w:val="hybridMultilevel"/>
    <w:tmpl w:val="3EA6F6DE"/>
    <w:lvl w:ilvl="0" w:tplc="6FAEF60C">
      <w:start w:val="1"/>
      <w:numFmt w:val="lowerLetter"/>
      <w:pStyle w:val="TableListNumber2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EDE891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C4E6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E05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48A6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5238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AC9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C1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1EE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665BC"/>
    <w:multiLevelType w:val="hybridMultilevel"/>
    <w:tmpl w:val="4DC601BA"/>
    <w:lvl w:ilvl="0" w:tplc="5D98112C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083C07"/>
    <w:multiLevelType w:val="hybridMultilevel"/>
    <w:tmpl w:val="1556F3E6"/>
    <w:lvl w:ilvl="0" w:tplc="DB6678E8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font302" w:hAnsi="font302" w:hint="default"/>
        <w:color w:val="0000FF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9B02A7"/>
    <w:multiLevelType w:val="singleLevel"/>
    <w:tmpl w:val="38C655C0"/>
    <w:lvl w:ilvl="0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cs="Times New Roman" w:hint="default"/>
        <w:color w:val="auto"/>
        <w:sz w:val="21"/>
        <w:szCs w:val="21"/>
      </w:rPr>
    </w:lvl>
  </w:abstractNum>
  <w:abstractNum w:abstractNumId="6">
    <w:nsid w:val="27965914"/>
    <w:multiLevelType w:val="multilevel"/>
    <w:tmpl w:val="E6A83EBE"/>
    <w:lvl w:ilvl="0">
      <w:start w:val="1"/>
      <w:numFmt w:val="lowerLetter"/>
      <w:lvlRestart w:val="0"/>
      <w:lvlText w:val="%1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color w:val="auto"/>
        <w:spacing w:val="0"/>
        <w:w w:val="100"/>
        <w:position w:val="4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 w:val="0"/>
        <w:i w:val="0"/>
        <w:color w:val="auto"/>
        <w:spacing w:val="0"/>
        <w:w w:val="100"/>
        <w:position w:val="0"/>
        <w:sz w:val="44"/>
        <w:szCs w:val="44"/>
      </w:rPr>
    </w:lvl>
  </w:abstractNum>
  <w:abstractNum w:abstractNumId="7">
    <w:nsid w:val="336E532F"/>
    <w:multiLevelType w:val="hybridMultilevel"/>
    <w:tmpl w:val="E6A84908"/>
    <w:lvl w:ilvl="0" w:tplc="DB6678E8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font302" w:hAnsi="font302" w:hint="default"/>
        <w:color w:val="0000FF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2D65A6"/>
    <w:multiLevelType w:val="hybridMultilevel"/>
    <w:tmpl w:val="A7446C82"/>
    <w:lvl w:ilvl="0" w:tplc="B70A9096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233F6B"/>
    <w:multiLevelType w:val="hybridMultilevel"/>
    <w:tmpl w:val="53929CB2"/>
    <w:lvl w:ilvl="0" w:tplc="6D42D6F8">
      <w:start w:val="1"/>
      <w:numFmt w:val="lowerLetter"/>
      <w:pStyle w:val="Box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6206F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4EF7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8F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0458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C6A0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705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60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D85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D675F2"/>
    <w:multiLevelType w:val="multilevel"/>
    <w:tmpl w:val="3F368AC4"/>
    <w:lvl w:ilvl="0">
      <w:start w:val="1"/>
      <w:numFmt w:val="lowerLetter"/>
      <w:lvlRestart w:val="0"/>
      <w:lvlText w:val="%1"/>
      <w:lvlJc w:val="left"/>
      <w:pPr>
        <w:tabs>
          <w:tab w:val="num" w:pos="170"/>
        </w:tabs>
        <w:ind w:left="0" w:firstLine="0"/>
      </w:pPr>
      <w:rPr>
        <w:rFonts w:ascii="Franklin Gothic Medium" w:hAnsi="Franklin Gothic Medium" w:hint="default"/>
        <w:b w:val="0"/>
        <w:i w:val="0"/>
        <w:color w:val="auto"/>
        <w:position w:val="4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11">
    <w:nsid w:val="3C5971EF"/>
    <w:multiLevelType w:val="hybridMultilevel"/>
    <w:tmpl w:val="3FBEC564"/>
    <w:lvl w:ilvl="0" w:tplc="DB6678E8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font302" w:hAnsi="font302" w:hint="default"/>
        <w:color w:val="0000FF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CD579B"/>
    <w:multiLevelType w:val="hybridMultilevel"/>
    <w:tmpl w:val="36F2514A"/>
    <w:lvl w:ilvl="0" w:tplc="B35698BA">
      <w:start w:val="1"/>
      <w:numFmt w:val="bullet"/>
      <w:pStyle w:val="BoxListBullet"/>
      <w:lvlText w:val="&gt;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837818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D8D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61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C90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C6D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6B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EF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A42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CB3D8B"/>
    <w:multiLevelType w:val="multilevel"/>
    <w:tmpl w:val="A7E0EF7E"/>
    <w:lvl w:ilvl="0">
      <w:start w:val="1"/>
      <w:numFmt w:val="lowerLetter"/>
      <w:lvlRestart w:val="0"/>
      <w:lvlText w:val="%1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color w:val="0049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  <w:cap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14">
    <w:nsid w:val="52B943C2"/>
    <w:multiLevelType w:val="hybridMultilevel"/>
    <w:tmpl w:val="5A18D8E8"/>
    <w:lvl w:ilvl="0" w:tplc="F036122A">
      <w:start w:val="1"/>
      <w:numFmt w:val="bullet"/>
      <w:pStyle w:val="Ratingamber"/>
      <w:lvlText w:val="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color w:val="FF9900"/>
        <w:spacing w:val="0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692D64"/>
    <w:multiLevelType w:val="hybridMultilevel"/>
    <w:tmpl w:val="3544D402"/>
    <w:lvl w:ilvl="0" w:tplc="49BABBDA">
      <w:start w:val="1"/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6121D8"/>
    <w:multiLevelType w:val="hybridMultilevel"/>
    <w:tmpl w:val="486E390C"/>
    <w:lvl w:ilvl="0" w:tplc="EDFA24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98A5214"/>
    <w:multiLevelType w:val="hybridMultilevel"/>
    <w:tmpl w:val="0B5AC610"/>
    <w:lvl w:ilvl="0" w:tplc="1F30FEF8">
      <w:start w:val="1"/>
      <w:numFmt w:val="decimal"/>
      <w:pStyle w:val="Table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C80DB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AAB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306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AA2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1A2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5ED6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C3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E4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A8553B"/>
    <w:multiLevelType w:val="multilevel"/>
    <w:tmpl w:val="28627A8E"/>
    <w:lvl w:ilvl="0">
      <w:start w:val="1"/>
      <w:numFmt w:val="decimal"/>
      <w:lvlText w:val="%1"/>
      <w:lvlJc w:val="right"/>
      <w:pPr>
        <w:tabs>
          <w:tab w:val="num" w:pos="0"/>
        </w:tabs>
        <w:ind w:left="0" w:hanging="454"/>
      </w:pPr>
      <w:rPr>
        <w:rFonts w:hint="default"/>
        <w:b w:val="0"/>
        <w:i w:val="0"/>
        <w:color w:val="54534A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709"/>
        </w:tabs>
        <w:ind w:left="709" w:hanging="709"/>
      </w:pPr>
      <w:rPr>
        <w:rFonts w:ascii="Franklin Gothic Book" w:hAnsi="Franklin Gothic Book" w:hint="default"/>
        <w:b w:val="0"/>
        <w:i w:val="0"/>
        <w:caps w:val="0"/>
        <w:color w:val="54534A"/>
        <w:position w:val="0"/>
        <w:sz w:val="50"/>
        <w:szCs w:val="50"/>
      </w:rPr>
    </w:lvl>
    <w:lvl w:ilvl="6">
      <w:start w:val="1"/>
      <w:numFmt w:val="none"/>
      <w:lvlRestart w:val="0"/>
      <w:lvlText w:val=""/>
      <w:lvlJc w:val="left"/>
      <w:pPr>
        <w:tabs>
          <w:tab w:val="num" w:pos="454"/>
        </w:tabs>
        <w:ind w:left="454" w:firstLine="0"/>
      </w:pPr>
      <w:rPr>
        <w:rFonts w:hint="default"/>
        <w:caps/>
        <w:sz w:val="22"/>
        <w:szCs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454"/>
        </w:tabs>
        <w:ind w:left="454" w:firstLine="0"/>
      </w:pPr>
      <w:rPr>
        <w:rFonts w:hint="default"/>
      </w:rPr>
    </w:lvl>
  </w:abstractNum>
  <w:abstractNum w:abstractNumId="19">
    <w:nsid w:val="63EC277D"/>
    <w:multiLevelType w:val="hybridMultilevel"/>
    <w:tmpl w:val="5622DCD2"/>
    <w:lvl w:ilvl="0" w:tplc="F280E2B4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Garamond" w:hAnsi="Garamon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F264CF"/>
    <w:multiLevelType w:val="multilevel"/>
    <w:tmpl w:val="FE3495E8"/>
    <w:lvl w:ilvl="0">
      <w:start w:val="1"/>
      <w:numFmt w:val="none"/>
      <w:pStyle w:val="Heading1"/>
      <w:suff w:val="nothing"/>
      <w:lvlText w:val=""/>
      <w:lvlJc w:val="left"/>
      <w:pPr>
        <w:ind w:left="-32767" w:firstLine="0"/>
      </w:pPr>
      <w:rPr>
        <w:rFonts w:hint="default"/>
        <w:b w:val="0"/>
        <w:i w:val="0"/>
        <w:color w:val="54534A"/>
      </w:rPr>
    </w:lvl>
    <w:lvl w:ilvl="1">
      <w:start w:val="1"/>
      <w:numFmt w:val="none"/>
      <w:pStyle w:val="Heading2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Heading6"/>
      <w:lvlText w:val="%6"/>
      <w:lvlJc w:val="left"/>
      <w:pPr>
        <w:tabs>
          <w:tab w:val="num" w:pos="709"/>
        </w:tabs>
        <w:ind w:left="709" w:hanging="709"/>
      </w:pPr>
      <w:rPr>
        <w:rFonts w:ascii="Franklin Gothic Book" w:hAnsi="Franklin Gothic Book" w:hint="default"/>
        <w:b w:val="0"/>
        <w:i w:val="0"/>
        <w:caps w:val="0"/>
        <w:color w:val="54534A"/>
        <w:position w:val="0"/>
        <w:sz w:val="50"/>
        <w:szCs w:val="50"/>
      </w:rPr>
    </w:lvl>
    <w:lvl w:ilvl="6">
      <w:start w:val="1"/>
      <w:numFmt w:val="none"/>
      <w:lvlRestart w:val="0"/>
      <w:pStyle w:val="Heading7"/>
      <w:suff w:val="nothing"/>
      <w:lvlText w:val=""/>
      <w:lvlJc w:val="left"/>
      <w:pPr>
        <w:ind w:left="0" w:firstLine="0"/>
      </w:pPr>
      <w:rPr>
        <w:rFonts w:hint="default"/>
        <w:caps/>
        <w:sz w:val="22"/>
        <w:szCs w:val="22"/>
      </w:rPr>
    </w:lvl>
    <w:lvl w:ilvl="7">
      <w:start w:val="1"/>
      <w:numFmt w:val="none"/>
      <w:lvlRestart w:val="0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66C55035"/>
    <w:multiLevelType w:val="hybridMultilevel"/>
    <w:tmpl w:val="A0C89EE8"/>
    <w:lvl w:ilvl="0" w:tplc="D3782208">
      <w:start w:val="1"/>
      <w:numFmt w:val="bullet"/>
      <w:pStyle w:val="TableListBullet"/>
      <w:lvlText w:val="&gt;"/>
      <w:lvlJc w:val="left"/>
      <w:pPr>
        <w:tabs>
          <w:tab w:val="num" w:pos="227"/>
        </w:tabs>
        <w:ind w:left="227" w:hanging="227"/>
      </w:pPr>
      <w:rPr>
        <w:rFonts w:hint="default"/>
        <w:color w:val="auto"/>
        <w:spacing w:val="0"/>
        <w:w w:val="100"/>
        <w:position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21239B"/>
    <w:multiLevelType w:val="multilevel"/>
    <w:tmpl w:val="7ACC421A"/>
    <w:lvl w:ilvl="0">
      <w:start w:val="1"/>
      <w:numFmt w:val="lowerLetter"/>
      <w:lvlRestart w:val="0"/>
      <w:lvlText w:val="%1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4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68BB2AC9"/>
    <w:multiLevelType w:val="multilevel"/>
    <w:tmpl w:val="C36C7DC8"/>
    <w:lvl w:ilvl="0">
      <w:start w:val="1"/>
      <w:numFmt w:val="lowerLetter"/>
      <w:lvlRestart w:val="0"/>
      <w:lvlText w:val="%1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color w:val="0049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24">
    <w:nsid w:val="6CA95AF5"/>
    <w:multiLevelType w:val="multilevel"/>
    <w:tmpl w:val="AA96A81E"/>
    <w:lvl w:ilvl="0">
      <w:start w:val="1"/>
      <w:numFmt w:val="lowerLetter"/>
      <w:lvlRestart w:val="0"/>
      <w:pStyle w:val="NoteNumber"/>
      <w:lvlText w:val="%1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4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25">
    <w:nsid w:val="6CF363E8"/>
    <w:multiLevelType w:val="hybridMultilevel"/>
    <w:tmpl w:val="663688F2"/>
    <w:lvl w:ilvl="0" w:tplc="02A4C866">
      <w:start w:val="1"/>
      <w:numFmt w:val="bullet"/>
      <w:pStyle w:val="Ratinggreen"/>
      <w:lvlText w:val="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color w:val="99CC00"/>
        <w:spacing w:val="0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536210"/>
    <w:multiLevelType w:val="multilevel"/>
    <w:tmpl w:val="DD688AB0"/>
    <w:lvl w:ilvl="0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hint="default"/>
        <w:color w:val="7C3D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E1124E"/>
    <w:multiLevelType w:val="hybridMultilevel"/>
    <w:tmpl w:val="6D42E656"/>
    <w:lvl w:ilvl="0" w:tplc="265CDD92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A66AA6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6C6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A8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47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FA8D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A5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AF2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9EBE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7A528B"/>
    <w:multiLevelType w:val="hybridMultilevel"/>
    <w:tmpl w:val="4ADC517C"/>
    <w:lvl w:ilvl="0" w:tplc="78AE1D9A">
      <w:start w:val="1"/>
      <w:numFmt w:val="bullet"/>
      <w:pStyle w:val="ListBullet"/>
      <w:lvlText w:val="&gt;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position w:val="3"/>
      </w:rPr>
    </w:lvl>
    <w:lvl w:ilvl="1" w:tplc="F2400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E29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C1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08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A05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2E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CC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8AB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15"/>
  </w:num>
  <w:num w:numId="5">
    <w:abstractNumId w:val="12"/>
  </w:num>
  <w:num w:numId="6">
    <w:abstractNumId w:val="8"/>
  </w:num>
  <w:num w:numId="7">
    <w:abstractNumId w:val="20"/>
  </w:num>
  <w:num w:numId="8">
    <w:abstractNumId w:val="18"/>
  </w:num>
  <w:num w:numId="9">
    <w:abstractNumId w:val="21"/>
  </w:num>
  <w:num w:numId="10">
    <w:abstractNumId w:val="1"/>
  </w:num>
  <w:num w:numId="11">
    <w:abstractNumId w:val="14"/>
  </w:num>
  <w:num w:numId="12">
    <w:abstractNumId w:val="25"/>
  </w:num>
  <w:num w:numId="13">
    <w:abstractNumId w:val="5"/>
  </w:num>
  <w:num w:numId="14">
    <w:abstractNumId w:val="3"/>
  </w:num>
  <w:num w:numId="15">
    <w:abstractNumId w:val="27"/>
  </w:num>
  <w:num w:numId="16">
    <w:abstractNumId w:val="28"/>
  </w:num>
  <w:num w:numId="17">
    <w:abstractNumId w:val="28"/>
  </w:num>
  <w:num w:numId="18">
    <w:abstractNumId w:val="24"/>
  </w:num>
  <w:num w:numId="19">
    <w:abstractNumId w:val="26"/>
  </w:num>
  <w:num w:numId="20">
    <w:abstractNumId w:val="11"/>
  </w:num>
  <w:num w:numId="21">
    <w:abstractNumId w:val="4"/>
  </w:num>
  <w:num w:numId="22">
    <w:abstractNumId w:val="7"/>
  </w:num>
  <w:num w:numId="23">
    <w:abstractNumId w:val="0"/>
  </w:num>
  <w:num w:numId="24">
    <w:abstractNumId w:val="1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lickAndTypeStyle w:val="BodyText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5a9a98,#ddcf56,#ad495d,#ab9c8f,#b5d3d2,#7e6d5f,#f26631,#54534a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78"/>
    <w:rsid w:val="00002939"/>
    <w:rsid w:val="00004368"/>
    <w:rsid w:val="000110C3"/>
    <w:rsid w:val="00011550"/>
    <w:rsid w:val="0001170C"/>
    <w:rsid w:val="00011BC2"/>
    <w:rsid w:val="00011CCB"/>
    <w:rsid w:val="000129D7"/>
    <w:rsid w:val="0001356A"/>
    <w:rsid w:val="00013819"/>
    <w:rsid w:val="00014038"/>
    <w:rsid w:val="0001508D"/>
    <w:rsid w:val="00015DBC"/>
    <w:rsid w:val="00016771"/>
    <w:rsid w:val="00016CBA"/>
    <w:rsid w:val="00017D33"/>
    <w:rsid w:val="00017E33"/>
    <w:rsid w:val="000211DA"/>
    <w:rsid w:val="0002235F"/>
    <w:rsid w:val="00022D41"/>
    <w:rsid w:val="000257E7"/>
    <w:rsid w:val="00030588"/>
    <w:rsid w:val="0003112E"/>
    <w:rsid w:val="0003385B"/>
    <w:rsid w:val="00034B41"/>
    <w:rsid w:val="00034E45"/>
    <w:rsid w:val="00035E2A"/>
    <w:rsid w:val="00037673"/>
    <w:rsid w:val="000433AB"/>
    <w:rsid w:val="00044EDD"/>
    <w:rsid w:val="000452A6"/>
    <w:rsid w:val="0004636D"/>
    <w:rsid w:val="00046764"/>
    <w:rsid w:val="00046974"/>
    <w:rsid w:val="000513B2"/>
    <w:rsid w:val="00053BB3"/>
    <w:rsid w:val="00053D8A"/>
    <w:rsid w:val="00060A32"/>
    <w:rsid w:val="00061389"/>
    <w:rsid w:val="00063C90"/>
    <w:rsid w:val="00064F6E"/>
    <w:rsid w:val="000655EB"/>
    <w:rsid w:val="00065C12"/>
    <w:rsid w:val="00067F6E"/>
    <w:rsid w:val="00070BAE"/>
    <w:rsid w:val="00070F05"/>
    <w:rsid w:val="000722A1"/>
    <w:rsid w:val="00074C9B"/>
    <w:rsid w:val="00075C1B"/>
    <w:rsid w:val="00075E37"/>
    <w:rsid w:val="00075F52"/>
    <w:rsid w:val="000765D3"/>
    <w:rsid w:val="000766F0"/>
    <w:rsid w:val="00076703"/>
    <w:rsid w:val="000805B2"/>
    <w:rsid w:val="00082162"/>
    <w:rsid w:val="00082E97"/>
    <w:rsid w:val="000833A0"/>
    <w:rsid w:val="00085585"/>
    <w:rsid w:val="00085E50"/>
    <w:rsid w:val="00086164"/>
    <w:rsid w:val="000863C3"/>
    <w:rsid w:val="00090C8C"/>
    <w:rsid w:val="00092990"/>
    <w:rsid w:val="00092F37"/>
    <w:rsid w:val="00097A76"/>
    <w:rsid w:val="000A0794"/>
    <w:rsid w:val="000A3437"/>
    <w:rsid w:val="000A4433"/>
    <w:rsid w:val="000A5BCC"/>
    <w:rsid w:val="000A7400"/>
    <w:rsid w:val="000A7708"/>
    <w:rsid w:val="000A7AD4"/>
    <w:rsid w:val="000B0232"/>
    <w:rsid w:val="000B108C"/>
    <w:rsid w:val="000B13AB"/>
    <w:rsid w:val="000B146D"/>
    <w:rsid w:val="000B4054"/>
    <w:rsid w:val="000B56CF"/>
    <w:rsid w:val="000B5B55"/>
    <w:rsid w:val="000B6330"/>
    <w:rsid w:val="000B7FF7"/>
    <w:rsid w:val="000C0125"/>
    <w:rsid w:val="000C0807"/>
    <w:rsid w:val="000C0D83"/>
    <w:rsid w:val="000C45A2"/>
    <w:rsid w:val="000C6046"/>
    <w:rsid w:val="000C7969"/>
    <w:rsid w:val="000D074E"/>
    <w:rsid w:val="000D32D5"/>
    <w:rsid w:val="000D444F"/>
    <w:rsid w:val="000D47A5"/>
    <w:rsid w:val="000E0333"/>
    <w:rsid w:val="000E102A"/>
    <w:rsid w:val="000E2E8A"/>
    <w:rsid w:val="000E3756"/>
    <w:rsid w:val="000E595E"/>
    <w:rsid w:val="000E5C21"/>
    <w:rsid w:val="000F706A"/>
    <w:rsid w:val="000F7DB9"/>
    <w:rsid w:val="000F7EBB"/>
    <w:rsid w:val="0010001A"/>
    <w:rsid w:val="001020A5"/>
    <w:rsid w:val="00104CCC"/>
    <w:rsid w:val="001104EF"/>
    <w:rsid w:val="00115A8C"/>
    <w:rsid w:val="00115D91"/>
    <w:rsid w:val="00116122"/>
    <w:rsid w:val="001204E2"/>
    <w:rsid w:val="00121605"/>
    <w:rsid w:val="001250BF"/>
    <w:rsid w:val="001260C2"/>
    <w:rsid w:val="00126E78"/>
    <w:rsid w:val="00127B7F"/>
    <w:rsid w:val="00132D55"/>
    <w:rsid w:val="00132E41"/>
    <w:rsid w:val="00135A4C"/>
    <w:rsid w:val="001360A4"/>
    <w:rsid w:val="00136E47"/>
    <w:rsid w:val="00136FF9"/>
    <w:rsid w:val="00137BA1"/>
    <w:rsid w:val="0014049B"/>
    <w:rsid w:val="00141818"/>
    <w:rsid w:val="0014252B"/>
    <w:rsid w:val="0014282B"/>
    <w:rsid w:val="00142A4D"/>
    <w:rsid w:val="00142E47"/>
    <w:rsid w:val="00143525"/>
    <w:rsid w:val="001436A7"/>
    <w:rsid w:val="00144611"/>
    <w:rsid w:val="0014787F"/>
    <w:rsid w:val="00152D98"/>
    <w:rsid w:val="001564B4"/>
    <w:rsid w:val="00156521"/>
    <w:rsid w:val="00156A18"/>
    <w:rsid w:val="0016217F"/>
    <w:rsid w:val="001644AA"/>
    <w:rsid w:val="00165C4D"/>
    <w:rsid w:val="0016636D"/>
    <w:rsid w:val="00166BE1"/>
    <w:rsid w:val="001702D7"/>
    <w:rsid w:val="001707ED"/>
    <w:rsid w:val="00170B04"/>
    <w:rsid w:val="00172093"/>
    <w:rsid w:val="0017313D"/>
    <w:rsid w:val="001756DD"/>
    <w:rsid w:val="00175CFE"/>
    <w:rsid w:val="00176846"/>
    <w:rsid w:val="001772C7"/>
    <w:rsid w:val="00177AE1"/>
    <w:rsid w:val="00180E63"/>
    <w:rsid w:val="00180EC6"/>
    <w:rsid w:val="00182E7D"/>
    <w:rsid w:val="001840DC"/>
    <w:rsid w:val="001848F4"/>
    <w:rsid w:val="00184C6E"/>
    <w:rsid w:val="00186B69"/>
    <w:rsid w:val="00187D56"/>
    <w:rsid w:val="00190A25"/>
    <w:rsid w:val="00193384"/>
    <w:rsid w:val="001957F2"/>
    <w:rsid w:val="0019627A"/>
    <w:rsid w:val="00197485"/>
    <w:rsid w:val="001A0653"/>
    <w:rsid w:val="001A157D"/>
    <w:rsid w:val="001A4314"/>
    <w:rsid w:val="001A4CB0"/>
    <w:rsid w:val="001A4F3D"/>
    <w:rsid w:val="001A64D6"/>
    <w:rsid w:val="001A676A"/>
    <w:rsid w:val="001A76CD"/>
    <w:rsid w:val="001A7A00"/>
    <w:rsid w:val="001B0BC3"/>
    <w:rsid w:val="001B11EB"/>
    <w:rsid w:val="001B1559"/>
    <w:rsid w:val="001B3A25"/>
    <w:rsid w:val="001B40B6"/>
    <w:rsid w:val="001B7441"/>
    <w:rsid w:val="001B744D"/>
    <w:rsid w:val="001B7D36"/>
    <w:rsid w:val="001C1650"/>
    <w:rsid w:val="001C18A5"/>
    <w:rsid w:val="001C27DD"/>
    <w:rsid w:val="001C54D5"/>
    <w:rsid w:val="001C557B"/>
    <w:rsid w:val="001C68A6"/>
    <w:rsid w:val="001C6E03"/>
    <w:rsid w:val="001C6E25"/>
    <w:rsid w:val="001C7E79"/>
    <w:rsid w:val="001C7FAB"/>
    <w:rsid w:val="001D0D54"/>
    <w:rsid w:val="001D0D75"/>
    <w:rsid w:val="001D1B26"/>
    <w:rsid w:val="001D21D0"/>
    <w:rsid w:val="001D24B1"/>
    <w:rsid w:val="001D2D04"/>
    <w:rsid w:val="001D5233"/>
    <w:rsid w:val="001D65A4"/>
    <w:rsid w:val="001E1862"/>
    <w:rsid w:val="001E521E"/>
    <w:rsid w:val="001E5458"/>
    <w:rsid w:val="001E61C0"/>
    <w:rsid w:val="001E77A7"/>
    <w:rsid w:val="001E7C2A"/>
    <w:rsid w:val="001F0E53"/>
    <w:rsid w:val="001F0E62"/>
    <w:rsid w:val="001F1365"/>
    <w:rsid w:val="001F353B"/>
    <w:rsid w:val="001F39C9"/>
    <w:rsid w:val="001F4CD3"/>
    <w:rsid w:val="001F4E51"/>
    <w:rsid w:val="001F5AA9"/>
    <w:rsid w:val="0020245F"/>
    <w:rsid w:val="002028B6"/>
    <w:rsid w:val="00203160"/>
    <w:rsid w:val="0020410B"/>
    <w:rsid w:val="00205AA6"/>
    <w:rsid w:val="0021017E"/>
    <w:rsid w:val="00212975"/>
    <w:rsid w:val="00213176"/>
    <w:rsid w:val="00214C9D"/>
    <w:rsid w:val="002178C9"/>
    <w:rsid w:val="00222F3B"/>
    <w:rsid w:val="00226029"/>
    <w:rsid w:val="00226880"/>
    <w:rsid w:val="0022688E"/>
    <w:rsid w:val="002274D0"/>
    <w:rsid w:val="00227783"/>
    <w:rsid w:val="00227D6B"/>
    <w:rsid w:val="00230BD1"/>
    <w:rsid w:val="00230F10"/>
    <w:rsid w:val="00231CB6"/>
    <w:rsid w:val="00232097"/>
    <w:rsid w:val="00233570"/>
    <w:rsid w:val="00233D7A"/>
    <w:rsid w:val="0023423B"/>
    <w:rsid w:val="00234583"/>
    <w:rsid w:val="00234D37"/>
    <w:rsid w:val="00236C53"/>
    <w:rsid w:val="00237451"/>
    <w:rsid w:val="0024071E"/>
    <w:rsid w:val="00240A07"/>
    <w:rsid w:val="00243468"/>
    <w:rsid w:val="0024348E"/>
    <w:rsid w:val="00244F96"/>
    <w:rsid w:val="002452D0"/>
    <w:rsid w:val="0024542D"/>
    <w:rsid w:val="0024630C"/>
    <w:rsid w:val="00247D70"/>
    <w:rsid w:val="00247F6A"/>
    <w:rsid w:val="002505BE"/>
    <w:rsid w:val="00250D70"/>
    <w:rsid w:val="002515F6"/>
    <w:rsid w:val="0025173D"/>
    <w:rsid w:val="00253146"/>
    <w:rsid w:val="00253B3E"/>
    <w:rsid w:val="00254E43"/>
    <w:rsid w:val="00254E51"/>
    <w:rsid w:val="00257199"/>
    <w:rsid w:val="002600C7"/>
    <w:rsid w:val="00260CE2"/>
    <w:rsid w:val="0026347A"/>
    <w:rsid w:val="002635B5"/>
    <w:rsid w:val="00263B78"/>
    <w:rsid w:val="00266A89"/>
    <w:rsid w:val="00266B56"/>
    <w:rsid w:val="00266C05"/>
    <w:rsid w:val="002702DD"/>
    <w:rsid w:val="00272699"/>
    <w:rsid w:val="0027351E"/>
    <w:rsid w:val="0027441E"/>
    <w:rsid w:val="0027483C"/>
    <w:rsid w:val="0028121C"/>
    <w:rsid w:val="00281D52"/>
    <w:rsid w:val="002820D7"/>
    <w:rsid w:val="00286E03"/>
    <w:rsid w:val="00287F57"/>
    <w:rsid w:val="00291B3A"/>
    <w:rsid w:val="00292656"/>
    <w:rsid w:val="00292C3C"/>
    <w:rsid w:val="00294AA6"/>
    <w:rsid w:val="00294D4C"/>
    <w:rsid w:val="00296270"/>
    <w:rsid w:val="00297DF9"/>
    <w:rsid w:val="002A018E"/>
    <w:rsid w:val="002A1D2F"/>
    <w:rsid w:val="002A1DE3"/>
    <w:rsid w:val="002A2305"/>
    <w:rsid w:val="002A477C"/>
    <w:rsid w:val="002A4BB1"/>
    <w:rsid w:val="002A561C"/>
    <w:rsid w:val="002A6CE4"/>
    <w:rsid w:val="002B02EA"/>
    <w:rsid w:val="002B1624"/>
    <w:rsid w:val="002B1C3F"/>
    <w:rsid w:val="002B1D0E"/>
    <w:rsid w:val="002B2514"/>
    <w:rsid w:val="002B3053"/>
    <w:rsid w:val="002B33AD"/>
    <w:rsid w:val="002B3E15"/>
    <w:rsid w:val="002B4651"/>
    <w:rsid w:val="002B7D4C"/>
    <w:rsid w:val="002C018F"/>
    <w:rsid w:val="002C0F44"/>
    <w:rsid w:val="002C159E"/>
    <w:rsid w:val="002C23D1"/>
    <w:rsid w:val="002C257C"/>
    <w:rsid w:val="002C5AF0"/>
    <w:rsid w:val="002C7822"/>
    <w:rsid w:val="002C79E4"/>
    <w:rsid w:val="002D468F"/>
    <w:rsid w:val="002D5DED"/>
    <w:rsid w:val="002D657C"/>
    <w:rsid w:val="002D6E19"/>
    <w:rsid w:val="002D7A0A"/>
    <w:rsid w:val="002E000E"/>
    <w:rsid w:val="002E0115"/>
    <w:rsid w:val="002E1AC2"/>
    <w:rsid w:val="002E2CDD"/>
    <w:rsid w:val="002E499B"/>
    <w:rsid w:val="002E626C"/>
    <w:rsid w:val="002E7F6A"/>
    <w:rsid w:val="002F056E"/>
    <w:rsid w:val="002F1AB4"/>
    <w:rsid w:val="002F3393"/>
    <w:rsid w:val="002F36D2"/>
    <w:rsid w:val="002F3C1A"/>
    <w:rsid w:val="002F3E97"/>
    <w:rsid w:val="002F4300"/>
    <w:rsid w:val="002F489A"/>
    <w:rsid w:val="002F57E9"/>
    <w:rsid w:val="003023FD"/>
    <w:rsid w:val="0030414F"/>
    <w:rsid w:val="00305213"/>
    <w:rsid w:val="00305565"/>
    <w:rsid w:val="00310C02"/>
    <w:rsid w:val="0031131B"/>
    <w:rsid w:val="00312B95"/>
    <w:rsid w:val="00312E50"/>
    <w:rsid w:val="003147DD"/>
    <w:rsid w:val="00315D84"/>
    <w:rsid w:val="00316AAC"/>
    <w:rsid w:val="00321C81"/>
    <w:rsid w:val="00322444"/>
    <w:rsid w:val="003225AB"/>
    <w:rsid w:val="00323965"/>
    <w:rsid w:val="00330A76"/>
    <w:rsid w:val="00330D74"/>
    <w:rsid w:val="00332945"/>
    <w:rsid w:val="00333127"/>
    <w:rsid w:val="003341A9"/>
    <w:rsid w:val="00334B60"/>
    <w:rsid w:val="003360B5"/>
    <w:rsid w:val="003368B5"/>
    <w:rsid w:val="003369D5"/>
    <w:rsid w:val="00336FAC"/>
    <w:rsid w:val="003379F3"/>
    <w:rsid w:val="00337AAE"/>
    <w:rsid w:val="003405D1"/>
    <w:rsid w:val="003408F5"/>
    <w:rsid w:val="00342A5A"/>
    <w:rsid w:val="00345C2F"/>
    <w:rsid w:val="0034794C"/>
    <w:rsid w:val="00347D10"/>
    <w:rsid w:val="00347E04"/>
    <w:rsid w:val="0035098F"/>
    <w:rsid w:val="003522B0"/>
    <w:rsid w:val="00352A66"/>
    <w:rsid w:val="00354CF6"/>
    <w:rsid w:val="003557A9"/>
    <w:rsid w:val="0035655A"/>
    <w:rsid w:val="00357879"/>
    <w:rsid w:val="00360C27"/>
    <w:rsid w:val="0036152B"/>
    <w:rsid w:val="00361A07"/>
    <w:rsid w:val="00362300"/>
    <w:rsid w:val="00362945"/>
    <w:rsid w:val="00363DA6"/>
    <w:rsid w:val="003643A3"/>
    <w:rsid w:val="00364555"/>
    <w:rsid w:val="0036493C"/>
    <w:rsid w:val="00365BED"/>
    <w:rsid w:val="00365ECE"/>
    <w:rsid w:val="00366135"/>
    <w:rsid w:val="00366EAE"/>
    <w:rsid w:val="0037000D"/>
    <w:rsid w:val="00372980"/>
    <w:rsid w:val="00372C90"/>
    <w:rsid w:val="00373509"/>
    <w:rsid w:val="00373545"/>
    <w:rsid w:val="00373D61"/>
    <w:rsid w:val="003813B0"/>
    <w:rsid w:val="00381894"/>
    <w:rsid w:val="00382BC2"/>
    <w:rsid w:val="003852FD"/>
    <w:rsid w:val="003864C0"/>
    <w:rsid w:val="00386714"/>
    <w:rsid w:val="00386BBA"/>
    <w:rsid w:val="00386D59"/>
    <w:rsid w:val="003870E2"/>
    <w:rsid w:val="003908F2"/>
    <w:rsid w:val="0039171C"/>
    <w:rsid w:val="00393C49"/>
    <w:rsid w:val="00395037"/>
    <w:rsid w:val="003950F3"/>
    <w:rsid w:val="0039603C"/>
    <w:rsid w:val="00396AAB"/>
    <w:rsid w:val="00396E51"/>
    <w:rsid w:val="00396FEE"/>
    <w:rsid w:val="00397842"/>
    <w:rsid w:val="003A12E4"/>
    <w:rsid w:val="003A1A4E"/>
    <w:rsid w:val="003A2AFB"/>
    <w:rsid w:val="003A3E3B"/>
    <w:rsid w:val="003A3F2E"/>
    <w:rsid w:val="003A437D"/>
    <w:rsid w:val="003A4475"/>
    <w:rsid w:val="003A5F6E"/>
    <w:rsid w:val="003B01D4"/>
    <w:rsid w:val="003B0602"/>
    <w:rsid w:val="003B3833"/>
    <w:rsid w:val="003B5B3A"/>
    <w:rsid w:val="003B669E"/>
    <w:rsid w:val="003B66FB"/>
    <w:rsid w:val="003B6AF8"/>
    <w:rsid w:val="003C4026"/>
    <w:rsid w:val="003C4418"/>
    <w:rsid w:val="003D277A"/>
    <w:rsid w:val="003D3401"/>
    <w:rsid w:val="003D41D9"/>
    <w:rsid w:val="003D7C66"/>
    <w:rsid w:val="003E15BE"/>
    <w:rsid w:val="003E4703"/>
    <w:rsid w:val="003E4C57"/>
    <w:rsid w:val="003E4E42"/>
    <w:rsid w:val="003E6A24"/>
    <w:rsid w:val="003E74A4"/>
    <w:rsid w:val="003E7997"/>
    <w:rsid w:val="003F0648"/>
    <w:rsid w:val="003F159A"/>
    <w:rsid w:val="003F1A3C"/>
    <w:rsid w:val="003F23B0"/>
    <w:rsid w:val="003F291D"/>
    <w:rsid w:val="003F2F80"/>
    <w:rsid w:val="003F389E"/>
    <w:rsid w:val="003F4406"/>
    <w:rsid w:val="003F4998"/>
    <w:rsid w:val="003F6535"/>
    <w:rsid w:val="003F7B4E"/>
    <w:rsid w:val="003F7DFD"/>
    <w:rsid w:val="00403EC1"/>
    <w:rsid w:val="00404981"/>
    <w:rsid w:val="00404EA8"/>
    <w:rsid w:val="004069E3"/>
    <w:rsid w:val="00407CFC"/>
    <w:rsid w:val="00410D4E"/>
    <w:rsid w:val="00411191"/>
    <w:rsid w:val="00412989"/>
    <w:rsid w:val="004131F2"/>
    <w:rsid w:val="00414418"/>
    <w:rsid w:val="004146C9"/>
    <w:rsid w:val="00416765"/>
    <w:rsid w:val="004174E5"/>
    <w:rsid w:val="00420072"/>
    <w:rsid w:val="004202ED"/>
    <w:rsid w:val="0042107B"/>
    <w:rsid w:val="0042222F"/>
    <w:rsid w:val="00422524"/>
    <w:rsid w:val="00422662"/>
    <w:rsid w:val="004226D0"/>
    <w:rsid w:val="004229B0"/>
    <w:rsid w:val="00425388"/>
    <w:rsid w:val="0042669E"/>
    <w:rsid w:val="00427DB3"/>
    <w:rsid w:val="0043018B"/>
    <w:rsid w:val="00433FEB"/>
    <w:rsid w:val="0043622D"/>
    <w:rsid w:val="004370F2"/>
    <w:rsid w:val="00442BE6"/>
    <w:rsid w:val="0044452B"/>
    <w:rsid w:val="00445908"/>
    <w:rsid w:val="00446BFE"/>
    <w:rsid w:val="00447F42"/>
    <w:rsid w:val="0045116A"/>
    <w:rsid w:val="00451E60"/>
    <w:rsid w:val="00452C48"/>
    <w:rsid w:val="00452E9D"/>
    <w:rsid w:val="0045304C"/>
    <w:rsid w:val="004530AC"/>
    <w:rsid w:val="00453EB3"/>
    <w:rsid w:val="00454368"/>
    <w:rsid w:val="004547C0"/>
    <w:rsid w:val="00454970"/>
    <w:rsid w:val="00454AE8"/>
    <w:rsid w:val="004559D3"/>
    <w:rsid w:val="00456734"/>
    <w:rsid w:val="00456D32"/>
    <w:rsid w:val="0045720E"/>
    <w:rsid w:val="00457853"/>
    <w:rsid w:val="00457902"/>
    <w:rsid w:val="00460B25"/>
    <w:rsid w:val="00461AD2"/>
    <w:rsid w:val="00462797"/>
    <w:rsid w:val="00464228"/>
    <w:rsid w:val="00467537"/>
    <w:rsid w:val="0047058E"/>
    <w:rsid w:val="00471026"/>
    <w:rsid w:val="004732C0"/>
    <w:rsid w:val="00473A93"/>
    <w:rsid w:val="00474394"/>
    <w:rsid w:val="004744D3"/>
    <w:rsid w:val="00475EFF"/>
    <w:rsid w:val="00476144"/>
    <w:rsid w:val="0047786B"/>
    <w:rsid w:val="004822A1"/>
    <w:rsid w:val="00482EF4"/>
    <w:rsid w:val="0048343C"/>
    <w:rsid w:val="00483A17"/>
    <w:rsid w:val="00483DD5"/>
    <w:rsid w:val="004845F1"/>
    <w:rsid w:val="00484BC2"/>
    <w:rsid w:val="00486E8C"/>
    <w:rsid w:val="004872E3"/>
    <w:rsid w:val="00487630"/>
    <w:rsid w:val="004900C1"/>
    <w:rsid w:val="004901DD"/>
    <w:rsid w:val="00490743"/>
    <w:rsid w:val="00491178"/>
    <w:rsid w:val="004914D1"/>
    <w:rsid w:val="00492FC4"/>
    <w:rsid w:val="00493037"/>
    <w:rsid w:val="00494CD3"/>
    <w:rsid w:val="00494FB3"/>
    <w:rsid w:val="004955A5"/>
    <w:rsid w:val="00495EF4"/>
    <w:rsid w:val="00496D19"/>
    <w:rsid w:val="00496DF9"/>
    <w:rsid w:val="00497240"/>
    <w:rsid w:val="004A154E"/>
    <w:rsid w:val="004A15DE"/>
    <w:rsid w:val="004A2EFC"/>
    <w:rsid w:val="004A472E"/>
    <w:rsid w:val="004A4B6B"/>
    <w:rsid w:val="004B0361"/>
    <w:rsid w:val="004B20CB"/>
    <w:rsid w:val="004B3904"/>
    <w:rsid w:val="004B42F1"/>
    <w:rsid w:val="004B6157"/>
    <w:rsid w:val="004B7492"/>
    <w:rsid w:val="004B7C61"/>
    <w:rsid w:val="004C0E63"/>
    <w:rsid w:val="004C3546"/>
    <w:rsid w:val="004C3568"/>
    <w:rsid w:val="004C4638"/>
    <w:rsid w:val="004C60B8"/>
    <w:rsid w:val="004C7DD7"/>
    <w:rsid w:val="004D18D0"/>
    <w:rsid w:val="004D27D6"/>
    <w:rsid w:val="004D2F5D"/>
    <w:rsid w:val="004D5771"/>
    <w:rsid w:val="004D79AD"/>
    <w:rsid w:val="004E493E"/>
    <w:rsid w:val="004E6274"/>
    <w:rsid w:val="004E63CC"/>
    <w:rsid w:val="004F096E"/>
    <w:rsid w:val="004F0BE2"/>
    <w:rsid w:val="004F256B"/>
    <w:rsid w:val="004F72C7"/>
    <w:rsid w:val="004F75A1"/>
    <w:rsid w:val="004F79BD"/>
    <w:rsid w:val="00502E98"/>
    <w:rsid w:val="005031B6"/>
    <w:rsid w:val="00506BC4"/>
    <w:rsid w:val="00507A63"/>
    <w:rsid w:val="00507D05"/>
    <w:rsid w:val="00510FCB"/>
    <w:rsid w:val="00513602"/>
    <w:rsid w:val="005157A6"/>
    <w:rsid w:val="0052067C"/>
    <w:rsid w:val="00522F30"/>
    <w:rsid w:val="00530C84"/>
    <w:rsid w:val="00531479"/>
    <w:rsid w:val="005335EE"/>
    <w:rsid w:val="005343DE"/>
    <w:rsid w:val="005348EF"/>
    <w:rsid w:val="005351E9"/>
    <w:rsid w:val="005353FE"/>
    <w:rsid w:val="005363D4"/>
    <w:rsid w:val="005374AC"/>
    <w:rsid w:val="00540D82"/>
    <w:rsid w:val="005445D6"/>
    <w:rsid w:val="00545090"/>
    <w:rsid w:val="00546C44"/>
    <w:rsid w:val="005510FE"/>
    <w:rsid w:val="00556B35"/>
    <w:rsid w:val="00560EE1"/>
    <w:rsid w:val="00561EE2"/>
    <w:rsid w:val="005631AD"/>
    <w:rsid w:val="005639EA"/>
    <w:rsid w:val="00564BCE"/>
    <w:rsid w:val="00565CF1"/>
    <w:rsid w:val="005667D5"/>
    <w:rsid w:val="005722A1"/>
    <w:rsid w:val="00572319"/>
    <w:rsid w:val="00572841"/>
    <w:rsid w:val="00573B43"/>
    <w:rsid w:val="00575350"/>
    <w:rsid w:val="00580DC4"/>
    <w:rsid w:val="0058536F"/>
    <w:rsid w:val="00585433"/>
    <w:rsid w:val="00586B38"/>
    <w:rsid w:val="0058729F"/>
    <w:rsid w:val="005879C7"/>
    <w:rsid w:val="0059107D"/>
    <w:rsid w:val="005910A3"/>
    <w:rsid w:val="00591DD6"/>
    <w:rsid w:val="005925E4"/>
    <w:rsid w:val="00592A83"/>
    <w:rsid w:val="00593060"/>
    <w:rsid w:val="00593B07"/>
    <w:rsid w:val="00593E3E"/>
    <w:rsid w:val="005942EA"/>
    <w:rsid w:val="005943A7"/>
    <w:rsid w:val="00596832"/>
    <w:rsid w:val="005A1052"/>
    <w:rsid w:val="005A341D"/>
    <w:rsid w:val="005A3AA3"/>
    <w:rsid w:val="005A3FE0"/>
    <w:rsid w:val="005B2981"/>
    <w:rsid w:val="005B522F"/>
    <w:rsid w:val="005B7710"/>
    <w:rsid w:val="005C10C7"/>
    <w:rsid w:val="005C206D"/>
    <w:rsid w:val="005C2C17"/>
    <w:rsid w:val="005C349D"/>
    <w:rsid w:val="005C4005"/>
    <w:rsid w:val="005C4BD3"/>
    <w:rsid w:val="005C6FD6"/>
    <w:rsid w:val="005C7A9F"/>
    <w:rsid w:val="005D0AF9"/>
    <w:rsid w:val="005D1E18"/>
    <w:rsid w:val="005D244B"/>
    <w:rsid w:val="005D2B37"/>
    <w:rsid w:val="005D4715"/>
    <w:rsid w:val="005D648E"/>
    <w:rsid w:val="005D6F2C"/>
    <w:rsid w:val="005E0A0B"/>
    <w:rsid w:val="005E1812"/>
    <w:rsid w:val="005E1AF2"/>
    <w:rsid w:val="005E1D7A"/>
    <w:rsid w:val="005E2411"/>
    <w:rsid w:val="005E344F"/>
    <w:rsid w:val="005E3CEF"/>
    <w:rsid w:val="005E51D2"/>
    <w:rsid w:val="005E57EE"/>
    <w:rsid w:val="005E6A91"/>
    <w:rsid w:val="005E725C"/>
    <w:rsid w:val="005F024B"/>
    <w:rsid w:val="005F168A"/>
    <w:rsid w:val="005F177B"/>
    <w:rsid w:val="005F1840"/>
    <w:rsid w:val="005F218A"/>
    <w:rsid w:val="005F2846"/>
    <w:rsid w:val="005F2F06"/>
    <w:rsid w:val="005F356A"/>
    <w:rsid w:val="005F5193"/>
    <w:rsid w:val="005F5C10"/>
    <w:rsid w:val="005F5C2F"/>
    <w:rsid w:val="005F710E"/>
    <w:rsid w:val="005F7879"/>
    <w:rsid w:val="006007F6"/>
    <w:rsid w:val="00600A18"/>
    <w:rsid w:val="00600B0F"/>
    <w:rsid w:val="00601D94"/>
    <w:rsid w:val="00602D21"/>
    <w:rsid w:val="00604147"/>
    <w:rsid w:val="00605815"/>
    <w:rsid w:val="00605C82"/>
    <w:rsid w:val="0060617B"/>
    <w:rsid w:val="00607E92"/>
    <w:rsid w:val="00614A27"/>
    <w:rsid w:val="00615247"/>
    <w:rsid w:val="006155FC"/>
    <w:rsid w:val="00615695"/>
    <w:rsid w:val="006203BD"/>
    <w:rsid w:val="0062059B"/>
    <w:rsid w:val="006247BA"/>
    <w:rsid w:val="00624C5C"/>
    <w:rsid w:val="00627E76"/>
    <w:rsid w:val="006323A6"/>
    <w:rsid w:val="00632B1F"/>
    <w:rsid w:val="00635A99"/>
    <w:rsid w:val="00636A86"/>
    <w:rsid w:val="00645987"/>
    <w:rsid w:val="0065046E"/>
    <w:rsid w:val="006504EE"/>
    <w:rsid w:val="00650B00"/>
    <w:rsid w:val="0065259E"/>
    <w:rsid w:val="0065282A"/>
    <w:rsid w:val="00652F48"/>
    <w:rsid w:val="006536A9"/>
    <w:rsid w:val="00657C61"/>
    <w:rsid w:val="00657CB6"/>
    <w:rsid w:val="00657E00"/>
    <w:rsid w:val="006613A9"/>
    <w:rsid w:val="006625B4"/>
    <w:rsid w:val="00663B6F"/>
    <w:rsid w:val="006640FE"/>
    <w:rsid w:val="00671255"/>
    <w:rsid w:val="00672BEE"/>
    <w:rsid w:val="00674467"/>
    <w:rsid w:val="0067448D"/>
    <w:rsid w:val="006762E5"/>
    <w:rsid w:val="006764C8"/>
    <w:rsid w:val="006777A0"/>
    <w:rsid w:val="006813C8"/>
    <w:rsid w:val="006814DA"/>
    <w:rsid w:val="00681A3E"/>
    <w:rsid w:val="00682A07"/>
    <w:rsid w:val="00683B97"/>
    <w:rsid w:val="00683CCF"/>
    <w:rsid w:val="00683DC7"/>
    <w:rsid w:val="00683E06"/>
    <w:rsid w:val="006846ED"/>
    <w:rsid w:val="0068568E"/>
    <w:rsid w:val="00685B51"/>
    <w:rsid w:val="00685E07"/>
    <w:rsid w:val="0069068B"/>
    <w:rsid w:val="006931D5"/>
    <w:rsid w:val="00694103"/>
    <w:rsid w:val="006974FC"/>
    <w:rsid w:val="006A0482"/>
    <w:rsid w:val="006A13BF"/>
    <w:rsid w:val="006A4046"/>
    <w:rsid w:val="006A53F6"/>
    <w:rsid w:val="006B432F"/>
    <w:rsid w:val="006B43F1"/>
    <w:rsid w:val="006B7C24"/>
    <w:rsid w:val="006B7CF9"/>
    <w:rsid w:val="006C0139"/>
    <w:rsid w:val="006C111C"/>
    <w:rsid w:val="006C1AEE"/>
    <w:rsid w:val="006C27E2"/>
    <w:rsid w:val="006C3927"/>
    <w:rsid w:val="006C51F7"/>
    <w:rsid w:val="006C6452"/>
    <w:rsid w:val="006C6761"/>
    <w:rsid w:val="006C75EA"/>
    <w:rsid w:val="006D0368"/>
    <w:rsid w:val="006D2333"/>
    <w:rsid w:val="006D2DEC"/>
    <w:rsid w:val="006D3DBE"/>
    <w:rsid w:val="006D571E"/>
    <w:rsid w:val="006D6CC7"/>
    <w:rsid w:val="006D70CD"/>
    <w:rsid w:val="006D7C85"/>
    <w:rsid w:val="006E1CA2"/>
    <w:rsid w:val="006E2C81"/>
    <w:rsid w:val="006E343F"/>
    <w:rsid w:val="006E42F5"/>
    <w:rsid w:val="006E4AA9"/>
    <w:rsid w:val="006E53D1"/>
    <w:rsid w:val="006E6DB3"/>
    <w:rsid w:val="006E7CC1"/>
    <w:rsid w:val="006F0B6B"/>
    <w:rsid w:val="006F1E01"/>
    <w:rsid w:val="006F47C8"/>
    <w:rsid w:val="006F4AF5"/>
    <w:rsid w:val="006F51F9"/>
    <w:rsid w:val="006F715C"/>
    <w:rsid w:val="006F7A23"/>
    <w:rsid w:val="0070010D"/>
    <w:rsid w:val="007004DA"/>
    <w:rsid w:val="00700979"/>
    <w:rsid w:val="00701726"/>
    <w:rsid w:val="007031E2"/>
    <w:rsid w:val="00703733"/>
    <w:rsid w:val="00711B43"/>
    <w:rsid w:val="007122CC"/>
    <w:rsid w:val="00716799"/>
    <w:rsid w:val="00716A79"/>
    <w:rsid w:val="0072229D"/>
    <w:rsid w:val="007339FC"/>
    <w:rsid w:val="00733A81"/>
    <w:rsid w:val="0073548A"/>
    <w:rsid w:val="007375CF"/>
    <w:rsid w:val="00737F14"/>
    <w:rsid w:val="00740BD4"/>
    <w:rsid w:val="00740FC2"/>
    <w:rsid w:val="00742F5B"/>
    <w:rsid w:val="0074328B"/>
    <w:rsid w:val="007500A2"/>
    <w:rsid w:val="00751420"/>
    <w:rsid w:val="00751A18"/>
    <w:rsid w:val="0075426C"/>
    <w:rsid w:val="00754B6C"/>
    <w:rsid w:val="007609DE"/>
    <w:rsid w:val="00760D7B"/>
    <w:rsid w:val="00762176"/>
    <w:rsid w:val="007664F2"/>
    <w:rsid w:val="0076664B"/>
    <w:rsid w:val="00766D48"/>
    <w:rsid w:val="00773ADD"/>
    <w:rsid w:val="00774FA0"/>
    <w:rsid w:val="00777A11"/>
    <w:rsid w:val="00780079"/>
    <w:rsid w:val="0078013B"/>
    <w:rsid w:val="00780E9B"/>
    <w:rsid w:val="00784027"/>
    <w:rsid w:val="007848F3"/>
    <w:rsid w:val="00784C7B"/>
    <w:rsid w:val="007857B4"/>
    <w:rsid w:val="007864C1"/>
    <w:rsid w:val="00786718"/>
    <w:rsid w:val="00791CE4"/>
    <w:rsid w:val="00794312"/>
    <w:rsid w:val="0079518B"/>
    <w:rsid w:val="00797D46"/>
    <w:rsid w:val="007A01CC"/>
    <w:rsid w:val="007A0524"/>
    <w:rsid w:val="007A2597"/>
    <w:rsid w:val="007A25C9"/>
    <w:rsid w:val="007A2D4A"/>
    <w:rsid w:val="007A32BB"/>
    <w:rsid w:val="007A4679"/>
    <w:rsid w:val="007A4C9D"/>
    <w:rsid w:val="007A5DFF"/>
    <w:rsid w:val="007B149E"/>
    <w:rsid w:val="007B19B1"/>
    <w:rsid w:val="007B1D16"/>
    <w:rsid w:val="007B2DB4"/>
    <w:rsid w:val="007B3054"/>
    <w:rsid w:val="007B3B56"/>
    <w:rsid w:val="007B403A"/>
    <w:rsid w:val="007B4213"/>
    <w:rsid w:val="007B4677"/>
    <w:rsid w:val="007B497F"/>
    <w:rsid w:val="007B4ED1"/>
    <w:rsid w:val="007B794B"/>
    <w:rsid w:val="007C0DEC"/>
    <w:rsid w:val="007C1ECE"/>
    <w:rsid w:val="007C3820"/>
    <w:rsid w:val="007C4C18"/>
    <w:rsid w:val="007D1A32"/>
    <w:rsid w:val="007D3FA4"/>
    <w:rsid w:val="007D5153"/>
    <w:rsid w:val="007D620F"/>
    <w:rsid w:val="007D6E68"/>
    <w:rsid w:val="007E14BD"/>
    <w:rsid w:val="007E3073"/>
    <w:rsid w:val="007E31EA"/>
    <w:rsid w:val="007E3B25"/>
    <w:rsid w:val="007E3B7D"/>
    <w:rsid w:val="007E5A22"/>
    <w:rsid w:val="007E7710"/>
    <w:rsid w:val="007F2008"/>
    <w:rsid w:val="007F22AC"/>
    <w:rsid w:val="007F29E1"/>
    <w:rsid w:val="007F42E3"/>
    <w:rsid w:val="007F4388"/>
    <w:rsid w:val="007F4788"/>
    <w:rsid w:val="007F618A"/>
    <w:rsid w:val="007F79C9"/>
    <w:rsid w:val="00801104"/>
    <w:rsid w:val="00801432"/>
    <w:rsid w:val="00802290"/>
    <w:rsid w:val="00803305"/>
    <w:rsid w:val="0080375B"/>
    <w:rsid w:val="00803FCC"/>
    <w:rsid w:val="008041F5"/>
    <w:rsid w:val="00804F53"/>
    <w:rsid w:val="0081042F"/>
    <w:rsid w:val="008120AF"/>
    <w:rsid w:val="008125B6"/>
    <w:rsid w:val="00812625"/>
    <w:rsid w:val="00814DBF"/>
    <w:rsid w:val="008163F3"/>
    <w:rsid w:val="00817759"/>
    <w:rsid w:val="00817C8F"/>
    <w:rsid w:val="00820982"/>
    <w:rsid w:val="008213C2"/>
    <w:rsid w:val="0082170D"/>
    <w:rsid w:val="0082187A"/>
    <w:rsid w:val="00822223"/>
    <w:rsid w:val="00822802"/>
    <w:rsid w:val="0082365E"/>
    <w:rsid w:val="008252B5"/>
    <w:rsid w:val="00825521"/>
    <w:rsid w:val="00831989"/>
    <w:rsid w:val="00831EBD"/>
    <w:rsid w:val="00836BE4"/>
    <w:rsid w:val="008378B4"/>
    <w:rsid w:val="00840A1A"/>
    <w:rsid w:val="00840D02"/>
    <w:rsid w:val="008431E0"/>
    <w:rsid w:val="00843A16"/>
    <w:rsid w:val="00844665"/>
    <w:rsid w:val="00845E4B"/>
    <w:rsid w:val="00846735"/>
    <w:rsid w:val="00846837"/>
    <w:rsid w:val="00846E42"/>
    <w:rsid w:val="00850601"/>
    <w:rsid w:val="00852698"/>
    <w:rsid w:val="008527C1"/>
    <w:rsid w:val="00852948"/>
    <w:rsid w:val="00853065"/>
    <w:rsid w:val="00854598"/>
    <w:rsid w:val="00856BDC"/>
    <w:rsid w:val="00857CBA"/>
    <w:rsid w:val="00861C4F"/>
    <w:rsid w:val="00862D0B"/>
    <w:rsid w:val="00863D30"/>
    <w:rsid w:val="008642DF"/>
    <w:rsid w:val="0086434F"/>
    <w:rsid w:val="00864FC3"/>
    <w:rsid w:val="00865731"/>
    <w:rsid w:val="00865AD8"/>
    <w:rsid w:val="00866CE0"/>
    <w:rsid w:val="008721CC"/>
    <w:rsid w:val="00872226"/>
    <w:rsid w:val="0087239F"/>
    <w:rsid w:val="00872B47"/>
    <w:rsid w:val="00874730"/>
    <w:rsid w:val="008751CE"/>
    <w:rsid w:val="00875F84"/>
    <w:rsid w:val="008773C3"/>
    <w:rsid w:val="00877623"/>
    <w:rsid w:val="008824EE"/>
    <w:rsid w:val="00882B7E"/>
    <w:rsid w:val="00882D96"/>
    <w:rsid w:val="00883EFA"/>
    <w:rsid w:val="00885A80"/>
    <w:rsid w:val="008867F6"/>
    <w:rsid w:val="00887818"/>
    <w:rsid w:val="00892C54"/>
    <w:rsid w:val="00893260"/>
    <w:rsid w:val="00894FFC"/>
    <w:rsid w:val="008952E6"/>
    <w:rsid w:val="0089533A"/>
    <w:rsid w:val="00896227"/>
    <w:rsid w:val="008A063A"/>
    <w:rsid w:val="008A0CAF"/>
    <w:rsid w:val="008A146D"/>
    <w:rsid w:val="008A37E3"/>
    <w:rsid w:val="008A5294"/>
    <w:rsid w:val="008A6398"/>
    <w:rsid w:val="008A73CB"/>
    <w:rsid w:val="008A79AF"/>
    <w:rsid w:val="008A7FE6"/>
    <w:rsid w:val="008B02D1"/>
    <w:rsid w:val="008B04B8"/>
    <w:rsid w:val="008B14A2"/>
    <w:rsid w:val="008B1A8D"/>
    <w:rsid w:val="008B1C28"/>
    <w:rsid w:val="008B31F8"/>
    <w:rsid w:val="008B7A52"/>
    <w:rsid w:val="008B7F12"/>
    <w:rsid w:val="008C00EC"/>
    <w:rsid w:val="008C0773"/>
    <w:rsid w:val="008C0CE5"/>
    <w:rsid w:val="008C1F78"/>
    <w:rsid w:val="008C5ABC"/>
    <w:rsid w:val="008C5C88"/>
    <w:rsid w:val="008D095A"/>
    <w:rsid w:val="008D1FCD"/>
    <w:rsid w:val="008D75EB"/>
    <w:rsid w:val="008E0A3D"/>
    <w:rsid w:val="008E0A75"/>
    <w:rsid w:val="008E0EAF"/>
    <w:rsid w:val="008E1805"/>
    <w:rsid w:val="008E6453"/>
    <w:rsid w:val="00900AA5"/>
    <w:rsid w:val="009027ED"/>
    <w:rsid w:val="00903409"/>
    <w:rsid w:val="00903846"/>
    <w:rsid w:val="0090525F"/>
    <w:rsid w:val="00911B9C"/>
    <w:rsid w:val="00915D0C"/>
    <w:rsid w:val="00917927"/>
    <w:rsid w:val="009201BE"/>
    <w:rsid w:val="00920B05"/>
    <w:rsid w:val="00923790"/>
    <w:rsid w:val="00924453"/>
    <w:rsid w:val="009249DA"/>
    <w:rsid w:val="009254FA"/>
    <w:rsid w:val="00927A4E"/>
    <w:rsid w:val="00927B3A"/>
    <w:rsid w:val="0093096D"/>
    <w:rsid w:val="00932EB4"/>
    <w:rsid w:val="009340B2"/>
    <w:rsid w:val="00934C7F"/>
    <w:rsid w:val="009369AB"/>
    <w:rsid w:val="00936BC3"/>
    <w:rsid w:val="009374CE"/>
    <w:rsid w:val="00940371"/>
    <w:rsid w:val="00940671"/>
    <w:rsid w:val="0094076F"/>
    <w:rsid w:val="00940ECD"/>
    <w:rsid w:val="00941A6A"/>
    <w:rsid w:val="00941C25"/>
    <w:rsid w:val="00942B42"/>
    <w:rsid w:val="0094326B"/>
    <w:rsid w:val="0094415E"/>
    <w:rsid w:val="0094416B"/>
    <w:rsid w:val="00946625"/>
    <w:rsid w:val="009472E3"/>
    <w:rsid w:val="00951733"/>
    <w:rsid w:val="009519FC"/>
    <w:rsid w:val="00952317"/>
    <w:rsid w:val="00953A8D"/>
    <w:rsid w:val="0095692A"/>
    <w:rsid w:val="00957D8E"/>
    <w:rsid w:val="0096040D"/>
    <w:rsid w:val="009606C6"/>
    <w:rsid w:val="00960AA9"/>
    <w:rsid w:val="00960D9D"/>
    <w:rsid w:val="009622C7"/>
    <w:rsid w:val="009663D4"/>
    <w:rsid w:val="00970F6A"/>
    <w:rsid w:val="009712C8"/>
    <w:rsid w:val="0097190C"/>
    <w:rsid w:val="009765DD"/>
    <w:rsid w:val="009775E7"/>
    <w:rsid w:val="0098097B"/>
    <w:rsid w:val="00981906"/>
    <w:rsid w:val="00982E10"/>
    <w:rsid w:val="00985129"/>
    <w:rsid w:val="00985BC6"/>
    <w:rsid w:val="00990CCF"/>
    <w:rsid w:val="009918D7"/>
    <w:rsid w:val="009919C7"/>
    <w:rsid w:val="009932CC"/>
    <w:rsid w:val="0099432E"/>
    <w:rsid w:val="0099453D"/>
    <w:rsid w:val="009951C5"/>
    <w:rsid w:val="00996D23"/>
    <w:rsid w:val="00997A92"/>
    <w:rsid w:val="009A0A11"/>
    <w:rsid w:val="009A1504"/>
    <w:rsid w:val="009A1864"/>
    <w:rsid w:val="009A1C69"/>
    <w:rsid w:val="009A28D5"/>
    <w:rsid w:val="009A3393"/>
    <w:rsid w:val="009A43A3"/>
    <w:rsid w:val="009A50FC"/>
    <w:rsid w:val="009A5FEB"/>
    <w:rsid w:val="009A7A34"/>
    <w:rsid w:val="009B0288"/>
    <w:rsid w:val="009B077D"/>
    <w:rsid w:val="009B0FA0"/>
    <w:rsid w:val="009B5599"/>
    <w:rsid w:val="009B5BD8"/>
    <w:rsid w:val="009C0FD7"/>
    <w:rsid w:val="009C24D9"/>
    <w:rsid w:val="009C3C8C"/>
    <w:rsid w:val="009C4B4C"/>
    <w:rsid w:val="009C4C54"/>
    <w:rsid w:val="009C4FD2"/>
    <w:rsid w:val="009C7161"/>
    <w:rsid w:val="009C72CA"/>
    <w:rsid w:val="009C76C1"/>
    <w:rsid w:val="009D05EC"/>
    <w:rsid w:val="009D11D6"/>
    <w:rsid w:val="009D3AF6"/>
    <w:rsid w:val="009D4019"/>
    <w:rsid w:val="009D628C"/>
    <w:rsid w:val="009E11BA"/>
    <w:rsid w:val="009E141B"/>
    <w:rsid w:val="009E2D6C"/>
    <w:rsid w:val="009E660D"/>
    <w:rsid w:val="009F50D8"/>
    <w:rsid w:val="009F7E80"/>
    <w:rsid w:val="00A01C05"/>
    <w:rsid w:val="00A03535"/>
    <w:rsid w:val="00A045A2"/>
    <w:rsid w:val="00A04B6D"/>
    <w:rsid w:val="00A06DD7"/>
    <w:rsid w:val="00A12BCC"/>
    <w:rsid w:val="00A14318"/>
    <w:rsid w:val="00A14F4E"/>
    <w:rsid w:val="00A15EC0"/>
    <w:rsid w:val="00A167FB"/>
    <w:rsid w:val="00A174F5"/>
    <w:rsid w:val="00A17983"/>
    <w:rsid w:val="00A20E1D"/>
    <w:rsid w:val="00A2164C"/>
    <w:rsid w:val="00A241E3"/>
    <w:rsid w:val="00A32095"/>
    <w:rsid w:val="00A32C7A"/>
    <w:rsid w:val="00A32E70"/>
    <w:rsid w:val="00A3383A"/>
    <w:rsid w:val="00A33E33"/>
    <w:rsid w:val="00A34D08"/>
    <w:rsid w:val="00A36C30"/>
    <w:rsid w:val="00A43557"/>
    <w:rsid w:val="00A44D85"/>
    <w:rsid w:val="00A45025"/>
    <w:rsid w:val="00A45844"/>
    <w:rsid w:val="00A50A76"/>
    <w:rsid w:val="00A51077"/>
    <w:rsid w:val="00A51224"/>
    <w:rsid w:val="00A53A6B"/>
    <w:rsid w:val="00A5433B"/>
    <w:rsid w:val="00A54C60"/>
    <w:rsid w:val="00A54E1A"/>
    <w:rsid w:val="00A55441"/>
    <w:rsid w:val="00A56A48"/>
    <w:rsid w:val="00A56DEC"/>
    <w:rsid w:val="00A57042"/>
    <w:rsid w:val="00A60B48"/>
    <w:rsid w:val="00A612FF"/>
    <w:rsid w:val="00A614D0"/>
    <w:rsid w:val="00A62BFB"/>
    <w:rsid w:val="00A6462A"/>
    <w:rsid w:val="00A65FDE"/>
    <w:rsid w:val="00A6602B"/>
    <w:rsid w:val="00A66E8A"/>
    <w:rsid w:val="00A71943"/>
    <w:rsid w:val="00A730EF"/>
    <w:rsid w:val="00A733C2"/>
    <w:rsid w:val="00A7361D"/>
    <w:rsid w:val="00A7456C"/>
    <w:rsid w:val="00A75588"/>
    <w:rsid w:val="00A772B5"/>
    <w:rsid w:val="00A778FF"/>
    <w:rsid w:val="00A77D5D"/>
    <w:rsid w:val="00A80635"/>
    <w:rsid w:val="00A82118"/>
    <w:rsid w:val="00A82EA9"/>
    <w:rsid w:val="00A87BD4"/>
    <w:rsid w:val="00A91E7F"/>
    <w:rsid w:val="00A95C14"/>
    <w:rsid w:val="00A95FAA"/>
    <w:rsid w:val="00A9666F"/>
    <w:rsid w:val="00A97BA6"/>
    <w:rsid w:val="00A97C92"/>
    <w:rsid w:val="00AA0797"/>
    <w:rsid w:val="00AA2F4F"/>
    <w:rsid w:val="00AA4BFF"/>
    <w:rsid w:val="00AA51E7"/>
    <w:rsid w:val="00AB0069"/>
    <w:rsid w:val="00AB18A3"/>
    <w:rsid w:val="00AB24E1"/>
    <w:rsid w:val="00AB2AB3"/>
    <w:rsid w:val="00AB3D71"/>
    <w:rsid w:val="00AB6EAC"/>
    <w:rsid w:val="00AC07A4"/>
    <w:rsid w:val="00AC271E"/>
    <w:rsid w:val="00AC40F3"/>
    <w:rsid w:val="00AC67A5"/>
    <w:rsid w:val="00AD0EF9"/>
    <w:rsid w:val="00AD1F3F"/>
    <w:rsid w:val="00AD2944"/>
    <w:rsid w:val="00AD35EF"/>
    <w:rsid w:val="00AD4A4D"/>
    <w:rsid w:val="00AD57B1"/>
    <w:rsid w:val="00AD612A"/>
    <w:rsid w:val="00AD7A2D"/>
    <w:rsid w:val="00AE2F42"/>
    <w:rsid w:val="00AE33A9"/>
    <w:rsid w:val="00AE4666"/>
    <w:rsid w:val="00AE5255"/>
    <w:rsid w:val="00AE77B2"/>
    <w:rsid w:val="00AF140A"/>
    <w:rsid w:val="00AF1F7E"/>
    <w:rsid w:val="00AF2CDB"/>
    <w:rsid w:val="00AF4251"/>
    <w:rsid w:val="00AF4AEB"/>
    <w:rsid w:val="00AF539D"/>
    <w:rsid w:val="00AF59B9"/>
    <w:rsid w:val="00AF5A5E"/>
    <w:rsid w:val="00AF7241"/>
    <w:rsid w:val="00B001E4"/>
    <w:rsid w:val="00B0153A"/>
    <w:rsid w:val="00B03CE1"/>
    <w:rsid w:val="00B045F0"/>
    <w:rsid w:val="00B04889"/>
    <w:rsid w:val="00B04DC4"/>
    <w:rsid w:val="00B053A0"/>
    <w:rsid w:val="00B05CA8"/>
    <w:rsid w:val="00B06013"/>
    <w:rsid w:val="00B06CAC"/>
    <w:rsid w:val="00B07049"/>
    <w:rsid w:val="00B1380A"/>
    <w:rsid w:val="00B13902"/>
    <w:rsid w:val="00B13FA7"/>
    <w:rsid w:val="00B14244"/>
    <w:rsid w:val="00B1506B"/>
    <w:rsid w:val="00B238AA"/>
    <w:rsid w:val="00B24B2E"/>
    <w:rsid w:val="00B24DB2"/>
    <w:rsid w:val="00B251E2"/>
    <w:rsid w:val="00B25570"/>
    <w:rsid w:val="00B2579E"/>
    <w:rsid w:val="00B25DA5"/>
    <w:rsid w:val="00B260DF"/>
    <w:rsid w:val="00B31660"/>
    <w:rsid w:val="00B3394C"/>
    <w:rsid w:val="00B33AC0"/>
    <w:rsid w:val="00B34081"/>
    <w:rsid w:val="00B35386"/>
    <w:rsid w:val="00B356C3"/>
    <w:rsid w:val="00B35BF4"/>
    <w:rsid w:val="00B362C6"/>
    <w:rsid w:val="00B37E3B"/>
    <w:rsid w:val="00B40BE8"/>
    <w:rsid w:val="00B41994"/>
    <w:rsid w:val="00B42655"/>
    <w:rsid w:val="00B431ED"/>
    <w:rsid w:val="00B44BDA"/>
    <w:rsid w:val="00B4503B"/>
    <w:rsid w:val="00B453F2"/>
    <w:rsid w:val="00B462E6"/>
    <w:rsid w:val="00B46EBD"/>
    <w:rsid w:val="00B51489"/>
    <w:rsid w:val="00B5163B"/>
    <w:rsid w:val="00B51651"/>
    <w:rsid w:val="00B525EE"/>
    <w:rsid w:val="00B54E9C"/>
    <w:rsid w:val="00B55021"/>
    <w:rsid w:val="00B562C4"/>
    <w:rsid w:val="00B571D5"/>
    <w:rsid w:val="00B57273"/>
    <w:rsid w:val="00B6012E"/>
    <w:rsid w:val="00B6112C"/>
    <w:rsid w:val="00B61C6C"/>
    <w:rsid w:val="00B622E7"/>
    <w:rsid w:val="00B62C96"/>
    <w:rsid w:val="00B6380C"/>
    <w:rsid w:val="00B63F64"/>
    <w:rsid w:val="00B641A3"/>
    <w:rsid w:val="00B6545B"/>
    <w:rsid w:val="00B6556C"/>
    <w:rsid w:val="00B6734D"/>
    <w:rsid w:val="00B67AA9"/>
    <w:rsid w:val="00B72B76"/>
    <w:rsid w:val="00B72F4B"/>
    <w:rsid w:val="00B73DAC"/>
    <w:rsid w:val="00B744B2"/>
    <w:rsid w:val="00B7597A"/>
    <w:rsid w:val="00B75E8C"/>
    <w:rsid w:val="00B7603F"/>
    <w:rsid w:val="00B76E5E"/>
    <w:rsid w:val="00B77EF4"/>
    <w:rsid w:val="00B815E2"/>
    <w:rsid w:val="00B846D4"/>
    <w:rsid w:val="00B84A71"/>
    <w:rsid w:val="00B8544D"/>
    <w:rsid w:val="00B871A9"/>
    <w:rsid w:val="00B878CE"/>
    <w:rsid w:val="00B87B22"/>
    <w:rsid w:val="00B87F9C"/>
    <w:rsid w:val="00B906FF"/>
    <w:rsid w:val="00B9211C"/>
    <w:rsid w:val="00B92EEC"/>
    <w:rsid w:val="00B950A5"/>
    <w:rsid w:val="00B97541"/>
    <w:rsid w:val="00BA1CA0"/>
    <w:rsid w:val="00BA455A"/>
    <w:rsid w:val="00BA5528"/>
    <w:rsid w:val="00BA606D"/>
    <w:rsid w:val="00BA688E"/>
    <w:rsid w:val="00BB0742"/>
    <w:rsid w:val="00BB1B0D"/>
    <w:rsid w:val="00BB6818"/>
    <w:rsid w:val="00BC013C"/>
    <w:rsid w:val="00BC0541"/>
    <w:rsid w:val="00BC0C96"/>
    <w:rsid w:val="00BC2AF7"/>
    <w:rsid w:val="00BC328D"/>
    <w:rsid w:val="00BC395B"/>
    <w:rsid w:val="00BC3F67"/>
    <w:rsid w:val="00BC45BA"/>
    <w:rsid w:val="00BC5F4E"/>
    <w:rsid w:val="00BC5FDE"/>
    <w:rsid w:val="00BC7297"/>
    <w:rsid w:val="00BC72EA"/>
    <w:rsid w:val="00BD0240"/>
    <w:rsid w:val="00BD0822"/>
    <w:rsid w:val="00BD1E79"/>
    <w:rsid w:val="00BD2C19"/>
    <w:rsid w:val="00BD5E01"/>
    <w:rsid w:val="00BD799F"/>
    <w:rsid w:val="00BE0125"/>
    <w:rsid w:val="00BE0A98"/>
    <w:rsid w:val="00BE1867"/>
    <w:rsid w:val="00BE558E"/>
    <w:rsid w:val="00BE5FB6"/>
    <w:rsid w:val="00BE79DB"/>
    <w:rsid w:val="00BF11D7"/>
    <w:rsid w:val="00BF467C"/>
    <w:rsid w:val="00BF59B0"/>
    <w:rsid w:val="00BF7D62"/>
    <w:rsid w:val="00C0130E"/>
    <w:rsid w:val="00C0272E"/>
    <w:rsid w:val="00C02B41"/>
    <w:rsid w:val="00C04D36"/>
    <w:rsid w:val="00C04DB4"/>
    <w:rsid w:val="00C05EB3"/>
    <w:rsid w:val="00C06FCE"/>
    <w:rsid w:val="00C07C03"/>
    <w:rsid w:val="00C10747"/>
    <w:rsid w:val="00C10EB5"/>
    <w:rsid w:val="00C12025"/>
    <w:rsid w:val="00C133C8"/>
    <w:rsid w:val="00C1447E"/>
    <w:rsid w:val="00C150D8"/>
    <w:rsid w:val="00C15F7E"/>
    <w:rsid w:val="00C17EAB"/>
    <w:rsid w:val="00C21159"/>
    <w:rsid w:val="00C21650"/>
    <w:rsid w:val="00C265C0"/>
    <w:rsid w:val="00C27482"/>
    <w:rsid w:val="00C27842"/>
    <w:rsid w:val="00C27872"/>
    <w:rsid w:val="00C30595"/>
    <w:rsid w:val="00C30AAD"/>
    <w:rsid w:val="00C311B3"/>
    <w:rsid w:val="00C33D9D"/>
    <w:rsid w:val="00C35637"/>
    <w:rsid w:val="00C36AC4"/>
    <w:rsid w:val="00C418FA"/>
    <w:rsid w:val="00C44424"/>
    <w:rsid w:val="00C44FA7"/>
    <w:rsid w:val="00C472A4"/>
    <w:rsid w:val="00C537EB"/>
    <w:rsid w:val="00C61A21"/>
    <w:rsid w:val="00C62EDF"/>
    <w:rsid w:val="00C630B4"/>
    <w:rsid w:val="00C654F4"/>
    <w:rsid w:val="00C66654"/>
    <w:rsid w:val="00C706EC"/>
    <w:rsid w:val="00C71F95"/>
    <w:rsid w:val="00C72C64"/>
    <w:rsid w:val="00C73585"/>
    <w:rsid w:val="00C73C0D"/>
    <w:rsid w:val="00C7436B"/>
    <w:rsid w:val="00C7586A"/>
    <w:rsid w:val="00C76480"/>
    <w:rsid w:val="00C7694C"/>
    <w:rsid w:val="00C77547"/>
    <w:rsid w:val="00C778E6"/>
    <w:rsid w:val="00C81E07"/>
    <w:rsid w:val="00C8388D"/>
    <w:rsid w:val="00C839A9"/>
    <w:rsid w:val="00C83FB4"/>
    <w:rsid w:val="00C849C6"/>
    <w:rsid w:val="00C85D6A"/>
    <w:rsid w:val="00C874E9"/>
    <w:rsid w:val="00C87BED"/>
    <w:rsid w:val="00C9040A"/>
    <w:rsid w:val="00C90AFC"/>
    <w:rsid w:val="00C94693"/>
    <w:rsid w:val="00C94898"/>
    <w:rsid w:val="00CA2D32"/>
    <w:rsid w:val="00CA3FE6"/>
    <w:rsid w:val="00CA6414"/>
    <w:rsid w:val="00CA74DC"/>
    <w:rsid w:val="00CB2AB7"/>
    <w:rsid w:val="00CC0083"/>
    <w:rsid w:val="00CC27F3"/>
    <w:rsid w:val="00CC3194"/>
    <w:rsid w:val="00CC3562"/>
    <w:rsid w:val="00CC4D63"/>
    <w:rsid w:val="00CC5E5B"/>
    <w:rsid w:val="00CC61A5"/>
    <w:rsid w:val="00CC772A"/>
    <w:rsid w:val="00CC7E08"/>
    <w:rsid w:val="00CD14DB"/>
    <w:rsid w:val="00CD3B91"/>
    <w:rsid w:val="00CD6D72"/>
    <w:rsid w:val="00CE0348"/>
    <w:rsid w:val="00CE2E0F"/>
    <w:rsid w:val="00CE5FE4"/>
    <w:rsid w:val="00CE6283"/>
    <w:rsid w:val="00CE67AA"/>
    <w:rsid w:val="00CE6F33"/>
    <w:rsid w:val="00CE73B5"/>
    <w:rsid w:val="00CE791D"/>
    <w:rsid w:val="00CE79D7"/>
    <w:rsid w:val="00CE7CE3"/>
    <w:rsid w:val="00CF2071"/>
    <w:rsid w:val="00CF244E"/>
    <w:rsid w:val="00CF278D"/>
    <w:rsid w:val="00CF2FE9"/>
    <w:rsid w:val="00CF37C7"/>
    <w:rsid w:val="00CF3CF8"/>
    <w:rsid w:val="00CF474D"/>
    <w:rsid w:val="00CF5A64"/>
    <w:rsid w:val="00CF6622"/>
    <w:rsid w:val="00CF749A"/>
    <w:rsid w:val="00D0089A"/>
    <w:rsid w:val="00D014C7"/>
    <w:rsid w:val="00D01548"/>
    <w:rsid w:val="00D04D5F"/>
    <w:rsid w:val="00D04DD6"/>
    <w:rsid w:val="00D04DFA"/>
    <w:rsid w:val="00D0597F"/>
    <w:rsid w:val="00D05F35"/>
    <w:rsid w:val="00D06393"/>
    <w:rsid w:val="00D06C3F"/>
    <w:rsid w:val="00D06E5E"/>
    <w:rsid w:val="00D06F79"/>
    <w:rsid w:val="00D10597"/>
    <w:rsid w:val="00D112DC"/>
    <w:rsid w:val="00D120A3"/>
    <w:rsid w:val="00D13288"/>
    <w:rsid w:val="00D13AF8"/>
    <w:rsid w:val="00D1584B"/>
    <w:rsid w:val="00D20601"/>
    <w:rsid w:val="00D219E9"/>
    <w:rsid w:val="00D2205B"/>
    <w:rsid w:val="00D23418"/>
    <w:rsid w:val="00D23923"/>
    <w:rsid w:val="00D24606"/>
    <w:rsid w:val="00D2620A"/>
    <w:rsid w:val="00D3056A"/>
    <w:rsid w:val="00D3064D"/>
    <w:rsid w:val="00D30AED"/>
    <w:rsid w:val="00D30F84"/>
    <w:rsid w:val="00D31091"/>
    <w:rsid w:val="00D33CFE"/>
    <w:rsid w:val="00D33DDE"/>
    <w:rsid w:val="00D34DA4"/>
    <w:rsid w:val="00D35C1D"/>
    <w:rsid w:val="00D3752F"/>
    <w:rsid w:val="00D40DDE"/>
    <w:rsid w:val="00D42D78"/>
    <w:rsid w:val="00D43970"/>
    <w:rsid w:val="00D43CA5"/>
    <w:rsid w:val="00D44CA5"/>
    <w:rsid w:val="00D460E5"/>
    <w:rsid w:val="00D46E12"/>
    <w:rsid w:val="00D50734"/>
    <w:rsid w:val="00D507C0"/>
    <w:rsid w:val="00D513CC"/>
    <w:rsid w:val="00D5172A"/>
    <w:rsid w:val="00D56435"/>
    <w:rsid w:val="00D62755"/>
    <w:rsid w:val="00D62AA4"/>
    <w:rsid w:val="00D6318F"/>
    <w:rsid w:val="00D650BB"/>
    <w:rsid w:val="00D6540A"/>
    <w:rsid w:val="00D70107"/>
    <w:rsid w:val="00D70438"/>
    <w:rsid w:val="00D717AD"/>
    <w:rsid w:val="00D720AD"/>
    <w:rsid w:val="00D72D1D"/>
    <w:rsid w:val="00D74A18"/>
    <w:rsid w:val="00D74D3E"/>
    <w:rsid w:val="00D757C6"/>
    <w:rsid w:val="00D75C41"/>
    <w:rsid w:val="00D80529"/>
    <w:rsid w:val="00D80F78"/>
    <w:rsid w:val="00D819FC"/>
    <w:rsid w:val="00D81AC3"/>
    <w:rsid w:val="00D81C59"/>
    <w:rsid w:val="00D82A5B"/>
    <w:rsid w:val="00D84637"/>
    <w:rsid w:val="00D8473B"/>
    <w:rsid w:val="00D85780"/>
    <w:rsid w:val="00D925AA"/>
    <w:rsid w:val="00D9283D"/>
    <w:rsid w:val="00D930DD"/>
    <w:rsid w:val="00D9341C"/>
    <w:rsid w:val="00D94B7D"/>
    <w:rsid w:val="00DA0B1A"/>
    <w:rsid w:val="00DA1560"/>
    <w:rsid w:val="00DA3176"/>
    <w:rsid w:val="00DA4C44"/>
    <w:rsid w:val="00DA4C48"/>
    <w:rsid w:val="00DA4E21"/>
    <w:rsid w:val="00DA6847"/>
    <w:rsid w:val="00DA71EF"/>
    <w:rsid w:val="00DA7A18"/>
    <w:rsid w:val="00DB1347"/>
    <w:rsid w:val="00DB28CE"/>
    <w:rsid w:val="00DB29BC"/>
    <w:rsid w:val="00DB2A2A"/>
    <w:rsid w:val="00DB479F"/>
    <w:rsid w:val="00DB55B6"/>
    <w:rsid w:val="00DB5EA7"/>
    <w:rsid w:val="00DB5F21"/>
    <w:rsid w:val="00DB6D7C"/>
    <w:rsid w:val="00DB7183"/>
    <w:rsid w:val="00DC090A"/>
    <w:rsid w:val="00DC0E7E"/>
    <w:rsid w:val="00DC2D72"/>
    <w:rsid w:val="00DC30EA"/>
    <w:rsid w:val="00DC4FE9"/>
    <w:rsid w:val="00DC5918"/>
    <w:rsid w:val="00DC6772"/>
    <w:rsid w:val="00DC6C8D"/>
    <w:rsid w:val="00DC73A5"/>
    <w:rsid w:val="00DD0236"/>
    <w:rsid w:val="00DD4100"/>
    <w:rsid w:val="00DD4FCB"/>
    <w:rsid w:val="00DD76A4"/>
    <w:rsid w:val="00DD7C65"/>
    <w:rsid w:val="00DE03E4"/>
    <w:rsid w:val="00DE1134"/>
    <w:rsid w:val="00DE132B"/>
    <w:rsid w:val="00DE1AEB"/>
    <w:rsid w:val="00DE2247"/>
    <w:rsid w:val="00DE2A34"/>
    <w:rsid w:val="00DE37AE"/>
    <w:rsid w:val="00DE4732"/>
    <w:rsid w:val="00DE6668"/>
    <w:rsid w:val="00DE6987"/>
    <w:rsid w:val="00DE7339"/>
    <w:rsid w:val="00DE7C4B"/>
    <w:rsid w:val="00DF1246"/>
    <w:rsid w:val="00DF30C0"/>
    <w:rsid w:val="00E0080A"/>
    <w:rsid w:val="00E00F31"/>
    <w:rsid w:val="00E02242"/>
    <w:rsid w:val="00E0300E"/>
    <w:rsid w:val="00E04AE0"/>
    <w:rsid w:val="00E070D0"/>
    <w:rsid w:val="00E075BF"/>
    <w:rsid w:val="00E11517"/>
    <w:rsid w:val="00E12834"/>
    <w:rsid w:val="00E13727"/>
    <w:rsid w:val="00E15630"/>
    <w:rsid w:val="00E17AB3"/>
    <w:rsid w:val="00E20254"/>
    <w:rsid w:val="00E209F0"/>
    <w:rsid w:val="00E219EB"/>
    <w:rsid w:val="00E22C13"/>
    <w:rsid w:val="00E23129"/>
    <w:rsid w:val="00E25045"/>
    <w:rsid w:val="00E2677C"/>
    <w:rsid w:val="00E26D83"/>
    <w:rsid w:val="00E271CD"/>
    <w:rsid w:val="00E27A1E"/>
    <w:rsid w:val="00E306E9"/>
    <w:rsid w:val="00E307DC"/>
    <w:rsid w:val="00E31F3E"/>
    <w:rsid w:val="00E323CF"/>
    <w:rsid w:val="00E334B9"/>
    <w:rsid w:val="00E33905"/>
    <w:rsid w:val="00E342D1"/>
    <w:rsid w:val="00E34B96"/>
    <w:rsid w:val="00E37502"/>
    <w:rsid w:val="00E40127"/>
    <w:rsid w:val="00E43074"/>
    <w:rsid w:val="00E431C8"/>
    <w:rsid w:val="00E44926"/>
    <w:rsid w:val="00E44E09"/>
    <w:rsid w:val="00E45D53"/>
    <w:rsid w:val="00E46DBD"/>
    <w:rsid w:val="00E51708"/>
    <w:rsid w:val="00E51729"/>
    <w:rsid w:val="00E51D0A"/>
    <w:rsid w:val="00E53139"/>
    <w:rsid w:val="00E53A8F"/>
    <w:rsid w:val="00E5435E"/>
    <w:rsid w:val="00E55A81"/>
    <w:rsid w:val="00E56450"/>
    <w:rsid w:val="00E56DA8"/>
    <w:rsid w:val="00E60ACC"/>
    <w:rsid w:val="00E60C4B"/>
    <w:rsid w:val="00E60E21"/>
    <w:rsid w:val="00E6570E"/>
    <w:rsid w:val="00E66638"/>
    <w:rsid w:val="00E6706E"/>
    <w:rsid w:val="00E7211D"/>
    <w:rsid w:val="00E7360F"/>
    <w:rsid w:val="00E754C2"/>
    <w:rsid w:val="00E757CA"/>
    <w:rsid w:val="00E75D48"/>
    <w:rsid w:val="00E76750"/>
    <w:rsid w:val="00E773CD"/>
    <w:rsid w:val="00E774C9"/>
    <w:rsid w:val="00E77D0C"/>
    <w:rsid w:val="00E80964"/>
    <w:rsid w:val="00E809F4"/>
    <w:rsid w:val="00E83D43"/>
    <w:rsid w:val="00E841A6"/>
    <w:rsid w:val="00E84BCB"/>
    <w:rsid w:val="00E85905"/>
    <w:rsid w:val="00E85D20"/>
    <w:rsid w:val="00E87C0D"/>
    <w:rsid w:val="00E90DC4"/>
    <w:rsid w:val="00E9163F"/>
    <w:rsid w:val="00E91CB7"/>
    <w:rsid w:val="00E955B0"/>
    <w:rsid w:val="00E956E8"/>
    <w:rsid w:val="00EA022D"/>
    <w:rsid w:val="00EA0D10"/>
    <w:rsid w:val="00EA0F2C"/>
    <w:rsid w:val="00EA19CB"/>
    <w:rsid w:val="00EA2C8F"/>
    <w:rsid w:val="00EA3BBB"/>
    <w:rsid w:val="00EA5045"/>
    <w:rsid w:val="00EA5D64"/>
    <w:rsid w:val="00EA613A"/>
    <w:rsid w:val="00EA6A8C"/>
    <w:rsid w:val="00EB2AD1"/>
    <w:rsid w:val="00EB2F9F"/>
    <w:rsid w:val="00EB3067"/>
    <w:rsid w:val="00EB353E"/>
    <w:rsid w:val="00EB3AA1"/>
    <w:rsid w:val="00EB56E0"/>
    <w:rsid w:val="00EB5DDF"/>
    <w:rsid w:val="00EB6E66"/>
    <w:rsid w:val="00EB7A75"/>
    <w:rsid w:val="00EC0129"/>
    <w:rsid w:val="00EC3CEC"/>
    <w:rsid w:val="00EC4625"/>
    <w:rsid w:val="00ED139E"/>
    <w:rsid w:val="00ED1759"/>
    <w:rsid w:val="00ED27A5"/>
    <w:rsid w:val="00ED3ECB"/>
    <w:rsid w:val="00ED445D"/>
    <w:rsid w:val="00ED461C"/>
    <w:rsid w:val="00ED5E2B"/>
    <w:rsid w:val="00EE01C2"/>
    <w:rsid w:val="00EE2FEA"/>
    <w:rsid w:val="00EE37A2"/>
    <w:rsid w:val="00EE3B12"/>
    <w:rsid w:val="00EE5AF3"/>
    <w:rsid w:val="00EE5E91"/>
    <w:rsid w:val="00EE5F8C"/>
    <w:rsid w:val="00EE73BC"/>
    <w:rsid w:val="00EE7AC8"/>
    <w:rsid w:val="00EF00AA"/>
    <w:rsid w:val="00EF3996"/>
    <w:rsid w:val="00F0026A"/>
    <w:rsid w:val="00F021E7"/>
    <w:rsid w:val="00F026C1"/>
    <w:rsid w:val="00F039D1"/>
    <w:rsid w:val="00F05BEC"/>
    <w:rsid w:val="00F05D0F"/>
    <w:rsid w:val="00F05DB4"/>
    <w:rsid w:val="00F13358"/>
    <w:rsid w:val="00F1456D"/>
    <w:rsid w:val="00F14DA0"/>
    <w:rsid w:val="00F15387"/>
    <w:rsid w:val="00F15D8B"/>
    <w:rsid w:val="00F15F46"/>
    <w:rsid w:val="00F17D58"/>
    <w:rsid w:val="00F228F5"/>
    <w:rsid w:val="00F23140"/>
    <w:rsid w:val="00F23FD4"/>
    <w:rsid w:val="00F24143"/>
    <w:rsid w:val="00F241BE"/>
    <w:rsid w:val="00F24962"/>
    <w:rsid w:val="00F25038"/>
    <w:rsid w:val="00F2735C"/>
    <w:rsid w:val="00F3124A"/>
    <w:rsid w:val="00F31D41"/>
    <w:rsid w:val="00F34539"/>
    <w:rsid w:val="00F35005"/>
    <w:rsid w:val="00F359FB"/>
    <w:rsid w:val="00F364CB"/>
    <w:rsid w:val="00F36E13"/>
    <w:rsid w:val="00F37601"/>
    <w:rsid w:val="00F4058E"/>
    <w:rsid w:val="00F4220F"/>
    <w:rsid w:val="00F423B8"/>
    <w:rsid w:val="00F43F58"/>
    <w:rsid w:val="00F45507"/>
    <w:rsid w:val="00F46014"/>
    <w:rsid w:val="00F47670"/>
    <w:rsid w:val="00F51371"/>
    <w:rsid w:val="00F51AF6"/>
    <w:rsid w:val="00F551E9"/>
    <w:rsid w:val="00F55A95"/>
    <w:rsid w:val="00F56113"/>
    <w:rsid w:val="00F5640F"/>
    <w:rsid w:val="00F56735"/>
    <w:rsid w:val="00F56B3A"/>
    <w:rsid w:val="00F60F94"/>
    <w:rsid w:val="00F615F9"/>
    <w:rsid w:val="00F62055"/>
    <w:rsid w:val="00F620BE"/>
    <w:rsid w:val="00F64DC5"/>
    <w:rsid w:val="00F66F48"/>
    <w:rsid w:val="00F67A34"/>
    <w:rsid w:val="00F7019D"/>
    <w:rsid w:val="00F73938"/>
    <w:rsid w:val="00F73E87"/>
    <w:rsid w:val="00F74224"/>
    <w:rsid w:val="00F747A9"/>
    <w:rsid w:val="00F76696"/>
    <w:rsid w:val="00F77295"/>
    <w:rsid w:val="00F77A84"/>
    <w:rsid w:val="00F80438"/>
    <w:rsid w:val="00F87905"/>
    <w:rsid w:val="00F91A0D"/>
    <w:rsid w:val="00F9229E"/>
    <w:rsid w:val="00F92724"/>
    <w:rsid w:val="00F92A12"/>
    <w:rsid w:val="00F942E2"/>
    <w:rsid w:val="00F9523B"/>
    <w:rsid w:val="00F9546E"/>
    <w:rsid w:val="00F9560B"/>
    <w:rsid w:val="00F95755"/>
    <w:rsid w:val="00F96E67"/>
    <w:rsid w:val="00F96E92"/>
    <w:rsid w:val="00FA0700"/>
    <w:rsid w:val="00FA13CB"/>
    <w:rsid w:val="00FA2BE9"/>
    <w:rsid w:val="00FA31AE"/>
    <w:rsid w:val="00FA4FCD"/>
    <w:rsid w:val="00FB1DA4"/>
    <w:rsid w:val="00FB2973"/>
    <w:rsid w:val="00FB42CF"/>
    <w:rsid w:val="00FB511E"/>
    <w:rsid w:val="00FB7B5E"/>
    <w:rsid w:val="00FC07DD"/>
    <w:rsid w:val="00FC2B86"/>
    <w:rsid w:val="00FC48B5"/>
    <w:rsid w:val="00FC4CA2"/>
    <w:rsid w:val="00FC6FF3"/>
    <w:rsid w:val="00FC7629"/>
    <w:rsid w:val="00FC7B2A"/>
    <w:rsid w:val="00FD3D67"/>
    <w:rsid w:val="00FD45C0"/>
    <w:rsid w:val="00FD536A"/>
    <w:rsid w:val="00FD74FF"/>
    <w:rsid w:val="00FE3CEC"/>
    <w:rsid w:val="00FE4145"/>
    <w:rsid w:val="00FE5F2D"/>
    <w:rsid w:val="00FE607C"/>
    <w:rsid w:val="00FE6A1F"/>
    <w:rsid w:val="00FE73F2"/>
    <w:rsid w:val="00FE743E"/>
    <w:rsid w:val="00FF04FB"/>
    <w:rsid w:val="00FF0810"/>
    <w:rsid w:val="00FF11E6"/>
    <w:rsid w:val="00FF32F3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5a9a98,#ddcf56,#ad495d,#ab9c8f,#b5d3d2,#7e6d5f,#f26631,#54534a"/>
    </o:shapedefaults>
    <o:shapelayout v:ext="edit">
      <o:idmap v:ext="edit" data="1"/>
    </o:shapelayout>
  </w:shapeDefaults>
  <w:decimalSymbol w:val="."/>
  <w:listSeparator w:val=","/>
  <w15:chartTrackingRefBased/>
  <w15:docId w15:val="{13FFEDD2-9C99-4C6A-B779-E7F4C808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FE"/>
    <w:rPr>
      <w:szCs w:val="24"/>
      <w:lang w:val="en-AU" w:eastAsia="en-AU"/>
    </w:rPr>
  </w:style>
  <w:style w:type="paragraph" w:styleId="Heading1">
    <w:name w:val="heading 1"/>
    <w:basedOn w:val="Normal"/>
    <w:next w:val="BodyText"/>
    <w:qFormat/>
    <w:rsid w:val="00A612FF"/>
    <w:pPr>
      <w:keepNext/>
      <w:numPr>
        <w:numId w:val="7"/>
      </w:numPr>
      <w:spacing w:before="460" w:after="100" w:line="320" w:lineRule="atLeast"/>
      <w:ind w:left="0"/>
      <w:outlineLvl w:val="0"/>
    </w:pPr>
    <w:rPr>
      <w:rFonts w:ascii="Franklin Gothic Demi" w:hAnsi="Franklin Gothic Demi"/>
      <w:color w:val="AD495D"/>
      <w:kern w:val="28"/>
      <w:sz w:val="28"/>
      <w:szCs w:val="28"/>
    </w:rPr>
  </w:style>
  <w:style w:type="paragraph" w:styleId="Heading2">
    <w:name w:val="heading 2"/>
    <w:basedOn w:val="Heading1"/>
    <w:next w:val="BodyText"/>
    <w:qFormat/>
    <w:rsid w:val="00A66E8A"/>
    <w:pPr>
      <w:numPr>
        <w:ilvl w:val="1"/>
      </w:numPr>
      <w:spacing w:before="380" w:after="0" w:line="280" w:lineRule="atLeast"/>
      <w:ind w:left="0"/>
      <w:outlineLvl w:val="1"/>
    </w:pPr>
    <w:rPr>
      <w:rFonts w:ascii="Franklin Gothic Medium" w:hAnsi="Franklin Gothic Medium"/>
      <w:color w:val="5A9A98"/>
      <w:sz w:val="24"/>
      <w:szCs w:val="24"/>
    </w:rPr>
  </w:style>
  <w:style w:type="paragraph" w:styleId="Heading3">
    <w:name w:val="heading 3"/>
    <w:basedOn w:val="Heading2"/>
    <w:next w:val="BodyText"/>
    <w:qFormat/>
    <w:rsid w:val="00A66E8A"/>
    <w:pPr>
      <w:numPr>
        <w:ilvl w:val="2"/>
      </w:numPr>
      <w:spacing w:before="300" w:line="260" w:lineRule="atLeast"/>
      <w:outlineLvl w:val="2"/>
    </w:pPr>
    <w:rPr>
      <w:color w:val="54534A"/>
      <w:sz w:val="22"/>
      <w:szCs w:val="22"/>
    </w:rPr>
  </w:style>
  <w:style w:type="paragraph" w:styleId="Heading4">
    <w:name w:val="heading 4"/>
    <w:basedOn w:val="BodyText"/>
    <w:next w:val="BodyText"/>
    <w:qFormat/>
    <w:rsid w:val="00222F3B"/>
    <w:pPr>
      <w:numPr>
        <w:ilvl w:val="3"/>
        <w:numId w:val="7"/>
      </w:numPr>
      <w:spacing w:before="320" w:after="0"/>
      <w:outlineLvl w:val="3"/>
    </w:pPr>
    <w:rPr>
      <w:b/>
      <w:color w:val="54534A"/>
      <w:sz w:val="22"/>
      <w:szCs w:val="22"/>
    </w:rPr>
  </w:style>
  <w:style w:type="paragraph" w:styleId="Heading5">
    <w:name w:val="heading 5"/>
    <w:basedOn w:val="BodyText"/>
    <w:next w:val="BodyText"/>
    <w:qFormat/>
    <w:rsid w:val="00B525EE"/>
    <w:pPr>
      <w:keepNext/>
      <w:numPr>
        <w:ilvl w:val="4"/>
        <w:numId w:val="7"/>
      </w:numPr>
      <w:spacing w:before="320" w:after="0"/>
      <w:outlineLvl w:val="4"/>
    </w:pPr>
    <w:rPr>
      <w:b/>
      <w:color w:val="54534A"/>
    </w:rPr>
  </w:style>
  <w:style w:type="paragraph" w:styleId="Heading6">
    <w:name w:val="heading 6"/>
    <w:basedOn w:val="Heading1"/>
    <w:next w:val="BodyText"/>
    <w:qFormat/>
    <w:rsid w:val="00B525EE"/>
    <w:pPr>
      <w:numPr>
        <w:ilvl w:val="5"/>
      </w:numPr>
      <w:outlineLvl w:val="5"/>
    </w:pPr>
    <w:rPr>
      <w:bCs/>
    </w:rPr>
  </w:style>
  <w:style w:type="paragraph" w:styleId="Heading7">
    <w:name w:val="heading 7"/>
    <w:basedOn w:val="Heading2"/>
    <w:next w:val="BodyText"/>
    <w:qFormat/>
    <w:rsid w:val="00B525EE"/>
    <w:pPr>
      <w:numPr>
        <w:ilvl w:val="6"/>
      </w:numPr>
      <w:outlineLvl w:val="6"/>
    </w:pPr>
    <w:rPr>
      <w:rFonts w:ascii="Franklin Gothic Demi" w:hAnsi="Franklin Gothic Demi"/>
      <w:sz w:val="28"/>
      <w:szCs w:val="28"/>
    </w:rPr>
  </w:style>
  <w:style w:type="paragraph" w:styleId="Heading8">
    <w:name w:val="heading 8"/>
    <w:basedOn w:val="Heading3"/>
    <w:next w:val="BodyText"/>
    <w:qFormat/>
    <w:rsid w:val="00B525EE"/>
    <w:pPr>
      <w:numPr>
        <w:ilvl w:val="7"/>
      </w:numPr>
      <w:outlineLvl w:val="7"/>
    </w:pPr>
  </w:style>
  <w:style w:type="paragraph" w:styleId="Heading9">
    <w:name w:val="heading 9"/>
    <w:basedOn w:val="Heading4"/>
    <w:next w:val="BodyText"/>
    <w:qFormat/>
    <w:rsid w:val="00B525E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356A"/>
    <w:pPr>
      <w:spacing w:before="80" w:after="80" w:line="280" w:lineRule="atLeast"/>
    </w:pPr>
    <w:rPr>
      <w:rFonts w:ascii="Georgia" w:hAnsi="Georgia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01356A"/>
    <w:rPr>
      <w:rFonts w:ascii="Georgia" w:hAnsi="Georgia"/>
      <w:sz w:val="19"/>
      <w:szCs w:val="19"/>
      <w:lang w:val="en-AU" w:eastAsia="en-AU" w:bidi="ar-SA"/>
    </w:rPr>
  </w:style>
  <w:style w:type="character" w:customStyle="1" w:styleId="DraftingNote">
    <w:name w:val="Drafting Note"/>
    <w:basedOn w:val="DefaultParagraphFont"/>
    <w:semiHidden/>
    <w:rsid w:val="00F0026A"/>
    <w:rPr>
      <w:rFonts w:ascii="Georgia" w:hAnsi="Georgia"/>
      <w:b/>
      <w:color w:val="FF0000"/>
      <w:sz w:val="19"/>
      <w:szCs w:val="19"/>
      <w:u w:val="dotted"/>
    </w:rPr>
  </w:style>
  <w:style w:type="paragraph" w:customStyle="1" w:styleId="QuoteBullet">
    <w:name w:val="Quote Bullet"/>
    <w:basedOn w:val="Quote"/>
    <w:rsid w:val="008B14A2"/>
    <w:pPr>
      <w:numPr>
        <w:numId w:val="24"/>
      </w:numPr>
    </w:pPr>
  </w:style>
  <w:style w:type="paragraph" w:customStyle="1" w:styleId="Abbreviation">
    <w:name w:val="Abbreviation"/>
    <w:basedOn w:val="BodyText"/>
    <w:rsid w:val="00942B42"/>
    <w:pPr>
      <w:ind w:left="1418" w:hanging="1418"/>
    </w:pPr>
  </w:style>
  <w:style w:type="paragraph" w:customStyle="1" w:styleId="Ratingamber">
    <w:name w:val="Rating amber"/>
    <w:basedOn w:val="Normal"/>
    <w:semiHidden/>
    <w:rsid w:val="001C6E03"/>
    <w:pPr>
      <w:numPr>
        <w:numId w:val="11"/>
      </w:numPr>
      <w:spacing w:before="80" w:after="80" w:line="280" w:lineRule="atLeast"/>
    </w:pPr>
    <w:rPr>
      <w:rFonts w:ascii="Georgia" w:hAnsi="Georgia"/>
      <w:sz w:val="19"/>
      <w:szCs w:val="19"/>
    </w:rPr>
  </w:style>
  <w:style w:type="paragraph" w:styleId="ListBullet">
    <w:name w:val="List Bullet"/>
    <w:basedOn w:val="BodyText"/>
    <w:rsid w:val="002C5AF0"/>
    <w:pPr>
      <w:numPr>
        <w:numId w:val="17"/>
      </w:numPr>
    </w:pPr>
  </w:style>
  <w:style w:type="paragraph" w:styleId="ListBullet2">
    <w:name w:val="List Bullet 2"/>
    <w:basedOn w:val="ListBullet"/>
    <w:rsid w:val="00D42D78"/>
    <w:pPr>
      <w:numPr>
        <w:numId w:val="13"/>
      </w:numPr>
      <w:spacing w:before="0"/>
      <w:ind w:left="568" w:hanging="284"/>
    </w:pPr>
  </w:style>
  <w:style w:type="paragraph" w:styleId="ListNumber">
    <w:name w:val="List Number"/>
    <w:basedOn w:val="ListBullet"/>
    <w:rsid w:val="00D42D78"/>
    <w:pPr>
      <w:numPr>
        <w:numId w:val="14"/>
      </w:numPr>
    </w:pPr>
  </w:style>
  <w:style w:type="paragraph" w:styleId="ListNumber2">
    <w:name w:val="List Number 2"/>
    <w:basedOn w:val="ListNumber"/>
    <w:rsid w:val="00D42D78"/>
    <w:pPr>
      <w:numPr>
        <w:numId w:val="15"/>
      </w:numPr>
      <w:spacing w:before="0"/>
      <w:ind w:left="568" w:hanging="284"/>
    </w:pPr>
  </w:style>
  <w:style w:type="paragraph" w:styleId="Quote">
    <w:name w:val="Quote"/>
    <w:basedOn w:val="BodyText"/>
    <w:next w:val="BodyText"/>
    <w:qFormat/>
    <w:rsid w:val="00B84A71"/>
    <w:pPr>
      <w:spacing w:before="0" w:line="260" w:lineRule="atLeast"/>
      <w:ind w:left="284"/>
    </w:pPr>
    <w:rPr>
      <w:sz w:val="17"/>
      <w:szCs w:val="17"/>
    </w:rPr>
  </w:style>
  <w:style w:type="paragraph" w:customStyle="1" w:styleId="Ratinggreen">
    <w:name w:val="Rating green"/>
    <w:basedOn w:val="Ratingamber"/>
    <w:semiHidden/>
    <w:rsid w:val="001C6E03"/>
    <w:pPr>
      <w:numPr>
        <w:numId w:val="12"/>
      </w:numPr>
    </w:pPr>
  </w:style>
  <w:style w:type="paragraph" w:customStyle="1" w:styleId="Reference">
    <w:name w:val="Reference"/>
    <w:basedOn w:val="BodyText"/>
    <w:semiHidden/>
    <w:rsid w:val="00F0026A"/>
    <w:pPr>
      <w:keepLines/>
      <w:spacing w:before="60" w:after="60" w:line="260" w:lineRule="atLeast"/>
      <w:ind w:left="284" w:hanging="284"/>
    </w:pPr>
    <w:rPr>
      <w:sz w:val="17"/>
      <w:szCs w:val="17"/>
    </w:rPr>
  </w:style>
  <w:style w:type="paragraph" w:styleId="Title">
    <w:name w:val="Title"/>
    <w:basedOn w:val="Normal"/>
    <w:next w:val="Subtitle"/>
    <w:link w:val="TitleChar"/>
    <w:qFormat/>
    <w:rsid w:val="00E77D0C"/>
    <w:pPr>
      <w:pageBreakBefore/>
      <w:spacing w:line="540" w:lineRule="atLeast"/>
    </w:pPr>
    <w:rPr>
      <w:rFonts w:ascii="Franklin Gothic Book" w:hAnsi="Franklin Gothic Book"/>
      <w:color w:val="FFFFFF"/>
      <w:spacing w:val="-10"/>
      <w:kern w:val="28"/>
      <w:sz w:val="46"/>
      <w:szCs w:val="46"/>
    </w:rPr>
  </w:style>
  <w:style w:type="paragraph" w:styleId="Subtitle">
    <w:name w:val="Subtitle"/>
    <w:basedOn w:val="Title"/>
    <w:next w:val="Date"/>
    <w:link w:val="SubtitleChar"/>
    <w:qFormat/>
    <w:rsid w:val="005B522F"/>
    <w:pPr>
      <w:pageBreakBefore w:val="0"/>
      <w:spacing w:before="120" w:line="380" w:lineRule="atLeast"/>
    </w:pPr>
    <w:rPr>
      <w:sz w:val="32"/>
      <w:szCs w:val="32"/>
    </w:rPr>
  </w:style>
  <w:style w:type="paragraph" w:customStyle="1" w:styleId="Contents">
    <w:name w:val="Contents"/>
    <w:basedOn w:val="Normal"/>
    <w:next w:val="BodyText"/>
    <w:semiHidden/>
    <w:rsid w:val="00DE7339"/>
    <w:pPr>
      <w:spacing w:before="460" w:after="100" w:line="320" w:lineRule="atLeast"/>
    </w:pPr>
    <w:rPr>
      <w:rFonts w:ascii="Franklin Gothic Demi" w:hAnsi="Franklin Gothic Demi"/>
      <w:color w:val="AD495D"/>
      <w:kern w:val="28"/>
      <w:sz w:val="28"/>
      <w:szCs w:val="28"/>
    </w:rPr>
  </w:style>
  <w:style w:type="paragraph" w:styleId="Date">
    <w:name w:val="Date"/>
    <w:basedOn w:val="Subtitle"/>
    <w:next w:val="Author"/>
    <w:link w:val="DateChar"/>
    <w:semiHidden/>
    <w:rsid w:val="00A53A6B"/>
    <w:pPr>
      <w:spacing w:after="1000"/>
    </w:pPr>
    <w:rPr>
      <w:sz w:val="24"/>
      <w:szCs w:val="24"/>
    </w:rPr>
  </w:style>
  <w:style w:type="paragraph" w:styleId="Footer">
    <w:name w:val="footer"/>
    <w:basedOn w:val="Normal"/>
    <w:semiHidden/>
    <w:rsid w:val="00F23FD4"/>
    <w:pPr>
      <w:tabs>
        <w:tab w:val="left" w:pos="0"/>
        <w:tab w:val="right" w:pos="7938"/>
        <w:tab w:val="right" w:pos="8505"/>
      </w:tabs>
      <w:spacing w:line="180" w:lineRule="exact"/>
      <w:ind w:left="-567" w:right="-567"/>
    </w:pPr>
    <w:rPr>
      <w:rFonts w:ascii="Franklin Gothic Medium" w:hAnsi="Franklin Gothic Medium"/>
      <w:color w:val="5A9A98"/>
      <w:sz w:val="14"/>
      <w:szCs w:val="14"/>
    </w:rPr>
  </w:style>
  <w:style w:type="paragraph" w:styleId="Header">
    <w:name w:val="header"/>
    <w:basedOn w:val="Normal"/>
    <w:semiHidden/>
    <w:rsid w:val="0073548A"/>
    <w:pPr>
      <w:spacing w:line="180" w:lineRule="exact"/>
      <w:jc w:val="right"/>
    </w:pPr>
    <w:rPr>
      <w:rFonts w:ascii="Franklin Gothic Medium" w:hAnsi="Franklin Gothic Medium"/>
      <w:sz w:val="14"/>
      <w:szCs w:val="14"/>
    </w:rPr>
  </w:style>
  <w:style w:type="character" w:styleId="PageNumber">
    <w:name w:val="page number"/>
    <w:basedOn w:val="DefaultParagraphFont"/>
    <w:semiHidden/>
    <w:rsid w:val="007A2D4A"/>
    <w:rPr>
      <w:rFonts w:ascii="Franklin Gothic Medium" w:hAnsi="Franklin Gothic Medium"/>
      <w:color w:val="54534A"/>
      <w:sz w:val="14"/>
      <w:szCs w:val="14"/>
    </w:rPr>
  </w:style>
  <w:style w:type="paragraph" w:styleId="TOC1">
    <w:name w:val="toc 1"/>
    <w:basedOn w:val="BodyText"/>
    <w:next w:val="BodyText"/>
    <w:uiPriority w:val="39"/>
    <w:rsid w:val="00DE7339"/>
    <w:pPr>
      <w:tabs>
        <w:tab w:val="left" w:pos="397"/>
        <w:tab w:val="right" w:pos="7938"/>
      </w:tabs>
      <w:spacing w:before="180" w:after="0"/>
      <w:ind w:left="397" w:right="567" w:hanging="397"/>
    </w:pPr>
    <w:rPr>
      <w:rFonts w:ascii="Franklin Gothic Medium" w:hAnsi="Franklin Gothic Medium"/>
      <w:color w:val="54534A"/>
      <w:sz w:val="24"/>
      <w:szCs w:val="24"/>
    </w:rPr>
  </w:style>
  <w:style w:type="paragraph" w:styleId="TOC2">
    <w:name w:val="toc 2"/>
    <w:basedOn w:val="TOC1"/>
    <w:next w:val="TOC1"/>
    <w:uiPriority w:val="39"/>
    <w:rsid w:val="00DE7339"/>
    <w:pPr>
      <w:spacing w:before="120" w:line="200" w:lineRule="atLeast"/>
      <w:ind w:left="0" w:firstLine="0"/>
    </w:pPr>
    <w:rPr>
      <w:rFonts w:ascii="Franklin Gothic Book" w:hAnsi="Franklin Gothic Book"/>
      <w:color w:val="5A9A98"/>
      <w:sz w:val="21"/>
      <w:szCs w:val="21"/>
    </w:rPr>
  </w:style>
  <w:style w:type="paragraph" w:customStyle="1" w:styleId="Reporttype">
    <w:name w:val="Report type"/>
    <w:basedOn w:val="BodyText"/>
    <w:semiHidden/>
    <w:rsid w:val="00F15D8B"/>
    <w:pPr>
      <w:spacing w:before="0" w:line="400" w:lineRule="atLeast"/>
    </w:pPr>
    <w:rPr>
      <w:rFonts w:ascii="Arial" w:hAnsi="Arial"/>
      <w:color w:val="00467F"/>
      <w:spacing w:val="-2"/>
      <w:sz w:val="36"/>
      <w:szCs w:val="36"/>
    </w:rPr>
  </w:style>
  <w:style w:type="character" w:customStyle="1" w:styleId="Subtitlebox">
    <w:name w:val="Subtitle box"/>
    <w:aliases w:val="figure &amp; table,chart &amp; table"/>
    <w:basedOn w:val="DefaultParagraphFont"/>
    <w:semiHidden/>
    <w:rsid w:val="008E6453"/>
    <w:rPr>
      <w:rFonts w:ascii="Franklin Gothic Book" w:hAnsi="Franklin Gothic Book"/>
      <w:color w:val="auto"/>
      <w:sz w:val="17"/>
      <w:szCs w:val="17"/>
    </w:rPr>
  </w:style>
  <w:style w:type="paragraph" w:customStyle="1" w:styleId="Invisiblepara">
    <w:name w:val="Invisible para"/>
    <w:basedOn w:val="Normal"/>
    <w:semiHidden/>
    <w:rsid w:val="00F747A9"/>
    <w:pPr>
      <w:keepNext/>
      <w:spacing w:before="320" w:line="80" w:lineRule="exact"/>
    </w:pPr>
    <w:rPr>
      <w:sz w:val="21"/>
      <w:szCs w:val="20"/>
    </w:rPr>
  </w:style>
  <w:style w:type="paragraph" w:styleId="Caption">
    <w:name w:val="caption"/>
    <w:basedOn w:val="Normal"/>
    <w:next w:val="BodyText"/>
    <w:qFormat/>
    <w:rsid w:val="00227783"/>
    <w:pPr>
      <w:keepNext/>
      <w:spacing w:before="320" w:after="80" w:line="230" w:lineRule="exact"/>
    </w:pPr>
    <w:rPr>
      <w:rFonts w:ascii="Franklin Gothic Demi" w:hAnsi="Franklin Gothic Demi"/>
      <w:color w:val="7E6D5F"/>
      <w:sz w:val="19"/>
      <w:szCs w:val="19"/>
    </w:rPr>
  </w:style>
  <w:style w:type="paragraph" w:customStyle="1" w:styleId="BoxListBullet">
    <w:name w:val="Box List Bullet"/>
    <w:basedOn w:val="BoxText"/>
    <w:rsid w:val="006C6761"/>
    <w:pPr>
      <w:keepLines/>
      <w:numPr>
        <w:numId w:val="5"/>
      </w:numPr>
      <w:spacing w:before="0"/>
    </w:pPr>
    <w:rPr>
      <w:szCs w:val="20"/>
    </w:rPr>
  </w:style>
  <w:style w:type="character" w:customStyle="1" w:styleId="NoteLabel">
    <w:name w:val="Note Label"/>
    <w:basedOn w:val="DefaultParagraphFont"/>
    <w:rsid w:val="0073548A"/>
    <w:rPr>
      <w:rFonts w:ascii="Franklin Gothic Medium" w:hAnsi="Franklin Gothic Medium"/>
      <w:color w:val="auto"/>
      <w:position w:val="4"/>
      <w:sz w:val="14"/>
      <w:szCs w:val="14"/>
    </w:rPr>
  </w:style>
  <w:style w:type="paragraph" w:customStyle="1" w:styleId="Note">
    <w:name w:val="Note"/>
    <w:basedOn w:val="TableTextEntries"/>
    <w:next w:val="Source"/>
    <w:link w:val="NoteCharChar"/>
    <w:rsid w:val="008D75EB"/>
    <w:pPr>
      <w:spacing w:after="0" w:line="180" w:lineRule="atLeast"/>
    </w:pPr>
    <w:rPr>
      <w:sz w:val="14"/>
      <w:szCs w:val="14"/>
    </w:rPr>
  </w:style>
  <w:style w:type="paragraph" w:customStyle="1" w:styleId="TableTextEntries">
    <w:name w:val="Table Text Entries"/>
    <w:basedOn w:val="Normal"/>
    <w:rsid w:val="00F021E7"/>
    <w:pPr>
      <w:keepLines/>
      <w:spacing w:before="40" w:after="40" w:line="200" w:lineRule="atLeast"/>
    </w:pPr>
    <w:rPr>
      <w:rFonts w:ascii="Franklin Gothic Book" w:hAnsi="Franklin Gothic Book"/>
      <w:sz w:val="17"/>
      <w:szCs w:val="17"/>
      <w:lang w:eastAsia="en-US"/>
    </w:rPr>
  </w:style>
  <w:style w:type="paragraph" w:customStyle="1" w:styleId="Source">
    <w:name w:val="Source"/>
    <w:basedOn w:val="Note"/>
    <w:next w:val="BodyText"/>
    <w:rsid w:val="00ED5E2B"/>
    <w:pPr>
      <w:spacing w:after="240"/>
    </w:pPr>
  </w:style>
  <w:style w:type="paragraph" w:customStyle="1" w:styleId="BoxHeading1">
    <w:name w:val="Box Heading 1"/>
    <w:basedOn w:val="BoxText"/>
    <w:next w:val="BoxText"/>
    <w:rsid w:val="00FC7629"/>
    <w:pPr>
      <w:spacing w:before="180" w:after="0" w:line="220" w:lineRule="atLeast"/>
    </w:pPr>
    <w:rPr>
      <w:rFonts w:ascii="Franklin Gothic Demi" w:hAnsi="Franklin Gothic Demi"/>
      <w:color w:val="000000"/>
    </w:rPr>
  </w:style>
  <w:style w:type="paragraph" w:customStyle="1" w:styleId="BoxHeading2">
    <w:name w:val="Box Heading 2"/>
    <w:basedOn w:val="BoxHeading1"/>
    <w:next w:val="BoxText"/>
    <w:rsid w:val="002C23D1"/>
    <w:pPr>
      <w:spacing w:before="140"/>
    </w:pPr>
    <w:rPr>
      <w:rFonts w:ascii="Franklin Gothic Book" w:hAnsi="Franklin Gothic Book"/>
      <w:i/>
      <w:color w:val="auto"/>
    </w:rPr>
  </w:style>
  <w:style w:type="paragraph" w:customStyle="1" w:styleId="TableListBullet">
    <w:name w:val="Table List Bullet"/>
    <w:basedOn w:val="TableTextEntries"/>
    <w:rsid w:val="00FA0700"/>
    <w:pPr>
      <w:numPr>
        <w:numId w:val="9"/>
      </w:numPr>
    </w:pPr>
  </w:style>
  <w:style w:type="paragraph" w:styleId="TableofFigures">
    <w:name w:val="table of figures"/>
    <w:basedOn w:val="BodyText"/>
    <w:next w:val="BodyText"/>
    <w:semiHidden/>
    <w:rsid w:val="00751A18"/>
    <w:pPr>
      <w:tabs>
        <w:tab w:val="left" w:pos="1077"/>
        <w:tab w:val="right" w:pos="8505"/>
      </w:tabs>
      <w:spacing w:before="60" w:line="260" w:lineRule="atLeast"/>
      <w:ind w:left="1077" w:right="567" w:hanging="1077"/>
    </w:pPr>
  </w:style>
  <w:style w:type="paragraph" w:styleId="TOC3">
    <w:name w:val="toc 3"/>
    <w:basedOn w:val="TOC2"/>
    <w:next w:val="BodyText"/>
    <w:semiHidden/>
    <w:rsid w:val="00F9523B"/>
    <w:pPr>
      <w:tabs>
        <w:tab w:val="clear" w:pos="397"/>
      </w:tabs>
      <w:spacing w:before="40" w:line="230" w:lineRule="atLeast"/>
      <w:ind w:left="567" w:hanging="567"/>
    </w:pPr>
    <w:rPr>
      <w:rFonts w:ascii="Georgia" w:hAnsi="Georgia"/>
      <w:color w:val="auto"/>
      <w:sz w:val="19"/>
      <w:szCs w:val="19"/>
    </w:rPr>
  </w:style>
  <w:style w:type="paragraph" w:customStyle="1" w:styleId="Continued">
    <w:name w:val="Continued"/>
    <w:basedOn w:val="Source"/>
    <w:next w:val="BodyText"/>
    <w:semiHidden/>
    <w:rsid w:val="00B622E7"/>
    <w:pPr>
      <w:jc w:val="right"/>
    </w:pPr>
  </w:style>
  <w:style w:type="paragraph" w:customStyle="1" w:styleId="Recommendation">
    <w:name w:val="Recommendation"/>
    <w:basedOn w:val="BodyText"/>
    <w:next w:val="BodyText"/>
    <w:semiHidden/>
    <w:rsid w:val="00671255"/>
    <w:pPr>
      <w:tabs>
        <w:tab w:val="left" w:pos="284"/>
      </w:tabs>
      <w:ind w:left="284" w:hanging="284"/>
    </w:pPr>
    <w:rPr>
      <w:rFonts w:eastAsia="MS Mincho" w:cs="MS Mincho"/>
      <w:b/>
    </w:rPr>
  </w:style>
  <w:style w:type="paragraph" w:styleId="TOC6">
    <w:name w:val="toc 6"/>
    <w:basedOn w:val="BodyText"/>
    <w:next w:val="BodyText"/>
    <w:semiHidden/>
    <w:rsid w:val="00671255"/>
    <w:pPr>
      <w:tabs>
        <w:tab w:val="left" w:pos="284"/>
        <w:tab w:val="right" w:pos="8222"/>
      </w:tabs>
      <w:ind w:left="284" w:right="567" w:hanging="284"/>
    </w:pPr>
  </w:style>
  <w:style w:type="character" w:styleId="CommentReference">
    <w:name w:val="annotation reference"/>
    <w:basedOn w:val="DefaultParagraphFont"/>
    <w:semiHidden/>
    <w:rsid w:val="007A2D4A"/>
    <w:rPr>
      <w:rFonts w:ascii="Franklin Gothic Medium" w:hAnsi="Franklin Gothic Medium"/>
      <w:vanish/>
      <w:color w:val="FF00FF"/>
      <w:sz w:val="16"/>
      <w:szCs w:val="16"/>
    </w:rPr>
  </w:style>
  <w:style w:type="paragraph" w:styleId="CommentText">
    <w:name w:val="annotation text"/>
    <w:basedOn w:val="BodyText"/>
    <w:semiHidden/>
    <w:rsid w:val="008527C1"/>
    <w:pPr>
      <w:spacing w:line="240" w:lineRule="atLeast"/>
    </w:pPr>
    <w:rPr>
      <w:rFonts w:ascii="Calibri" w:hAnsi="Calibri"/>
      <w:sz w:val="18"/>
      <w:szCs w:val="18"/>
    </w:rPr>
  </w:style>
  <w:style w:type="character" w:styleId="FootnoteReference">
    <w:name w:val="footnote reference"/>
    <w:basedOn w:val="DefaultParagraphFont"/>
    <w:semiHidden/>
    <w:rsid w:val="00FB1DA4"/>
    <w:rPr>
      <w:rFonts w:ascii="Franklin Gothic Book" w:hAnsi="Franklin Gothic Book"/>
      <w:w w:val="100"/>
      <w:position w:val="6"/>
      <w:sz w:val="12"/>
      <w:szCs w:val="12"/>
      <w:vertAlign w:val="baseline"/>
    </w:rPr>
  </w:style>
  <w:style w:type="paragraph" w:styleId="FootnoteText">
    <w:name w:val="footnote text"/>
    <w:basedOn w:val="BodyText"/>
    <w:semiHidden/>
    <w:rsid w:val="00281D52"/>
    <w:pPr>
      <w:spacing w:before="0" w:after="0" w:line="180" w:lineRule="atLeast"/>
      <w:ind w:left="284" w:hanging="284"/>
    </w:pPr>
    <w:rPr>
      <w:rFonts w:ascii="Franklin Gothic Book" w:hAnsi="Franklin Gothic Book"/>
      <w:sz w:val="14"/>
      <w:szCs w:val="14"/>
    </w:rPr>
  </w:style>
  <w:style w:type="character" w:styleId="Hyperlink">
    <w:name w:val="Hyperlink"/>
    <w:basedOn w:val="DefaultParagraphFont"/>
    <w:uiPriority w:val="99"/>
    <w:rsid w:val="00254E43"/>
    <w:rPr>
      <w:color w:val="00467F"/>
      <w:sz w:val="20"/>
      <w:szCs w:val="20"/>
      <w:u w:val="none"/>
    </w:rPr>
  </w:style>
  <w:style w:type="paragraph" w:customStyle="1" w:styleId="ChartText">
    <w:name w:val="Chart Text"/>
    <w:basedOn w:val="BodyText"/>
    <w:semiHidden/>
    <w:rsid w:val="00CF2071"/>
    <w:pPr>
      <w:spacing w:before="100" w:line="190" w:lineRule="exact"/>
    </w:pPr>
    <w:rPr>
      <w:rFonts w:ascii="Arial" w:hAnsi="Arial"/>
      <w:sz w:val="17"/>
    </w:rPr>
  </w:style>
  <w:style w:type="paragraph" w:customStyle="1" w:styleId="ChartBoldText">
    <w:name w:val="Chart Bold Text"/>
    <w:basedOn w:val="ChartText"/>
    <w:next w:val="ChartText"/>
    <w:semiHidden/>
    <w:rsid w:val="00997A92"/>
    <w:pPr>
      <w:spacing w:before="0"/>
      <w:jc w:val="center"/>
    </w:pPr>
    <w:rPr>
      <w:rFonts w:ascii="Arial Bold" w:hAnsi="Arial Bold"/>
      <w:b/>
      <w:color w:val="073771"/>
      <w:szCs w:val="17"/>
    </w:rPr>
  </w:style>
  <w:style w:type="paragraph" w:customStyle="1" w:styleId="ChartHighlight">
    <w:name w:val="Chart Highlight"/>
    <w:basedOn w:val="ChartBoldText"/>
    <w:semiHidden/>
    <w:rsid w:val="00CF2071"/>
    <w:pPr>
      <w:spacing w:line="210" w:lineRule="exact"/>
    </w:pPr>
    <w:rPr>
      <w:caps/>
      <w:sz w:val="19"/>
    </w:rPr>
  </w:style>
  <w:style w:type="paragraph" w:customStyle="1" w:styleId="ChartListBullet">
    <w:name w:val="Chart List Bullet"/>
    <w:basedOn w:val="TableListBullet"/>
    <w:semiHidden/>
    <w:rsid w:val="00321C81"/>
    <w:pPr>
      <w:numPr>
        <w:numId w:val="0"/>
      </w:numPr>
      <w:tabs>
        <w:tab w:val="num" w:pos="227"/>
      </w:tabs>
      <w:spacing w:before="50" w:after="0" w:line="190" w:lineRule="exact"/>
      <w:ind w:left="227" w:hanging="227"/>
    </w:pPr>
  </w:style>
  <w:style w:type="paragraph" w:customStyle="1" w:styleId="ChartListBullet2">
    <w:name w:val="Chart List Bullet 2"/>
    <w:basedOn w:val="ListBullet2"/>
    <w:semiHidden/>
    <w:rsid w:val="00321C81"/>
    <w:pPr>
      <w:numPr>
        <w:numId w:val="0"/>
      </w:numPr>
      <w:tabs>
        <w:tab w:val="num" w:pos="454"/>
      </w:tabs>
      <w:spacing w:before="30" w:line="190" w:lineRule="exact"/>
      <w:ind w:left="454" w:hanging="227"/>
    </w:pPr>
    <w:rPr>
      <w:rFonts w:ascii="Arial" w:hAnsi="Arial"/>
      <w:sz w:val="17"/>
    </w:rPr>
  </w:style>
  <w:style w:type="paragraph" w:customStyle="1" w:styleId="ChartListNumber">
    <w:name w:val="Chart List Number"/>
    <w:basedOn w:val="ChartText"/>
    <w:semiHidden/>
    <w:rsid w:val="00321C81"/>
    <w:pPr>
      <w:tabs>
        <w:tab w:val="num" w:pos="227"/>
      </w:tabs>
      <w:spacing w:before="60"/>
      <w:ind w:left="227" w:hanging="227"/>
    </w:pPr>
  </w:style>
  <w:style w:type="paragraph" w:styleId="TOC7">
    <w:name w:val="toc 7"/>
    <w:basedOn w:val="TOC1"/>
    <w:next w:val="TOC1"/>
    <w:semiHidden/>
    <w:rsid w:val="0097190C"/>
    <w:pPr>
      <w:tabs>
        <w:tab w:val="left" w:pos="1418"/>
      </w:tabs>
      <w:ind w:left="1418" w:hanging="1418"/>
    </w:pPr>
  </w:style>
  <w:style w:type="paragraph" w:customStyle="1" w:styleId="Author">
    <w:name w:val="Author"/>
    <w:basedOn w:val="Date"/>
    <w:next w:val="Position"/>
    <w:link w:val="AuthorCharChar"/>
    <w:semiHidden/>
    <w:rsid w:val="0075426C"/>
    <w:pPr>
      <w:spacing w:before="180" w:after="0" w:line="260" w:lineRule="atLeast"/>
    </w:pPr>
    <w:rPr>
      <w:rFonts w:ascii="Franklin Gothic Medium" w:hAnsi="Franklin Gothic Medium"/>
      <w:color w:val="auto"/>
      <w:spacing w:val="-2"/>
      <w:sz w:val="20"/>
      <w:szCs w:val="20"/>
    </w:rPr>
  </w:style>
  <w:style w:type="paragraph" w:customStyle="1" w:styleId="Position">
    <w:name w:val="Position"/>
    <w:basedOn w:val="Author"/>
    <w:next w:val="Author"/>
    <w:link w:val="PositionCharChar"/>
    <w:semiHidden/>
    <w:rsid w:val="0075426C"/>
    <w:pPr>
      <w:spacing w:before="0"/>
    </w:pPr>
    <w:rPr>
      <w:rFonts w:ascii="Franklin Gothic Book" w:hAnsi="Franklin Gothic Book"/>
    </w:rPr>
  </w:style>
  <w:style w:type="paragraph" w:customStyle="1" w:styleId="CharChar">
    <w:name w:val="Char Char"/>
    <w:basedOn w:val="BoxText"/>
    <w:semiHidden/>
    <w:rsid w:val="001E5458"/>
  </w:style>
  <w:style w:type="paragraph" w:customStyle="1" w:styleId="Client">
    <w:name w:val="Client"/>
    <w:basedOn w:val="Author"/>
    <w:semiHidden/>
    <w:rsid w:val="00AD1F3F"/>
  </w:style>
  <w:style w:type="paragraph" w:customStyle="1" w:styleId="TableDataEntries">
    <w:name w:val="Table Data Entries"/>
    <w:basedOn w:val="TableTextEntries"/>
    <w:rsid w:val="009B0288"/>
    <w:pPr>
      <w:jc w:val="right"/>
    </w:pPr>
  </w:style>
  <w:style w:type="paragraph" w:customStyle="1" w:styleId="TableDataColumnHeading">
    <w:name w:val="Table Data Column Heading"/>
    <w:basedOn w:val="TableData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1">
    <w:name w:val="Table Heading 1"/>
    <w:basedOn w:val="TableTextEntries"/>
    <w:next w:val="TableText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2">
    <w:name w:val="Table Heading 2"/>
    <w:basedOn w:val="TableHeading1"/>
    <w:next w:val="TableTextEntries"/>
    <w:rsid w:val="008E6453"/>
    <w:pPr>
      <w:spacing w:before="40" w:after="40"/>
    </w:pPr>
    <w:rPr>
      <w:rFonts w:ascii="Franklin Gothic Book" w:hAnsi="Franklin Gothic Book"/>
      <w:i/>
    </w:rPr>
  </w:style>
  <w:style w:type="paragraph" w:customStyle="1" w:styleId="TableListBullet2">
    <w:name w:val="Table List Bullet 2"/>
    <w:basedOn w:val="TableListBullet"/>
    <w:link w:val="TableListBullet2CharChar"/>
    <w:rsid w:val="00FA0700"/>
    <w:pPr>
      <w:numPr>
        <w:numId w:val="10"/>
      </w:numPr>
    </w:pPr>
  </w:style>
  <w:style w:type="paragraph" w:customStyle="1" w:styleId="TableListNumber">
    <w:name w:val="Table List Number"/>
    <w:basedOn w:val="TableTextEntries"/>
    <w:rsid w:val="008C0773"/>
    <w:pPr>
      <w:numPr>
        <w:numId w:val="1"/>
      </w:numPr>
    </w:pPr>
  </w:style>
  <w:style w:type="paragraph" w:customStyle="1" w:styleId="TableListNumber2">
    <w:name w:val="Table List Number 2"/>
    <w:basedOn w:val="TableListNumber"/>
    <w:rsid w:val="00396E51"/>
    <w:pPr>
      <w:numPr>
        <w:numId w:val="2"/>
      </w:numPr>
    </w:pPr>
  </w:style>
  <w:style w:type="paragraph" w:customStyle="1" w:styleId="TableTextColumnHeading">
    <w:name w:val="Table Text Column Heading"/>
    <w:basedOn w:val="TableDataColumnHeading"/>
    <w:rsid w:val="008E6453"/>
    <w:pPr>
      <w:jc w:val="left"/>
    </w:pPr>
  </w:style>
  <w:style w:type="paragraph" w:customStyle="1" w:styleId="TableUnit">
    <w:name w:val="Table Unit"/>
    <w:basedOn w:val="TableDataColumnHeading"/>
    <w:next w:val="TableDataEntries"/>
    <w:semiHidden/>
    <w:rsid w:val="008E6453"/>
    <w:pPr>
      <w:keepNext/>
    </w:pPr>
    <w:rPr>
      <w:rFonts w:ascii="Franklin Gothic Book" w:hAnsi="Franklin Gothic Book"/>
    </w:rPr>
  </w:style>
  <w:style w:type="paragraph" w:customStyle="1" w:styleId="NoteNumber">
    <w:name w:val="Note Number"/>
    <w:basedOn w:val="TableTextEntries"/>
    <w:link w:val="NoteNumberCharChar"/>
    <w:rsid w:val="00EE7AC8"/>
    <w:pPr>
      <w:numPr>
        <w:numId w:val="18"/>
      </w:numPr>
      <w:spacing w:after="0" w:line="180" w:lineRule="atLeast"/>
    </w:pPr>
    <w:rPr>
      <w:sz w:val="14"/>
      <w:szCs w:val="14"/>
    </w:rPr>
  </w:style>
  <w:style w:type="character" w:styleId="FollowedHyperlink">
    <w:name w:val="FollowedHyperlink"/>
    <w:basedOn w:val="DefaultParagraphFont"/>
    <w:semiHidden/>
    <w:rsid w:val="00085585"/>
    <w:rPr>
      <w:color w:val="333399"/>
      <w:u w:val="none"/>
    </w:rPr>
  </w:style>
  <w:style w:type="paragraph" w:customStyle="1" w:styleId="Blurb">
    <w:name w:val="Blurb"/>
    <w:basedOn w:val="Caption"/>
    <w:semiHidden/>
    <w:rsid w:val="0075426C"/>
    <w:pPr>
      <w:spacing w:before="180" w:after="0" w:line="280" w:lineRule="atLeast"/>
    </w:pPr>
    <w:rPr>
      <w:color w:val="FFFFFF"/>
    </w:rPr>
  </w:style>
  <w:style w:type="paragraph" w:customStyle="1" w:styleId="Figure">
    <w:name w:val="Figure"/>
    <w:basedOn w:val="BodyText"/>
    <w:next w:val="BodyText"/>
    <w:semiHidden/>
    <w:rsid w:val="00EA0F2C"/>
    <w:pPr>
      <w:spacing w:before="0" w:line="200" w:lineRule="atLeast"/>
    </w:pPr>
    <w:rPr>
      <w:sz w:val="18"/>
      <w:szCs w:val="18"/>
    </w:rPr>
  </w:style>
  <w:style w:type="paragraph" w:customStyle="1" w:styleId="BoxListBullet2">
    <w:name w:val="Box List Bullet 2"/>
    <w:basedOn w:val="BoxListBullet"/>
    <w:rsid w:val="006C6761"/>
    <w:pPr>
      <w:numPr>
        <w:numId w:val="4"/>
      </w:numPr>
    </w:pPr>
    <w:rPr>
      <w:szCs w:val="18"/>
    </w:rPr>
  </w:style>
  <w:style w:type="paragraph" w:customStyle="1" w:styleId="BoxText">
    <w:name w:val="Box Text"/>
    <w:basedOn w:val="Normal"/>
    <w:link w:val="BoxTextChar"/>
    <w:rsid w:val="009A28D5"/>
    <w:pPr>
      <w:spacing w:before="60" w:after="60" w:line="260" w:lineRule="atLeast"/>
    </w:pPr>
    <w:rPr>
      <w:rFonts w:ascii="Franklin Gothic Book" w:hAnsi="Franklin Gothic Book"/>
      <w:sz w:val="18"/>
      <w:szCs w:val="18"/>
    </w:rPr>
  </w:style>
  <w:style w:type="paragraph" w:customStyle="1" w:styleId="BoxListNumber">
    <w:name w:val="Box List Number"/>
    <w:basedOn w:val="BoxText"/>
    <w:rsid w:val="00165C4D"/>
    <w:pPr>
      <w:numPr>
        <w:numId w:val="6"/>
      </w:numPr>
      <w:spacing w:before="0"/>
    </w:pPr>
  </w:style>
  <w:style w:type="paragraph" w:customStyle="1" w:styleId="BoxListNumber2">
    <w:name w:val="Box List Number 2"/>
    <w:basedOn w:val="BoxListNumber"/>
    <w:rsid w:val="006C6761"/>
    <w:pPr>
      <w:numPr>
        <w:numId w:val="3"/>
      </w:numPr>
    </w:pPr>
  </w:style>
  <w:style w:type="paragraph" w:customStyle="1" w:styleId="BoxNoteSource">
    <w:name w:val="Box Note/Source"/>
    <w:basedOn w:val="BoxText"/>
    <w:rsid w:val="006C6761"/>
    <w:pPr>
      <w:spacing w:before="100" w:after="100" w:line="180" w:lineRule="atLeast"/>
    </w:pPr>
    <w:rPr>
      <w:sz w:val="14"/>
      <w:szCs w:val="14"/>
    </w:rPr>
  </w:style>
  <w:style w:type="paragraph" w:customStyle="1" w:styleId="BoxQuote">
    <w:name w:val="Box Quote"/>
    <w:basedOn w:val="BoxText"/>
    <w:next w:val="BoxText"/>
    <w:rsid w:val="00A60B48"/>
    <w:pPr>
      <w:spacing w:before="0" w:line="240" w:lineRule="atLeast"/>
      <w:ind w:left="284"/>
    </w:pPr>
    <w:rPr>
      <w:sz w:val="16"/>
      <w:szCs w:val="16"/>
    </w:rPr>
  </w:style>
  <w:style w:type="character" w:customStyle="1" w:styleId="TableListBullet2CharChar">
    <w:name w:val="Table List Bullet 2 Char Char"/>
    <w:basedOn w:val="DefaultParagraphFont"/>
    <w:link w:val="TableListBullet2"/>
    <w:rsid w:val="00C05EB3"/>
    <w:rPr>
      <w:rFonts w:ascii="Franklin Gothic Book" w:hAnsi="Franklin Gothic Book"/>
      <w:sz w:val="17"/>
      <w:szCs w:val="17"/>
      <w:lang w:val="en-AU" w:eastAsia="en-US" w:bidi="ar-SA"/>
    </w:rPr>
  </w:style>
  <w:style w:type="character" w:customStyle="1" w:styleId="NoteCharChar">
    <w:name w:val="Note Char Char"/>
    <w:basedOn w:val="DefaultParagraphFont"/>
    <w:link w:val="Note"/>
    <w:rsid w:val="008D75EB"/>
    <w:rPr>
      <w:rFonts w:ascii="Franklin Gothic Book" w:hAnsi="Franklin Gothic Book"/>
      <w:sz w:val="14"/>
      <w:szCs w:val="14"/>
      <w:lang w:val="en-AU" w:eastAsia="en-US" w:bidi="ar-SA"/>
    </w:rPr>
  </w:style>
  <w:style w:type="character" w:customStyle="1" w:styleId="NoteNumberCharChar">
    <w:name w:val="Note Number Char Char"/>
    <w:basedOn w:val="DefaultParagraphFont"/>
    <w:link w:val="NoteNumber"/>
    <w:rsid w:val="00EE7AC8"/>
    <w:rPr>
      <w:rFonts w:ascii="Franklin Gothic Book" w:hAnsi="Franklin Gothic Book"/>
      <w:sz w:val="14"/>
      <w:szCs w:val="14"/>
      <w:lang w:val="en-AU" w:eastAsia="en-US" w:bidi="ar-SA"/>
    </w:rPr>
  </w:style>
  <w:style w:type="character" w:customStyle="1" w:styleId="TitleChar">
    <w:name w:val="Title Char"/>
    <w:basedOn w:val="DefaultParagraphFont"/>
    <w:link w:val="Title"/>
    <w:rsid w:val="00E77D0C"/>
    <w:rPr>
      <w:rFonts w:ascii="Franklin Gothic Book" w:hAnsi="Franklin Gothic Book"/>
      <w:color w:val="FFFFFF"/>
      <w:spacing w:val="-10"/>
      <w:kern w:val="28"/>
      <w:sz w:val="46"/>
      <w:szCs w:val="46"/>
      <w:lang w:val="en-AU" w:eastAsia="en-AU" w:bidi="ar-SA"/>
    </w:rPr>
  </w:style>
  <w:style w:type="character" w:customStyle="1" w:styleId="SubtitleChar">
    <w:name w:val="Subtitle Char"/>
    <w:basedOn w:val="TitleChar"/>
    <w:link w:val="Subtitle"/>
    <w:rsid w:val="005B522F"/>
    <w:rPr>
      <w:rFonts w:ascii="Franklin Gothic Book" w:hAnsi="Franklin Gothic Book"/>
      <w:color w:val="FFFFFF"/>
      <w:spacing w:val="-10"/>
      <w:kern w:val="28"/>
      <w:sz w:val="32"/>
      <w:szCs w:val="32"/>
      <w:lang w:val="en-AU" w:eastAsia="en-AU" w:bidi="ar-SA"/>
    </w:rPr>
  </w:style>
  <w:style w:type="character" w:customStyle="1" w:styleId="DateChar">
    <w:name w:val="Date Char"/>
    <w:basedOn w:val="SubtitleChar"/>
    <w:link w:val="Date"/>
    <w:rsid w:val="00A53A6B"/>
    <w:rPr>
      <w:rFonts w:ascii="Franklin Gothic Book" w:hAnsi="Franklin Gothic Book"/>
      <w:color w:val="FFFFFF"/>
      <w:spacing w:val="-10"/>
      <w:kern w:val="28"/>
      <w:sz w:val="24"/>
      <w:szCs w:val="24"/>
      <w:lang w:val="en-AU" w:eastAsia="en-AU" w:bidi="ar-SA"/>
    </w:rPr>
  </w:style>
  <w:style w:type="character" w:customStyle="1" w:styleId="AuthorCharChar">
    <w:name w:val="Author Char Char"/>
    <w:basedOn w:val="DateChar"/>
    <w:link w:val="Author"/>
    <w:rsid w:val="0075426C"/>
    <w:rPr>
      <w:rFonts w:ascii="Franklin Gothic Medium" w:hAnsi="Franklin Gothic Medium"/>
      <w:color w:val="FFFFFF"/>
      <w:spacing w:val="-2"/>
      <w:kern w:val="28"/>
      <w:sz w:val="24"/>
      <w:szCs w:val="24"/>
      <w:lang w:val="en-AU" w:eastAsia="en-AU" w:bidi="ar-SA"/>
    </w:rPr>
  </w:style>
  <w:style w:type="character" w:customStyle="1" w:styleId="PositionCharChar">
    <w:name w:val="Position Char Char"/>
    <w:basedOn w:val="AuthorCharChar"/>
    <w:link w:val="Position"/>
    <w:rsid w:val="0075426C"/>
    <w:rPr>
      <w:rFonts w:ascii="Franklin Gothic Book" w:hAnsi="Franklin Gothic Book"/>
      <w:color w:val="FFFFFF"/>
      <w:spacing w:val="-2"/>
      <w:kern w:val="28"/>
      <w:sz w:val="24"/>
      <w:szCs w:val="24"/>
      <w:lang w:val="en-AU" w:eastAsia="en-AU" w:bidi="ar-SA"/>
    </w:rPr>
  </w:style>
  <w:style w:type="paragraph" w:customStyle="1" w:styleId="Appendix">
    <w:name w:val="Appendix"/>
    <w:basedOn w:val="Normal"/>
    <w:semiHidden/>
    <w:rsid w:val="00205AA6"/>
    <w:pPr>
      <w:framePr w:wrap="around" w:vAnchor="text" w:hAnchor="text" w:y="1"/>
    </w:pPr>
    <w:rPr>
      <w:rFonts w:ascii="Franklin Gothic Medium" w:hAnsi="Franklin Gothic Medium"/>
      <w:color w:val="7E6D5F"/>
      <w:sz w:val="32"/>
      <w:szCs w:val="32"/>
    </w:rPr>
  </w:style>
  <w:style w:type="paragraph" w:customStyle="1" w:styleId="Photocaption">
    <w:name w:val="Photo caption"/>
    <w:basedOn w:val="Normal"/>
    <w:next w:val="BodyText"/>
    <w:semiHidden/>
    <w:rsid w:val="00187D56"/>
    <w:pPr>
      <w:spacing w:before="140" w:after="240" w:line="180" w:lineRule="exact"/>
    </w:pPr>
    <w:rPr>
      <w:rFonts w:ascii="Franklin Gothic Medium" w:hAnsi="Franklin Gothic Medium"/>
      <w:color w:val="54534A"/>
      <w:sz w:val="14"/>
      <w:szCs w:val="14"/>
    </w:rPr>
  </w:style>
  <w:style w:type="paragraph" w:customStyle="1" w:styleId="CharChar0">
    <w:name w:val="Char Char"/>
    <w:basedOn w:val="Normal"/>
    <w:semiHidden/>
    <w:rsid w:val="00953A8D"/>
    <w:pPr>
      <w:spacing w:before="180" w:line="280" w:lineRule="atLeast"/>
    </w:pPr>
    <w:rPr>
      <w:rFonts w:ascii="Arial" w:hAnsi="Arial"/>
      <w:sz w:val="22"/>
      <w:szCs w:val="20"/>
      <w:lang w:eastAsia="en-US"/>
    </w:rPr>
  </w:style>
  <w:style w:type="table" w:styleId="TableGrid">
    <w:name w:val="Table Grid"/>
    <w:basedOn w:val="TableNormal"/>
    <w:semiHidden/>
    <w:rsid w:val="005C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tingred">
    <w:name w:val="Rating red"/>
    <w:basedOn w:val="ListBullet"/>
    <w:semiHidden/>
    <w:rsid w:val="001C6E03"/>
  </w:style>
  <w:style w:type="paragraph" w:customStyle="1" w:styleId="Ratingbullet">
    <w:name w:val="Rating bullet"/>
    <w:basedOn w:val="TableTextEntries"/>
    <w:semiHidden/>
    <w:rsid w:val="001C6E03"/>
    <w:pPr>
      <w:jc w:val="center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911B9C"/>
    <w:pPr>
      <w:spacing w:before="0"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semiHidden/>
    <w:rsid w:val="00911B9C"/>
    <w:rPr>
      <w:rFonts w:ascii="Tahoma" w:hAnsi="Tahoma" w:cs="Tahoma"/>
      <w:sz w:val="16"/>
      <w:szCs w:val="16"/>
    </w:rPr>
  </w:style>
  <w:style w:type="paragraph" w:customStyle="1" w:styleId="Rating">
    <w:name w:val="Rating"/>
    <w:basedOn w:val="BodyText"/>
    <w:next w:val="BodyText"/>
    <w:semiHidden/>
    <w:rsid w:val="00230BD1"/>
    <w:pPr>
      <w:tabs>
        <w:tab w:val="left" w:pos="567"/>
      </w:tabs>
    </w:pPr>
  </w:style>
  <w:style w:type="paragraph" w:customStyle="1" w:styleId="GuidanceText">
    <w:name w:val="Guidance Text"/>
    <w:basedOn w:val="BodyText"/>
    <w:semiHidden/>
    <w:rsid w:val="001B11EB"/>
    <w:pPr>
      <w:spacing w:before="60" w:after="60" w:line="240" w:lineRule="atLeast"/>
    </w:pPr>
    <w:rPr>
      <w:rFonts w:ascii="Calibri" w:hAnsi="Calibri"/>
      <w:color w:val="0000FF"/>
      <w:sz w:val="20"/>
      <w:szCs w:val="20"/>
    </w:rPr>
  </w:style>
  <w:style w:type="character" w:customStyle="1" w:styleId="CharChar3">
    <w:name w:val="Char Char3"/>
    <w:basedOn w:val="DefaultParagraphFont"/>
    <w:rsid w:val="003408F5"/>
    <w:rPr>
      <w:rFonts w:ascii="Georgia" w:hAnsi="Georgia"/>
      <w:sz w:val="19"/>
      <w:szCs w:val="19"/>
      <w:lang w:val="en-AU" w:eastAsia="en-AU" w:bidi="ar-SA"/>
    </w:rPr>
  </w:style>
  <w:style w:type="character" w:customStyle="1" w:styleId="BoxTextChar">
    <w:name w:val="Box Text Char"/>
    <w:basedOn w:val="DefaultParagraphFont"/>
    <w:link w:val="BoxText"/>
    <w:rsid w:val="00CA6414"/>
    <w:rPr>
      <w:rFonts w:ascii="Franklin Gothic Book" w:hAnsi="Franklin Gothic Book"/>
      <w:sz w:val="18"/>
      <w:szCs w:val="18"/>
      <w:lang w:val="en-AU" w:eastAsia="en-AU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923790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/>
      <w:color w:val="2E74B5"/>
      <w:kern w:val="0"/>
      <w:sz w:val="32"/>
      <w:szCs w:val="32"/>
      <w:lang w:val="en-US" w:eastAsia="en-US"/>
    </w:rPr>
  </w:style>
  <w:style w:type="paragraph" w:customStyle="1" w:styleId="H1A">
    <w:name w:val="H1A"/>
    <w:basedOn w:val="Title"/>
    <w:qFormat/>
    <w:rsid w:val="002A018E"/>
    <w:pPr>
      <w:spacing w:after="1680"/>
      <w:ind w:right="-706"/>
    </w:pPr>
    <w:rPr>
      <w:color w:val="AD495D"/>
    </w:rPr>
  </w:style>
  <w:style w:type="paragraph" w:customStyle="1" w:styleId="H2A">
    <w:name w:val="H2A"/>
    <w:basedOn w:val="Heading1"/>
    <w:qFormat/>
    <w:rsid w:val="002A018E"/>
    <w:pPr>
      <w:numPr>
        <w:numId w:val="0"/>
      </w:numPr>
    </w:pPr>
  </w:style>
  <w:style w:type="paragraph" w:customStyle="1" w:styleId="H3A">
    <w:name w:val="H3A"/>
    <w:basedOn w:val="BodyText"/>
    <w:qFormat/>
    <w:rsid w:val="00900AA5"/>
    <w:pPr>
      <w:spacing w:line="280" w:lineRule="exact"/>
    </w:pPr>
    <w:rPr>
      <w:b/>
    </w:rPr>
  </w:style>
  <w:style w:type="paragraph" w:customStyle="1" w:styleId="H3B">
    <w:name w:val="H3B"/>
    <w:basedOn w:val="Heading2"/>
    <w:qFormat/>
    <w:rsid w:val="00900AA5"/>
    <w:pPr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aj\Local%20Settings\Temporary%20Internet%20Files\OLK6\100930%20Timor%20Leste%20APPR_Public%20Version%20for%20Discussion%20w%20GoET%20revised%20by%20Pos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958A0B-1855-494E-BB0C-90CBB8DDF534}"/>
</file>

<file path=customXml/itemProps2.xml><?xml version="1.0" encoding="utf-8"?>
<ds:datastoreItem xmlns:ds="http://schemas.openxmlformats.org/officeDocument/2006/customXml" ds:itemID="{0910774D-E948-4323-B196-AA122B759941}"/>
</file>

<file path=customXml/itemProps3.xml><?xml version="1.0" encoding="utf-8"?>
<ds:datastoreItem xmlns:ds="http://schemas.openxmlformats.org/officeDocument/2006/customXml" ds:itemID="{666B7C84-1482-4EF4-A36B-941B2D24BF5B}"/>
</file>

<file path=customXml/itemProps4.xml><?xml version="1.0" encoding="utf-8"?>
<ds:datastoreItem xmlns:ds="http://schemas.openxmlformats.org/officeDocument/2006/customXml" ds:itemID="{2165D0F5-DC74-4461-AB50-ED368186007C}"/>
</file>

<file path=customXml/itemProps5.xml><?xml version="1.0" encoding="utf-8"?>
<ds:datastoreItem xmlns:ds="http://schemas.openxmlformats.org/officeDocument/2006/customXml" ds:itemID="{6811FE96-BAF8-4DA4-84D6-5802021BFE46}"/>
</file>

<file path=docProps/app.xml><?xml version="1.0" encoding="utf-8"?>
<Properties xmlns="http://schemas.openxmlformats.org/officeDocument/2006/extended-properties" xmlns:vt="http://schemas.openxmlformats.org/officeDocument/2006/docPropsVTypes">
  <Template>100930 Timor Leste APPR_Public Version for Discussion w GoET revised by Post (2)</Template>
  <TotalTime>3</TotalTime>
  <Pages>9</Pages>
  <Words>4047</Words>
  <Characters>23073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 2009</vt:lpstr>
    </vt:vector>
  </TitlesOfParts>
  <Manager/>
  <Company/>
  <LinksUpToDate>false</LinksUpToDate>
  <CharactersWithSpaces>27066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 2009</dc:title>
  <dc:subject/>
  <dc:creator>AusAID</dc:creator>
  <cp:keywords/>
  <dc:description/>
  <cp:lastModifiedBy>Moneef Almallouhi</cp:lastModifiedBy>
  <cp:revision>4</cp:revision>
  <cp:lastPrinted>2011-02-22T06:46:00Z</cp:lastPrinted>
  <dcterms:created xsi:type="dcterms:W3CDTF">2013-07-04T10:43:00Z</dcterms:created>
  <dcterms:modified xsi:type="dcterms:W3CDTF">2013-07-04T12:00:00Z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AusAIDPageExpires">
    <vt:lpwstr/>
  </property>
  <property fmtid="{D5CDD505-2E9C-101B-9397-08002B2CF9AE}" pid="4" name="WCMSPublicationSubCategory">
    <vt:lpwstr/>
  </property>
  <property fmtid="{D5CDD505-2E9C-101B-9397-08002B2CF9AE}" pid="5" name="Order">
    <vt:r8>112100</vt:r8>
  </property>
  <property fmtid="{D5CDD505-2E9C-101B-9397-08002B2CF9AE}" pid="6" name="PublishingRollupImage">
    <vt:lpwstr/>
  </property>
  <property fmtid="{D5CDD505-2E9C-101B-9397-08002B2CF9AE}" pid="7" name="AusAIDAggregationLevel">
    <vt:lpwstr/>
  </property>
  <property fmtid="{D5CDD505-2E9C-101B-9397-08002B2CF9AE}" pid="8" name="WCMSStatus">
    <vt:lpwstr/>
  </property>
  <property fmtid="{D5CDD505-2E9C-101B-9397-08002B2CF9AE}" pid="9" name="WCMSIPSSubCategory">
    <vt:lpwstr/>
  </property>
  <property fmtid="{D5CDD505-2E9C-101B-9397-08002B2CF9AE}" pid="10" name="AusAIDModifiedDateMetadata">
    <vt:lpwstr/>
  </property>
  <property fmtid="{D5CDD505-2E9C-101B-9397-08002B2CF9AE}" pid="11" name="PublishingContactEmail">
    <vt:lpwstr/>
  </property>
  <property fmtid="{D5CDD505-2E9C-101B-9397-08002B2CF9AE}" pid="12" name="WCMSPrintedMedia">
    <vt:lpwstr/>
  </property>
  <property fmtid="{D5CDD505-2E9C-101B-9397-08002B2CF9AE}" pid="13" name="AusAIDPageDescriptionMetadata">
    <vt:lpwstr/>
  </property>
  <property fmtid="{D5CDD505-2E9C-101B-9397-08002B2CF9AE}" pid="14" name="WCMSTheme">
    <vt:lpwstr/>
  </property>
  <property fmtid="{D5CDD505-2E9C-101B-9397-08002B2CF9AE}" pid="15" name="WCMSISBNISSN">
    <vt:lpwstr/>
  </property>
  <property fmtid="{D5CDD505-2E9C-101B-9397-08002B2CF9AE}" pid="16" name="xd_Signature">
    <vt:lpwstr/>
  </property>
  <property fmtid="{D5CDD505-2E9C-101B-9397-08002B2CF9AE}" pid="17" name="WCMSIPSCategory">
    <vt:lpwstr/>
  </property>
  <property fmtid="{D5CDD505-2E9C-101B-9397-08002B2CF9AE}" pid="18" name="AusAIDCreatedDateMetadata">
    <vt:lpwstr/>
  </property>
  <property fmtid="{D5CDD505-2E9C-101B-9397-08002B2CF9AE}" pid="19" name="xd_ProgID">
    <vt:lpwstr/>
  </property>
  <property fmtid="{D5CDD505-2E9C-101B-9397-08002B2CF9AE}" pid="20" name="RSS Feed Link">
    <vt:lpwstr/>
  </property>
  <property fmtid="{D5CDD505-2E9C-101B-9397-08002B2CF9AE}" pid="21" name="WCMSDocumentLink">
    <vt:lpwstr/>
  </property>
  <property fmtid="{D5CDD505-2E9C-101B-9397-08002B2CF9AE}" pid="22" name="PublishingContactPicture">
    <vt:lpwstr/>
  </property>
  <property fmtid="{D5CDD505-2E9C-101B-9397-08002B2CF9AE}" pid="23" name="PublishingVariationGroupID">
    <vt:lpwstr/>
  </property>
  <property fmtid="{D5CDD505-2E9C-101B-9397-08002B2CF9AE}" pid="24" name="AusAIDIdentifierMetadata">
    <vt:lpwstr/>
  </property>
  <property fmtid="{D5CDD505-2E9C-101B-9397-08002B2CF9AE}" pid="25" name="display_urn:schemas-microsoft-com:office:office#Author">
    <vt:lpwstr>System Account</vt:lpwstr>
  </property>
  <property fmtid="{D5CDD505-2E9C-101B-9397-08002B2CF9AE}" pid="26" name="WCMSReportDisclaimer">
    <vt:lpwstr/>
  </property>
  <property fmtid="{D5CDD505-2E9C-101B-9397-08002B2CF9AE}" pid="27" name="PublishingVariationRelationshipLinkFieldID">
    <vt:lpwstr/>
  </property>
  <property fmtid="{D5CDD505-2E9C-101B-9397-08002B2CF9AE}" pid="28" name="WCMSPublicationCategory">
    <vt:lpwstr/>
  </property>
  <property fmtid="{D5CDD505-2E9C-101B-9397-08002B2CF9AE}" pid="29" name="WCMSElectronicMedia">
    <vt:lpwstr/>
  </property>
  <property fmtid="{D5CDD505-2E9C-101B-9397-08002B2CF9AE}" pid="30" name="PublishingContactName">
    <vt:lpwstr/>
  </property>
  <property fmtid="{D5CDD505-2E9C-101B-9397-08002B2CF9AE}" pid="31" name="WCMSRegion">
    <vt:lpwstr/>
  </property>
  <property fmtid="{D5CDD505-2E9C-101B-9397-08002B2CF9AE}" pid="32" name="WCMSPublicationAuthor">
    <vt:lpwstr/>
  </property>
  <property fmtid="{D5CDD505-2E9C-101B-9397-08002B2CF9AE}" pid="33" name="_SourceUrl">
    <vt:lpwstr/>
  </property>
  <property fmtid="{D5CDD505-2E9C-101B-9397-08002B2CF9AE}" pid="34" name="_SharedFileIndex">
    <vt:lpwstr/>
  </property>
  <property fmtid="{D5CDD505-2E9C-101B-9397-08002B2CF9AE}" pid="35" name="Comments">
    <vt:lpwstr/>
  </property>
  <property fmtid="{D5CDD505-2E9C-101B-9397-08002B2CF9AE}" pid="36" name="PublishingPageLayout">
    <vt:lpwstr/>
  </property>
  <property fmtid="{D5CDD505-2E9C-101B-9397-08002B2CF9AE}" pid="37" name="WCMSCountry">
    <vt:lpwstr/>
  </property>
  <property fmtid="{D5CDD505-2E9C-101B-9397-08002B2CF9AE}" pid="38" name="WCMSSourceId">
    <vt:lpwstr/>
  </property>
  <property fmtid="{D5CDD505-2E9C-101B-9397-08002B2CF9AE}" pid="39" name="WCMSLatest">
    <vt:lpwstr/>
  </property>
  <property fmtid="{D5CDD505-2E9C-101B-9397-08002B2CF9AE}" pid="40" name="WCMSPublicationFormat">
    <vt:lpwstr/>
  </property>
  <property fmtid="{D5CDD505-2E9C-101B-9397-08002B2CF9AE}" pid="41" name="AusAIDPageSubjectMetadata">
    <vt:lpwstr/>
  </property>
  <property fmtid="{D5CDD505-2E9C-101B-9397-08002B2CF9AE}" pid="42" name="AusAIDCategoryMetadata">
    <vt:lpwstr/>
  </property>
  <property fmtid="{D5CDD505-2E9C-101B-9397-08002B2CF9AE}" pid="43" name="AusAIDDocumentTypeMetaData">
    <vt:lpwstr/>
  </property>
  <property fmtid="{D5CDD505-2E9C-101B-9397-08002B2CF9AE}" pid="44" name="WCMSLanguage">
    <vt:lpwstr/>
  </property>
  <property fmtid="{D5CDD505-2E9C-101B-9397-08002B2CF9AE}" pid="45" name="display_urn:schemas-microsoft-com:office:office#Editor">
    <vt:lpwstr>System Account</vt:lpwstr>
  </property>
  <property fmtid="{D5CDD505-2E9C-101B-9397-08002B2CF9AE}" pid="46" name="TemplateUrl">
    <vt:lpwstr/>
  </property>
  <property fmtid="{D5CDD505-2E9C-101B-9397-08002B2CF9AE}" pid="47" name="Audience">
    <vt:lpwstr/>
  </property>
  <property fmtid="{D5CDD505-2E9C-101B-9397-08002B2CF9AE}" pid="48" name="WCMSDescription">
    <vt:lpwstr/>
  </property>
  <property fmtid="{D5CDD505-2E9C-101B-9397-08002B2CF9AE}" pid="49" name="WCMSPublicationDate">
    <vt:lpwstr/>
  </property>
  <property fmtid="{D5CDD505-2E9C-101B-9397-08002B2CF9AE}" pid="50" name="WCMSOtherCategory">
    <vt:lpwstr/>
  </property>
  <property fmtid="{D5CDD505-2E9C-101B-9397-08002B2CF9AE}" pid="51" name="ContentTypeId">
    <vt:lpwstr>0x01010050F19AC2165D2E47A5E6B7F563E4CF00</vt:lpwstr>
  </property>
  <property fmtid="{D5CDD505-2E9C-101B-9397-08002B2CF9AE}" pid="52" name="display_urn">
    <vt:lpwstr>System Account</vt:lpwstr>
  </property>
</Properties>
</file>